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2784505F"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1A0C247B"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5EE03F99"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5BF4C445" w14:textId="77777777" w:rsidP="00C15CAC" w:rsidR="000C1E17" w:rsidRDefault="000C1E17" w:rsidRPr="00414345">
      <w:pPr>
        <w:autoSpaceDE w:val="0"/>
        <w:autoSpaceDN w:val="0"/>
        <w:adjustRightInd w:val="0"/>
        <w:spacing w:before="29" w:line="288" w:lineRule="auto"/>
        <w:jc w:val="left"/>
        <w:rPr>
          <w:color w:val="000000"/>
          <w:kern w:val="0"/>
          <w:sz w:val="24"/>
          <w:szCs w:val="24"/>
        </w:rPr>
      </w:pPr>
    </w:p>
    <w:p w14:paraId="581A764A" w14:textId="77777777" w:rsidP="00C15CAC" w:rsidR="000C1E17" w:rsidRDefault="000C1E17" w:rsidRPr="00414345">
      <w:pPr>
        <w:autoSpaceDE w:val="0"/>
        <w:autoSpaceDN w:val="0"/>
        <w:adjustRightInd w:val="0"/>
        <w:spacing w:before="29" w:line="288" w:lineRule="auto"/>
        <w:jc w:val="left"/>
        <w:rPr>
          <w:color w:val="000000"/>
          <w:kern w:val="0"/>
          <w:sz w:val="24"/>
          <w:szCs w:val="24"/>
        </w:rPr>
      </w:pPr>
    </w:p>
    <w:p w14:paraId="0A38CBF4" w14:textId="77777777" w:rsidP="00C15CAC" w:rsidR="002279D3" w:rsidRDefault="002279D3" w:rsidRPr="0081286B">
      <w:pPr>
        <w:spacing w:before="29" w:line="288" w:lineRule="auto"/>
        <w:jc w:val="center"/>
        <w:rPr>
          <w:b/>
          <w:sz w:val="36"/>
          <w:szCs w:val="36"/>
        </w:rPr>
      </w:pPr>
      <w:r w:rsidRPr="0081286B">
        <w:rPr>
          <w:b/>
          <w:sz w:val="36"/>
          <w:szCs w:val="36"/>
        </w:rPr>
        <w:t>上投摩根锦程积极成长养老目标五年持有期混合型发起式基金中基金(FOF)</w:t>
      </w:r>
    </w:p>
    <w:p w14:paraId="3FF505AA" w14:textId="77777777" w:rsidP="00C15CAC" w:rsidR="002279D3" w:rsidRDefault="002279D3" w:rsidRPr="0081286B">
      <w:pPr>
        <w:spacing w:before="29" w:line="288" w:lineRule="auto"/>
        <w:jc w:val="center"/>
        <w:rPr>
          <w:b/>
          <w:sz w:val="36"/>
          <w:szCs w:val="36"/>
        </w:rPr>
      </w:pPr>
      <w:r w:rsidRPr="0081286B">
        <w:rPr>
          <w:b/>
          <w:sz w:val="36"/>
          <w:szCs w:val="36"/>
        </w:rPr>
        <w:t>2021年第1季度报告</w:t>
      </w:r>
    </w:p>
    <w:p w14:paraId="35E7232D" w14:textId="77777777" w:rsidP="00C15CAC" w:rsidR="004061AC" w:rsidRDefault="00655CD8" w:rsidRPr="0081286B">
      <w:pPr>
        <w:spacing w:before="29" w:line="288" w:lineRule="auto"/>
        <w:jc w:val="center"/>
        <w:rPr>
          <w:b/>
          <w:sz w:val="36"/>
          <w:szCs w:val="36"/>
        </w:rPr>
      </w:pPr>
      <w:r w:rsidRPr="0081286B">
        <w:rPr>
          <w:b/>
          <w:sz w:val="36"/>
          <w:szCs w:val="36"/>
        </w:rPr>
        <w:t>2021年3月31日</w:t>
      </w:r>
    </w:p>
    <w:p w14:paraId="7F3D35B5" w14:textId="77777777" w:rsidP="00C15CAC" w:rsidR="004061AC" w:rsidRDefault="004061AC" w:rsidRPr="00414345">
      <w:pPr>
        <w:spacing w:before="29" w:line="288" w:lineRule="auto"/>
        <w:jc w:val="center"/>
        <w:rPr>
          <w:b/>
          <w:bCs/>
          <w:color w:val="000000"/>
          <w:sz w:val="24"/>
          <w:szCs w:val="24"/>
        </w:rPr>
      </w:pPr>
    </w:p>
    <w:p w14:paraId="6A426214" w14:textId="77777777" w:rsidP="00C15CAC" w:rsidR="004061AC" w:rsidRDefault="004061AC" w:rsidRPr="00414345">
      <w:pPr>
        <w:spacing w:before="29" w:line="288" w:lineRule="auto"/>
        <w:jc w:val="center"/>
        <w:rPr>
          <w:b/>
          <w:bCs/>
          <w:color w:val="000000"/>
          <w:sz w:val="24"/>
          <w:szCs w:val="24"/>
        </w:rPr>
      </w:pPr>
    </w:p>
    <w:p w14:paraId="0FB986E4" w14:textId="77777777" w:rsidP="00C15CAC" w:rsidR="004061AC" w:rsidRDefault="004061AC" w:rsidRPr="00414345">
      <w:pPr>
        <w:spacing w:before="29" w:line="288" w:lineRule="auto"/>
        <w:jc w:val="center"/>
        <w:rPr>
          <w:b/>
          <w:bCs/>
          <w:color w:val="000000"/>
          <w:sz w:val="24"/>
          <w:szCs w:val="24"/>
        </w:rPr>
      </w:pPr>
    </w:p>
    <w:p w14:paraId="5B788256" w14:textId="77777777" w:rsidP="00C15CAC" w:rsidR="004061AC" w:rsidRDefault="004061AC" w:rsidRPr="00414345">
      <w:pPr>
        <w:spacing w:before="29" w:line="288" w:lineRule="auto"/>
        <w:jc w:val="center"/>
        <w:rPr>
          <w:b/>
          <w:bCs/>
          <w:color w:val="000000"/>
          <w:sz w:val="24"/>
          <w:szCs w:val="24"/>
        </w:rPr>
      </w:pPr>
    </w:p>
    <w:p w14:paraId="392D0F35" w14:textId="77777777" w:rsidP="00C15CAC" w:rsidR="004061AC" w:rsidRDefault="004061AC" w:rsidRPr="00414345">
      <w:pPr>
        <w:spacing w:before="29" w:line="288" w:lineRule="auto"/>
        <w:jc w:val="center"/>
        <w:rPr>
          <w:b/>
          <w:bCs/>
          <w:color w:val="000000"/>
          <w:sz w:val="24"/>
          <w:szCs w:val="24"/>
        </w:rPr>
      </w:pPr>
    </w:p>
    <w:p w14:paraId="10AD48A9" w14:textId="77777777" w:rsidP="00C15CAC" w:rsidR="004061AC" w:rsidRDefault="004061AC" w:rsidRPr="00414345">
      <w:pPr>
        <w:spacing w:before="29" w:line="288" w:lineRule="auto"/>
        <w:jc w:val="center"/>
        <w:rPr>
          <w:b/>
          <w:bCs/>
          <w:color w:val="000000"/>
          <w:sz w:val="24"/>
          <w:szCs w:val="24"/>
        </w:rPr>
      </w:pPr>
    </w:p>
    <w:p w14:paraId="62C93E27" w14:textId="77777777" w:rsidP="00C15CAC" w:rsidR="004061AC" w:rsidRDefault="004061AC" w:rsidRPr="00414345">
      <w:pPr>
        <w:spacing w:before="29" w:line="288" w:lineRule="auto"/>
        <w:jc w:val="center"/>
        <w:rPr>
          <w:b/>
          <w:bCs/>
          <w:color w:val="000000"/>
          <w:sz w:val="24"/>
          <w:szCs w:val="24"/>
        </w:rPr>
      </w:pPr>
    </w:p>
    <w:p w14:paraId="5D62584D" w14:textId="77777777" w:rsidP="00C15CAC" w:rsidR="004061AC" w:rsidRDefault="004061AC" w:rsidRPr="00414345">
      <w:pPr>
        <w:spacing w:before="29" w:line="288" w:lineRule="auto"/>
        <w:jc w:val="center"/>
        <w:rPr>
          <w:b/>
          <w:bCs/>
          <w:color w:val="000000"/>
          <w:sz w:val="24"/>
          <w:szCs w:val="24"/>
        </w:rPr>
      </w:pPr>
    </w:p>
    <w:p w14:paraId="20E25EA9" w14:textId="77777777" w:rsidP="00C15CAC" w:rsidR="004061AC" w:rsidRDefault="004061AC" w:rsidRPr="00414345">
      <w:pPr>
        <w:spacing w:before="29" w:line="288" w:lineRule="auto"/>
        <w:jc w:val="center"/>
        <w:rPr>
          <w:b/>
          <w:bCs/>
          <w:color w:val="000000"/>
          <w:sz w:val="24"/>
          <w:szCs w:val="24"/>
        </w:rPr>
      </w:pPr>
    </w:p>
    <w:p w14:paraId="27564752" w14:textId="77777777" w:rsidP="00C15CAC" w:rsidR="004061AC" w:rsidRDefault="004061AC" w:rsidRPr="00414345">
      <w:pPr>
        <w:spacing w:before="29" w:line="288" w:lineRule="auto"/>
        <w:jc w:val="center"/>
        <w:rPr>
          <w:b/>
          <w:bCs/>
          <w:color w:val="000000"/>
          <w:sz w:val="24"/>
          <w:szCs w:val="24"/>
        </w:rPr>
      </w:pPr>
    </w:p>
    <w:p w14:paraId="33FAEB08" w14:textId="77777777" w:rsidP="00C15CAC" w:rsidR="004061AC" w:rsidRDefault="004061AC" w:rsidRPr="00414345">
      <w:pPr>
        <w:spacing w:before="29" w:line="288" w:lineRule="auto"/>
        <w:jc w:val="center"/>
        <w:rPr>
          <w:b/>
          <w:bCs/>
          <w:color w:val="000000"/>
          <w:sz w:val="24"/>
          <w:szCs w:val="24"/>
        </w:rPr>
      </w:pPr>
    </w:p>
    <w:p w14:paraId="3C176E5E" w14:textId="77777777" w:rsidP="00C15CAC" w:rsidR="004061AC" w:rsidRDefault="004061AC" w:rsidRPr="00414345">
      <w:pPr>
        <w:spacing w:before="29" w:line="288" w:lineRule="auto"/>
        <w:jc w:val="center"/>
        <w:rPr>
          <w:b/>
          <w:bCs/>
          <w:color w:val="000000"/>
          <w:sz w:val="24"/>
          <w:szCs w:val="24"/>
        </w:rPr>
      </w:pPr>
    </w:p>
    <w:p w14:paraId="69F1EB88" w14:textId="77777777"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上投摩根基金管理有限公司</w:t>
      </w:r>
    </w:p>
    <w:p w14:paraId="00E5A304" w14:textId="77777777"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14:paraId="04AB856E" w14:textId="77777777"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二〇二一年四月二十二日</w:t>
      </w:r>
    </w:p>
    <w:p w14:paraId="432A908C" w14:textId="77777777"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14:paraId="52F82A0D" w14:textId="77777777"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本报告期自2021年1月1日起至3月31日止。</w:t>
      </w:r>
    </w:p>
    <w:p w14:paraId="1572117D" w14:textId="77777777" w:rsidP="00C15CAC" w:rsidR="00627E2D" w:rsidRDefault="00627E2D" w:rsidRPr="00414345">
      <w:pPr>
        <w:spacing w:before="29" w:line="288" w:lineRule="auto"/>
        <w:ind w:firstLine="480" w:firstLineChars="200"/>
        <w:rPr>
          <w:color w:val="000000"/>
          <w:sz w:val="24"/>
          <w:szCs w:val="24"/>
        </w:rPr>
      </w:pPr>
    </w:p>
    <w:p w14:paraId="541596F1" w14:textId="77777777"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14:paraId="22CEF1A7" w14:textId="77777777" w:rsidR="004061AC" w:rsidRPr="00414345" w:rsidTr="006E6726">
        <w:trPr>
          <w:jc w:val="center"/>
        </w:trPr>
        <w:tc>
          <w:tcPr>
            <w:tcW w:type="dxa" w:w="3023"/>
            <w:vAlign w:val="center"/>
          </w:tcPr>
          <w:p w14:paraId="5B4C6DAC" w14:textId="77777777"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14:paraId="1E183C53" w14:textId="77777777"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上投摩根锦程积极养老五年持有混合（FOF）</w:t>
            </w:r>
          </w:p>
        </w:tc>
      </w:tr>
      <w:tr w14:paraId="7C49BF52" w14:textId="77777777"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14:paraId="5D466F1A" w14:textId="77777777"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14:paraId="72212307" w14:textId="77777777"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009161</w:t>
            </w:r>
          </w:p>
        </w:tc>
      </w:tr>
      <w:tr w14:paraId="6C64AA3C" w14:textId="77777777"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14:paraId="343DAFB1" w14:textId="77777777"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14:paraId="3D89D95D" w14:textId="77777777"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009161</w:t>
            </w:r>
          </w:p>
        </w:tc>
      </w:tr>
      <w:tr w14:paraId="7FF5AE16" w14:textId="77777777" w:rsidR="001B2F35" w:rsidRPr="00414345" w:rsidTr="006E6726">
        <w:trPr>
          <w:jc w:val="center"/>
        </w:trPr>
        <w:tc>
          <w:tcPr>
            <w:tcW w:type="dxa" w:w="3023"/>
            <w:vAlign w:val="center"/>
          </w:tcPr>
          <w:p w14:paraId="53406B97"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14:paraId="696C6F46"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14:paraId="7E155128" w14:textId="77777777" w:rsidR="001B2F35" w:rsidRPr="00414345" w:rsidTr="006E6726">
        <w:trPr>
          <w:jc w:val="center"/>
        </w:trPr>
        <w:tc>
          <w:tcPr>
            <w:tcW w:type="dxa" w:w="3023"/>
            <w:vAlign w:val="center"/>
          </w:tcPr>
          <w:p w14:paraId="0F248425"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14:paraId="06EE468D"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2020年4月29日</w:t>
            </w:r>
          </w:p>
        </w:tc>
      </w:tr>
      <w:tr w14:paraId="42C7B81A" w14:textId="77777777" w:rsidR="001B2F35" w:rsidRPr="00414345" w:rsidTr="006E6726">
        <w:trPr>
          <w:jc w:val="center"/>
        </w:trPr>
        <w:tc>
          <w:tcPr>
            <w:tcW w:type="dxa" w:w="3023"/>
            <w:vAlign w:val="center"/>
          </w:tcPr>
          <w:p w14:paraId="12D765BE"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14:paraId="6C66E763"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19,441,503.75</w:t>
            </w:r>
            <w:r w:rsidRPr="00414345">
              <w:rPr>
                <w:color w:val="000000"/>
                <w:kern w:val="0"/>
                <w:sz w:val="24"/>
                <w:szCs w:val="24"/>
              </w:rPr>
              <w:t>份</w:t>
            </w:r>
          </w:p>
        </w:tc>
      </w:tr>
      <w:tr w14:paraId="3AE984B1" w14:textId="77777777" w:rsidR="001B2F35" w:rsidRPr="00414345" w:rsidTr="006E6726">
        <w:trPr>
          <w:jc w:val="center"/>
        </w:trPr>
        <w:tc>
          <w:tcPr>
            <w:tcW w:type="dxa" w:w="3023"/>
            <w:vAlign w:val="center"/>
          </w:tcPr>
          <w:p w14:paraId="02EE9018"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14:paraId="151AA99C"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14:paraId="400D8501" w14:textId="77777777" w:rsidR="001B2F35" w:rsidRPr="00414345" w:rsidTr="006E6726">
        <w:trPr>
          <w:jc w:val="center"/>
        </w:trPr>
        <w:tc>
          <w:tcPr>
            <w:tcW w:type="dxa" w:w="3023"/>
            <w:vAlign w:val="center"/>
          </w:tcPr>
          <w:p w14:paraId="2B943B91"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1、目标风险投资策略：</w:t>
            </w:r>
          </w:p>
          <w:p>
            <w:pPr>
              <w:adjustRightInd w:val="0"/>
              <w:spacing w:before="29" w:line="288" w:lineRule="auto"/>
              <w:ind w:left="17"/>
              <w:jc w:val="left"/>
              <w:rPr>
                <w:color w:val="000000"/>
                <w:sz w:val="24"/>
                <w:szCs w:val="24"/>
              </w:rPr>
            </w:pPr>
            <w:r>
              <w:rPr>
                <w:color w:val="000000"/>
                <w:kern w:val="0"/>
                <w:sz w:val="24"/>
                <w:szCs w:val="24"/>
              </w:rPr>
              <w:t>（1）大类资产配置策略：本基金的目标风险指通过将基金所投资的高风险类资产和其他资产长期保持在相对恒定的比例，以达到目标的风险水平。</w:t>
            </w:r>
          </w:p>
          <w:p>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75%:25%；高风险类资产指股票型基金、应计入高风险类资产的混合型基金、商品基金（含商品期货基金和黄金ETF）等品种（均包含QDII）及股票；其他资产指债券型基金、货币市场基金和不计入高风险类资产的混合型基金（均包含QDII）、债券、资产支持证券、债券回购、银行存款及同业存单等；本基金高风险类资产的向上、向下调整幅度分别不超过5%、10%。</w:t>
            </w:r>
          </w:p>
          <w:p>
            <w:pPr>
              <w:adjustRightInd w:val="0"/>
              <w:spacing w:before="29" w:line="288" w:lineRule="auto"/>
              <w:ind w:left="17"/>
              <w:jc w:val="left"/>
              <w:rPr>
                <w:color w:val="000000"/>
                <w:sz w:val="24"/>
                <w:szCs w:val="24"/>
              </w:rPr>
            </w:pPr>
            <w:r>
              <w:rPr>
                <w:color w:val="000000"/>
                <w:kern w:val="0"/>
                <w:sz w:val="24"/>
                <w:szCs w:val="24"/>
              </w:rPr>
              <w:t>（2）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pPr>
              <w:adjustRightInd w:val="0"/>
              <w:spacing w:before="29" w:line="288" w:lineRule="auto"/>
              <w:ind w:left="17"/>
              <w:jc w:val="left"/>
              <w:rPr>
                <w:color w:val="000000"/>
                <w:sz w:val="24"/>
                <w:szCs w:val="24"/>
              </w:rPr>
            </w:pPr>
            <w:r>
              <w:rPr>
                <w:color w:val="000000"/>
                <w:kern w:val="0"/>
                <w:sz w:val="24"/>
                <w:szCs w:val="24"/>
              </w:rPr>
              <w:t>2、主动管理型基金投资策略：通过自下而上的方式优选基金，研究过程中综合运用定量分析和定性分析，优选符合要求且能在中长期创造超额收益的基金。</w:t>
            </w:r>
          </w:p>
          <w:p>
            <w:pPr>
              <w:adjustRightInd w:val="0"/>
              <w:spacing w:before="29" w:line="288" w:lineRule="auto"/>
              <w:ind w:left="17"/>
              <w:jc w:val="left"/>
              <w:rPr>
                <w:color w:val="000000"/>
                <w:sz w:val="24"/>
                <w:szCs w:val="24"/>
              </w:rPr>
            </w:pPr>
            <w:r>
              <w:rPr>
                <w:color w:val="000000"/>
                <w:kern w:val="0"/>
                <w:sz w:val="24"/>
                <w:szCs w:val="24"/>
              </w:rPr>
              <w:t>3、指数基金投资策略：优选中长期景气向好的指数基金进行配置，增厚组合收益，并把握阶段性投资机会，获取超额收益。</w:t>
            </w:r>
          </w:p>
          <w:p w14:paraId="70BDE52B"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4、其他投资策略：包括股票投资策略、债券投资策略、证券公司短期公司债投资策略、资产支持证券投资策略、存托凭证投资策略等。</w:t>
            </w:r>
          </w:p>
        </w:tc>
      </w:tr>
      <w:tr w14:paraId="2330FAEA" w14:textId="77777777" w:rsidR="001B2F35" w:rsidRPr="00414345" w:rsidTr="006E6726">
        <w:trPr>
          <w:jc w:val="center"/>
        </w:trPr>
        <w:tc>
          <w:tcPr>
            <w:tcW w:type="dxa" w:w="3023"/>
            <w:vAlign w:val="center"/>
          </w:tcPr>
          <w:p w14:paraId="61B43DDE"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14:paraId="5AB66AED"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中证800指数收益率*75%+中证综合债指数收益率*20%+活期存款利率（税后）*5%</w:t>
            </w:r>
          </w:p>
        </w:tc>
      </w:tr>
      <w:tr w14:paraId="2B35E449" w14:textId="77777777" w:rsidR="001B2F35" w:rsidRPr="00414345" w:rsidTr="006E6726">
        <w:trPr>
          <w:jc w:val="center"/>
        </w:trPr>
        <w:tc>
          <w:tcPr>
            <w:tcW w:type="dxa" w:w="3023"/>
            <w:vAlign w:val="center"/>
          </w:tcPr>
          <w:p w14:paraId="29169D4E"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基金管理人将养老目标风险基金根据不同风险程度进行划分。本基金的高风险类资产和其他资产的基准配置比例为75%：25%，在基金管理人管理的养老目标风险基金中，属于高风险类资产的配置比例较高的。</w:t>
            </w:r>
          </w:p>
          <w:p>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14:paraId="639D78F3"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7E6A1E49" w14:textId="77777777" w:rsidR="001B2F35" w:rsidRPr="00414345" w:rsidTr="006E6726">
        <w:trPr>
          <w:jc w:val="center"/>
        </w:trPr>
        <w:tc>
          <w:tcPr>
            <w:tcW w:type="dxa" w:w="3023"/>
            <w:vAlign w:val="center"/>
          </w:tcPr>
          <w:p w14:paraId="4D838E79"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14:paraId="4AFD9C83"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14:paraId="5259B803" w14:textId="77777777" w:rsidR="001B2F35" w:rsidRPr="00414345" w:rsidTr="006E6726">
        <w:trPr>
          <w:jc w:val="center"/>
        </w:trPr>
        <w:tc>
          <w:tcPr>
            <w:tcW w:type="dxa" w:w="3023"/>
            <w:vAlign w:val="center"/>
          </w:tcPr>
          <w:p w14:paraId="4818C869" w14:textId="77777777"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14:paraId="79CD4194" w14:textId="77777777"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14:paraId="784C8C01" w14:textId="77777777" w:rsidP="00C15CAC" w:rsidR="005910BF" w:rsidRDefault="005910BF" w:rsidRPr="00414345">
      <w:pPr>
        <w:autoSpaceDE w:val="0"/>
        <w:autoSpaceDN w:val="0"/>
        <w:adjustRightInd w:val="0"/>
        <w:spacing w:before="29" w:line="288" w:lineRule="auto"/>
        <w:jc w:val="left"/>
        <w:rPr>
          <w:color w:val="000000"/>
          <w:kern w:val="0"/>
          <w:sz w:val="24"/>
          <w:szCs w:val="24"/>
        </w:rPr>
      </w:pPr>
    </w:p>
    <w:p w14:paraId="2BA3F933" w14:textId="77777777"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4C9BF6AA"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1652A922" w14:textId="77777777"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14:paraId="5C31335F" w14:textId="77777777" w:rsidR="00C21520" w:rsidRPr="00414345" w:rsidTr="00BD0031">
        <w:trPr>
          <w:jc w:val="center"/>
        </w:trPr>
        <w:tc>
          <w:tcPr>
            <w:tcW w:type="dxa" w:w="3402"/>
            <w:vAlign w:val="center"/>
          </w:tcPr>
          <w:p w14:paraId="7C2F3ADD" w14:textId="77777777"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14:paraId="3AF2355C" w14:textId="77777777"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14:paraId="78F5D4AC" w14:textId="77777777"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(2021年1月1日-2021年3月31日)</w:t>
            </w:r>
          </w:p>
        </w:tc>
        <w:tc>
          <w:tcPr>
            <w:tcW w:type="dxa" w:w="2410"/>
            <w:hMerge/>
            <w:vAlign w:val="center"/>
          </w:tcPr>
          <w:p w14:paraId="09ECCAEA" w14:textId="77777777"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14:paraId="4C815166" w14:textId="77777777" w:rsidR="00C21520" w:rsidRPr="00414345" w:rsidTr="00BD0031">
        <w:trPr>
          <w:jc w:val="center"/>
        </w:trPr>
        <w:tc>
          <w:tcPr>
            <w:tcW w:type="dxa" w:w="3402"/>
            <w:vAlign w:val="center"/>
          </w:tcPr>
          <w:p w14:paraId="668C9E79" w14:textId="77777777"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14:paraId="3BA8756E"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791,499.20</w:t>
            </w:r>
          </w:p>
        </w:tc>
        <w:tc>
          <w:tcPr>
            <w:tcW w:type="dxa" w:w="2410"/>
            <w:hMerge/>
            <w:vAlign w:val="center"/>
          </w:tcPr>
          <w:p w14:paraId="48ADBEE6"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14:paraId="24F2FDA3" w14:textId="77777777" w:rsidR="00C21520" w:rsidRPr="00414345" w:rsidTr="00BD0031">
        <w:trPr>
          <w:jc w:val="center"/>
        </w:trPr>
        <w:tc>
          <w:tcPr>
            <w:tcW w:type="dxa" w:w="3402"/>
            <w:vAlign w:val="center"/>
          </w:tcPr>
          <w:p w14:paraId="181C99B6" w14:textId="77777777"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14:paraId="1C41A4ED"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-125,982.86</w:t>
            </w:r>
          </w:p>
        </w:tc>
        <w:tc>
          <w:tcPr>
            <w:tcW w:type="dxa" w:w="2410"/>
            <w:hMerge/>
            <w:vAlign w:val="center"/>
          </w:tcPr>
          <w:p w14:paraId="1D60C85B"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14:paraId="2D35231E" w14:textId="77777777" w:rsidR="00C21520" w:rsidRPr="00414345" w:rsidTr="00BD0031">
        <w:trPr>
          <w:jc w:val="center"/>
        </w:trPr>
        <w:tc>
          <w:tcPr>
            <w:tcW w:type="dxa" w:w="3402"/>
            <w:vAlign w:val="center"/>
          </w:tcPr>
          <w:p w14:paraId="18F920FF" w14:textId="77777777"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14:paraId="287394C1"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-0.0072</w:t>
            </w:r>
          </w:p>
        </w:tc>
        <w:tc>
          <w:tcPr>
            <w:tcW w:type="dxa" w:w="2410"/>
            <w:hMerge/>
            <w:vAlign w:val="center"/>
          </w:tcPr>
          <w:p w14:paraId="751E79D7"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14:paraId="2532FB37" w14:textId="77777777" w:rsidR="00C21520" w:rsidRPr="00414345" w:rsidTr="00BD0031">
        <w:trPr>
          <w:jc w:val="center"/>
        </w:trPr>
        <w:tc>
          <w:tcPr>
            <w:tcW w:type="dxa" w:w="3402"/>
            <w:vAlign w:val="center"/>
          </w:tcPr>
          <w:p w14:paraId="6A911308" w14:textId="77777777"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14:paraId="5A9411A4"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24,846,707.88</w:t>
            </w:r>
          </w:p>
        </w:tc>
        <w:tc>
          <w:tcPr>
            <w:tcW w:type="dxa" w:w="2410"/>
            <w:hMerge/>
            <w:vAlign w:val="center"/>
          </w:tcPr>
          <w:p w14:paraId="7D75A474"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14:paraId="65E38386" w14:textId="77777777" w:rsidR="00C21520" w:rsidRPr="00414345" w:rsidTr="00BD0031">
        <w:trPr>
          <w:trHeight w:val="158"/>
          <w:jc w:val="center"/>
        </w:trPr>
        <w:tc>
          <w:tcPr>
            <w:tcW w:type="dxa" w:w="3402"/>
            <w:vAlign w:val="center"/>
          </w:tcPr>
          <w:p w14:paraId="2FDC373C" w14:textId="77777777"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14:paraId="2E3FD2DD"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1.2780</w:t>
            </w:r>
          </w:p>
        </w:tc>
        <w:tc>
          <w:tcPr>
            <w:tcW w:type="dxa" w:w="2410"/>
            <w:hMerge/>
            <w:vAlign w:val="center"/>
          </w:tcPr>
          <w:p w14:paraId="6189287F" w14:textId="77777777"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注：本期已实现收益指基金本期利息收入、投资收益、其他收入(不含公允价值变动收益)扣除相关费用后的余额，本期利润为本期已实现收益加上本期公允价值变动收益。 </w:t>
      </w:r>
    </w:p>
    <w:p w14:paraId="6439A164" w14:textId="77777777"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14:paraId="11F160E2"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741E72A0"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4F204AA0" w14:textId="77777777"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14:paraId="5D16225B" w14:textId="77777777" w:rsidR="00EF6FA5" w:rsidRPr="00414345" w:rsidTr="00A324F4">
        <w:trPr>
          <w:jc w:val="center"/>
        </w:trPr>
        <w:tc>
          <w:tcPr>
            <w:tcW w:type="dxa" w:w="1614"/>
            <w:vAlign w:val="center"/>
          </w:tcPr>
          <w:p w14:paraId="24DBC88C"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14:paraId="1EA97655"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14:paraId="662D5BB1"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14:paraId="752373B5"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14:paraId="6C1AE1DC"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14:paraId="5E579F8B"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14:paraId="6290839E" w14:textId="77777777"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0.40%</w:t>
            </w:r>
          </w:p>
        </w:tc>
        <w:tc>
          <w:tcPr>
            <w:vAlign w:val="center"/>
          </w:tcPr>
          <w:p>
            <w:pPr>
              <w:jc w:val="center"/>
            </w:pPr>
            <w:r>
              <w:rPr>
                <w:color w:val="000000"/>
                <w:sz w:val="24"/>
                <w:szCs w:val="24"/>
              </w:rPr>
              <w:t>0.98%</w:t>
            </w:r>
          </w:p>
        </w:tc>
        <w:tc>
          <w:tcPr>
            <w:vAlign w:val="center"/>
          </w:tcPr>
          <w:p>
            <w:pPr>
              <w:jc w:val="center"/>
            </w:pPr>
            <w:r>
              <w:rPr>
                <w:color w:val="000000"/>
                <w:sz w:val="24"/>
                <w:szCs w:val="24"/>
              </w:rPr>
              <w:t>-1.91%</w:t>
            </w:r>
          </w:p>
        </w:tc>
        <w:tc>
          <w:tcPr>
            <w:vAlign w:val="center"/>
          </w:tcPr>
          <w:p>
            <w:pPr>
              <w:jc w:val="center"/>
            </w:pPr>
            <w:r>
              <w:rPr>
                <w:color w:val="000000"/>
                <w:sz w:val="24"/>
                <w:szCs w:val="24"/>
              </w:rPr>
              <w:t>1.11%</w:t>
            </w:r>
          </w:p>
        </w:tc>
        <w:tc>
          <w:tcPr>
            <w:vAlign w:val="center"/>
          </w:tcPr>
          <w:p>
            <w:pPr>
              <w:jc w:val="center"/>
            </w:pPr>
            <w:r>
              <w:rPr>
                <w:color w:val="000000"/>
                <w:sz w:val="24"/>
                <w:szCs w:val="24"/>
              </w:rPr>
              <w:t>2.31%</w:t>
            </w:r>
          </w:p>
        </w:tc>
        <w:tc>
          <w:tcPr>
            <w:vAlign w:val="center"/>
          </w:tcPr>
          <w:p>
            <w:pPr>
              <w:jc w:val="center"/>
            </w:pPr>
            <w:r>
              <w:rPr>
                <w:color w:val="000000"/>
                <w:sz w:val="24"/>
                <w:szCs w:val="24"/>
              </w:rPr>
              <w:t>-0.13%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8.49%</w:t>
            </w:r>
          </w:p>
        </w:tc>
        <w:tc>
          <w:tcPr>
            <w:vAlign w:val="center"/>
          </w:tcPr>
          <w:p>
            <w:pPr>
              <w:jc w:val="center"/>
            </w:pPr>
            <w:r>
              <w:rPr>
                <w:color w:val="000000"/>
                <w:sz w:val="24"/>
                <w:szCs w:val="24"/>
              </w:rPr>
              <w:t>0.85%</w:t>
            </w:r>
          </w:p>
        </w:tc>
        <w:tc>
          <w:tcPr>
            <w:vAlign w:val="center"/>
          </w:tcPr>
          <w:p>
            <w:pPr>
              <w:jc w:val="center"/>
            </w:pPr>
            <w:r>
              <w:rPr>
                <w:color w:val="000000"/>
                <w:sz w:val="24"/>
                <w:szCs w:val="24"/>
              </w:rPr>
              <w:t>6.37%</w:t>
            </w:r>
          </w:p>
        </w:tc>
        <w:tc>
          <w:tcPr>
            <w:vAlign w:val="center"/>
          </w:tcPr>
          <w:p>
            <w:pPr>
              <w:jc w:val="center"/>
            </w:pPr>
            <w:r>
              <w:rPr>
                <w:color w:val="000000"/>
                <w:sz w:val="24"/>
                <w:szCs w:val="24"/>
              </w:rPr>
              <w:t>0.95%</w:t>
            </w:r>
          </w:p>
        </w:tc>
        <w:tc>
          <w:tcPr>
            <w:vAlign w:val="center"/>
          </w:tcPr>
          <w:p>
            <w:pPr>
              <w:jc w:val="center"/>
            </w:pPr>
            <w:r>
              <w:rPr>
                <w:color w:val="000000"/>
                <w:sz w:val="24"/>
                <w:szCs w:val="24"/>
              </w:rPr>
              <w:t>2.12%</w:t>
            </w:r>
          </w:p>
        </w:tc>
        <w:tc>
          <w:tcPr>
            <w:vAlign w:val="center"/>
          </w:tcPr>
          <w:p>
            <w:pPr>
              <w:jc w:val="center"/>
            </w:pPr>
            <w:r>
              <w:rPr>
                <w:color w:val="000000"/>
                <w:sz w:val="24"/>
                <w:szCs w:val="24"/>
              </w:rPr>
              <w:t>-0.10%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c>
          <w:tcPr>
            <w:vAlign w:val="center"/>
          </w:tcPr>
          <w:p>
            <w:pPr>
              <w:jc w:val="center"/>
            </w:pPr>
            <w:r>
              <w:rPr>
                <w:color w:val="000000"/>
                <w:sz w:val="24"/>
                <w:szCs w:val="24"/>
              </w:rPr>
              <w:t>-</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27.80%</w:t>
            </w:r>
          </w:p>
        </w:tc>
        <w:tc>
          <w:tcPr>
            <w:vAlign w:val="center"/>
          </w:tcPr>
          <w:p>
            <w:pPr>
              <w:jc w:val="center"/>
            </w:pPr>
            <w:r>
              <w:rPr>
                <w:color w:val="000000"/>
                <w:sz w:val="24"/>
                <w:szCs w:val="24"/>
              </w:rPr>
              <w:t>0.89%</w:t>
            </w:r>
          </w:p>
        </w:tc>
        <w:tc>
          <w:tcPr>
            <w:vAlign w:val="center"/>
          </w:tcPr>
          <w:p>
            <w:pPr>
              <w:jc w:val="center"/>
            </w:pPr>
            <w:r>
              <w:rPr>
                <w:color w:val="000000"/>
                <w:sz w:val="24"/>
                <w:szCs w:val="24"/>
              </w:rPr>
              <w:t>20.98%</w:t>
            </w:r>
          </w:p>
        </w:tc>
        <w:tc>
          <w:tcPr>
            <w:vAlign w:val="center"/>
          </w:tcPr>
          <w:p>
            <w:pPr>
              <w:jc w:val="center"/>
            </w:pPr>
            <w:r>
              <w:rPr>
                <w:color w:val="000000"/>
                <w:sz w:val="24"/>
                <w:szCs w:val="24"/>
              </w:rPr>
              <w:t>0.99%</w:t>
            </w:r>
          </w:p>
        </w:tc>
        <w:tc>
          <w:tcPr>
            <w:vAlign w:val="center"/>
          </w:tcPr>
          <w:p>
            <w:pPr>
              <w:jc w:val="center"/>
            </w:pPr>
            <w:r>
              <w:rPr>
                <w:color w:val="000000"/>
                <w:sz w:val="24"/>
                <w:szCs w:val="24"/>
              </w:rPr>
              <w:t>6.82%</w:t>
            </w:r>
          </w:p>
        </w:tc>
        <w:tc>
          <w:tcPr>
            <w:vAlign w:val="center"/>
          </w:tcPr>
          <w:p>
            <w:pPr>
              <w:jc w:val="center"/>
            </w:pPr>
            <w:r>
              <w:rPr>
                <w:color w:val="000000"/>
                <w:sz w:val="24"/>
                <w:szCs w:val="24"/>
              </w:rPr>
              <w:t>-0.10%</w:t>
            </w:r>
          </w:p>
        </w:tc>
      </w:tr>
    </w:tbl>
    <w:p w14:paraId="7EB99470"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308075F7"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4B3A4026" w14:textId="77777777" w:rsidP="00C15CAC" w:rsidR="008606B6" w:rsidRDefault="008606B6" w:rsidRPr="00414345">
      <w:pPr>
        <w:spacing w:before="29" w:line="288" w:lineRule="auto"/>
        <w:jc w:val="center"/>
        <w:rPr>
          <w:color w:val="000000"/>
          <w:sz w:val="24"/>
          <w:szCs w:val="24"/>
        </w:rPr>
      </w:pPr>
      <w:r w:rsidRPr="00414345">
        <w:rPr>
          <w:color w:val="000000"/>
          <w:sz w:val="24"/>
          <w:szCs w:val="24"/>
        </w:rPr>
        <w:t>上投摩根锦程积极成长养老目标五年持有期混合型发起式基金中基金(FOF)</w:t>
      </w:r>
    </w:p>
    <w:p w14:paraId="14BBCD38" w14:textId="77777777"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14:paraId="03BCA7E7" w14:textId="77777777"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2020年4月29日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2021年3月31日</w:t>
      </w:r>
      <w:r w:rsidRPr="00414345">
        <w:rPr>
          <w:rFonts w:ascii="Times New Roman" w:cs="Times New Roman" w:hAnsi="Times New Roman"/>
          <w:color w:val="000000"/>
          <w:sz w:val="24"/>
          <w:szCs w:val="24"/>
        </w:rPr>
        <w:t>）</w:t>
      </w:r>
    </w:p>
    <w:p w14:paraId="7781F220" w14:textId="77777777"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14:anchorId="701EE165" wp14:editId="6BB9C99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pPr>
        <w:autoSpaceDE w:val="0"/>
        <w:autoSpaceDN w:val="0"/>
        <w:adjustRightInd w:val="0"/>
        <w:spacing w:before="29" w:line="288" w:lineRule="auto"/>
        <w:jc w:val="left"/>
        <w:rPr>
          <w:color w:val="000000"/>
          <w:sz w:val="24"/>
          <w:szCs w:val="24"/>
        </w:rPr>
      </w:pPr>
      <w:r>
        <w:rPr>
          <w:color w:val="000000"/>
          <w:sz w:val="24"/>
          <w:szCs w:val="24"/>
        </w:rPr>
        <w:t>注：本基金合同生效日为2020年4月29日，截至本报告期末本基金合同生效未满一年。</w:t>
      </w:r>
    </w:p>
    <w:p w14:paraId="4F32B215" w14:textId="77777777"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本基金建仓期为本基金合同生效日起6个月，建仓期结束时资产配置比例符合本基金基金合同规定。</w:t>
      </w:r>
    </w:p>
    <w:p w14:paraId="66E69E3A" w14:textId="77777777" w:rsidP="00C15CAC" w:rsidR="00957594" w:rsidRDefault="00957594" w:rsidRPr="00414345">
      <w:pPr>
        <w:tabs>
          <w:tab w:pos="1800" w:val="left"/>
        </w:tabs>
        <w:spacing w:before="29" w:line="288" w:lineRule="auto"/>
        <w:rPr>
          <w:color w:val="000000"/>
          <w:sz w:val="24"/>
          <w:szCs w:val="24"/>
        </w:rPr>
      </w:pPr>
    </w:p>
    <w:p w14:paraId="3BABD11E" w14:textId="77777777" w:rsidP="00C15CAC" w:rsidR="00693843" w:rsidRDefault="00693843" w:rsidRPr="00414345">
      <w:pPr>
        <w:tabs>
          <w:tab w:pos="1800" w:val="left"/>
        </w:tabs>
        <w:spacing w:before="29" w:line="288" w:lineRule="auto"/>
        <w:rPr>
          <w:color w:val="000000"/>
          <w:sz w:val="24"/>
          <w:szCs w:val="24"/>
        </w:rPr>
      </w:pPr>
    </w:p>
    <w:p w14:paraId="709B0B98" w14:textId="77777777" w:rsidP="00C15CAC" w:rsidR="00627E2D" w:rsidRDefault="00627E2D" w:rsidRPr="00414345">
      <w:pPr>
        <w:autoSpaceDE w:val="0"/>
        <w:autoSpaceDN w:val="0"/>
        <w:adjustRightInd w:val="0"/>
        <w:spacing w:before="29" w:line="288" w:lineRule="auto"/>
        <w:jc w:val="left"/>
        <w:rPr>
          <w:color w:val="000000"/>
          <w:sz w:val="24"/>
          <w:szCs w:val="24"/>
        </w:rPr>
      </w:pPr>
    </w:p>
    <w:p w14:paraId="0718B2B8" w14:textId="77777777"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598CF0EB" w14:textId="77777777"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14:paraId="7919217C" w14:textId="77777777" w:rsidR="00286BEF" w:rsidRPr="00414345" w:rsidTr="006A10AB">
        <w:trPr>
          <w:trHeight w:val="292"/>
          <w:jc w:val="center"/>
        </w:trPr>
        <w:tc>
          <w:tcPr>
            <w:tcW w:type="dxa" w:w="851"/>
            <w:vMerge w:val="restart"/>
            <w:vAlign w:val="center"/>
          </w:tcPr>
          <w:p w14:paraId="0F034A6E" w14:textId="77777777"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14:paraId="0C4B1663" w14:textId="77777777"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14:paraId="37A67ED3" w14:textId="77777777"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14:paraId="095C3A99" w14:textId="77777777"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14:paraId="3240C02C" w14:textId="77777777"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14:paraId="58881F7A" w14:textId="77777777" w:rsidR="00D13737" w:rsidRPr="00414345" w:rsidTr="006A10AB">
        <w:trPr>
          <w:jc w:val="center"/>
        </w:trPr>
        <w:tc>
          <w:tcPr>
            <w:tcW w:type="dxa" w:w="851"/>
            <w:vMerge/>
            <w:vAlign w:val="center"/>
          </w:tcPr>
          <w:p w14:paraId="54269984" w14:textId="77777777"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14:paraId="67DC4660" w14:textId="77777777"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14:paraId="0884C086" w14:textId="77777777"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14:paraId="67DA7A84" w14:textId="77777777"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14:paraId="439B0FBE" w14:textId="77777777"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14:paraId="2EB7B42E" w14:textId="77777777"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杜习杰</w:t>
            </w:r>
          </w:p>
        </w:tc>
        <w:tc>
          <w:tcPr>
            <w:vAlign w:val="center"/>
          </w:tcPr>
          <w:p>
            <w:pPr>
              <w:jc w:val="center"/>
            </w:pPr>
            <w:r>
              <w:rPr>
                <w:color w:val="000000"/>
                <w:sz w:val="24"/>
                <w:szCs w:val="24"/>
              </w:rPr>
              <w:t>本基金基金经理</w:t>
            </w:r>
          </w:p>
        </w:tc>
        <w:tc>
          <w:tcPr>
            <w:vAlign w:val="center"/>
          </w:tcPr>
          <w:p>
            <w:pPr>
              <w:jc w:val="center"/>
            </w:pPr>
            <w:r>
              <w:rPr>
                <w:color w:val="000000"/>
                <w:sz w:val="24"/>
                <w:szCs w:val="24"/>
              </w:rPr>
              <w:t>2020-04-29</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杜习杰先生，上海财经大学金融学硕士。自2008年7月至2011年5月在长信基金任研究员；2011年6月起加入上投摩根基金管理有限公司，历任研究员、投资经理兼研究员，现任组合基金投资部基金经理。自2019年9月起担任上投摩根锦程均衡养老目标三年持有期混合型基金中基金（FOF）基金经理，自2020年4月起同时担任上投摩根锦程稳健养老目标一年持有期混合型基金中基金(FOF)基金经理及上投摩根锦程积极成长养老目标五年持有期混合型发起式基金中基金(FOF) 基金经理，自2020年12月起同时担任上投摩根尚睿混合型基金中基金(FOF)基金经理。</w:t>
            </w:r>
          </w:p>
        </w:tc>
      </w:tr>
    </w:tbl>
    <w:p>
      <w:pPr>
        <w:autoSpaceDE w:val="0"/>
        <w:autoSpaceDN w:val="0"/>
        <w:adjustRightInd w:val="0"/>
        <w:spacing w:before="29" w:line="288" w:lineRule="auto"/>
        <w:jc w:val="left"/>
        <w:rPr>
          <w:color w:val="000000"/>
          <w:sz w:val="24"/>
          <w:szCs w:val="24"/>
        </w:rPr>
      </w:pPr>
      <w:r>
        <w:rPr>
          <w:color w:val="000000"/>
          <w:sz w:val="24"/>
          <w:szCs w:val="24"/>
        </w:rPr>
        <w:t>注：1. 任职日期和离任日期均指根据公司决定确定的聘任日期和解聘日期。</w:t>
      </w:r>
    </w:p>
    <w:p>
      <w:pPr>
        <w:autoSpaceDE w:val="0"/>
        <w:autoSpaceDN w:val="0"/>
        <w:adjustRightInd w:val="0"/>
        <w:spacing w:before="29" w:line="288" w:lineRule="auto"/>
        <w:jc w:val="left"/>
        <w:rPr>
          <w:color w:val="000000"/>
          <w:sz w:val="24"/>
          <w:szCs w:val="24"/>
        </w:rPr>
      </w:pPr>
      <w:r>
        <w:rPr>
          <w:color w:val="000000"/>
          <w:sz w:val="24"/>
          <w:szCs w:val="24"/>
        </w:rPr>
        <w:t>2. 杜习杰先生为本基金首任基金经理，其任职日期为本基金基金合同生效之日；</w:t>
      </w:r>
    </w:p>
    <w:p w14:paraId="7D38C686"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3. 证券从业的含义遵从行业协会《证券业从业人员资格管理办法》的相关规定。</w:t>
      </w:r>
    </w:p>
    <w:p w14:paraId="525187DA"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1CD5938F" w14:textId="77777777"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积极成长养老目标五年持有期混合型发起式基金中基金(FOF)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488A94DD"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077DB9CE"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D4DCD4D" w14:textId="77777777"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before="29" w:line="288" w:lineRule="auto"/>
        <w:ind w:firstLine="480" w:firstLineChars="20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CCA0F64" w14:textId="77777777"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14:paraId="5EBD3216" w14:textId="77777777"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pPr>
        <w:spacing w:before="29" w:line="288" w:lineRule="auto"/>
        <w:ind w:firstLine="480" w:firstLineChars="200"/>
        <w:rPr>
          <w:color w:val="000000"/>
          <w:sz w:val="24"/>
          <w:szCs w:val="24"/>
        </w:rPr>
      </w:pPr>
      <w:r>
        <w:rPr>
          <w:color w:val="000000"/>
          <w:sz w:val="24"/>
          <w:szCs w:val="24"/>
        </w:rPr>
        <w:t>报告期内，通过对交易价格、交易时间、交易方向等的分析，未发现有可能导致不公平交易和利益输送的异常交易行为。</w:t>
      </w:r>
    </w:p>
    <w:p w14:paraId="1B377021" w14:textId="77777777"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所有投资组合参与的交易所公开竞价同日反向交易成交较少的单边交易量超过该证券当日成交量的5%的情形：无。</w:t>
      </w:r>
    </w:p>
    <w:p w14:paraId="38D55850" w14:textId="77777777" w:rsidP="00C15CAC" w:rsidR="004061AC" w:rsidRDefault="004061AC" w:rsidRPr="00414345">
      <w:pPr>
        <w:spacing w:before="29" w:line="288" w:lineRule="auto"/>
        <w:ind w:firstLine="480" w:firstLineChars="200"/>
        <w:rPr>
          <w:color w:val="000000"/>
          <w:sz w:val="24"/>
          <w:szCs w:val="24"/>
        </w:rPr>
      </w:pPr>
    </w:p>
    <w:p w14:paraId="6BA9C2FC" w14:textId="77777777"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一季度初，变异的新冠病毒给市场带来一丝阴霾，但在疫苗注射的推广下，经济复苏仍在比较明确的道路上。1月份公募基金IPO规模创下历史新高，风险偏好提升，流动性充足，市场大幅上涨。海外经济复苏强劲，推升原油等大宗商品价格上涨。经济的复苏和对通胀的担忧推升10年期美债收益率上行，并创下疫情以来的新高。全球风险资产承压，高估值权益资产大幅调整。一季度上证综指下跌近1%，价值风格大幅度跑赢成长风格。行业层面看钢铁、公用事业、银行、建筑等周期行业涨幅居前。海外权益中德国DAX30指数，日经225指数，标普500等指数涨幅居前。经济基本面显著改善，REITs涨幅明显。利率上行，美债大幅调整。 </w:t>
      </w:r>
    </w:p>
    <w:p w14:paraId="6AAA3A26" w14:textId="77777777"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二季度，全球疫情随疫苗普及压力逐步缓解，虽然部分地区疫情仍有反弹，但疫苗的接种仍在加速，经济逐步恢复至疫情前水平。国内经济增长边际趋缓，货币政策虽向常态回归，但节奏相对温和。近期权益市场的调整，更多是估值层面的修正，现在的估值已经开始吸引配置型资金入场，北上资金流入明显。3月下旬国内债券利率已经开始下行，缓解了白马成长股的估值压力。经济复苏期，盈利上行是支撑股价上涨的主要因素，市场大概率会重新关注盈利和估值相匹配的标的。海外经济复苏带来企业盈利复苏预期加强，货币政策仍以宽松为主，带来较好的全球配置机会。国内债市经过较长时间的调整后性价比逐步体现，当前在经济复苏上升期、通胀预期仍强情况下十年国债利率仍可能上行，但空间已经收窄，长端配置价值逐步显现。REITs基本面预期将大幅改善，在通胀环境下将会有较好的表现。</w:t>
      </w:r>
    </w:p>
    <w:p w14:paraId="1F85C6B5" w14:textId="77777777" w:rsidP="00C15CAC" w:rsidR="00627E2D" w:rsidRDefault="00627E2D" w:rsidRPr="00414345">
      <w:pPr>
        <w:spacing w:before="29" w:line="288" w:lineRule="auto"/>
        <w:ind w:firstLine="480" w:firstLineChars="200"/>
        <w:rPr>
          <w:color w:val="000000"/>
          <w:sz w:val="24"/>
          <w:szCs w:val="24"/>
        </w:rPr>
      </w:pPr>
    </w:p>
    <w:p w14:paraId="6A24CDBE" w14:textId="77777777"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20F5D083" w14:textId="77777777"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本报告期上投摩根锦程积极养老五年持有混合（FOF）份额净值增长率为:0.40%，同期业绩比较基准收益率为:-1.91%。</w:t>
      </w:r>
    </w:p>
    <w:p w14:paraId="114CE6F1" w14:textId="77777777" w:rsidP="00C15CAC" w:rsidR="009C5186" w:rsidRDefault="009C5186" w:rsidRPr="00414345">
      <w:pPr>
        <w:spacing w:before="29" w:line="288" w:lineRule="auto"/>
        <w:ind w:firstLine="480" w:firstLineChars="200"/>
        <w:rPr>
          <w:color w:val="000000"/>
          <w:sz w:val="24"/>
          <w:szCs w:val="24"/>
        </w:rPr>
      </w:pPr>
    </w:p>
    <w:p w14:paraId="189A30CE" w14:textId="77777777"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6E4F0A67" w14:textId="77777777" w:rsidP="00421CD2" w:rsidR="00421CD2" w:rsidRDefault="00421CD2">
      <w:pPr>
        <w:spacing w:before="29" w:line="288" w:lineRule="auto"/>
        <w:ind w:firstLine="480" w:firstLineChars="200"/>
        <w:rPr>
          <w:color w:val="000000"/>
          <w:sz w:val="24"/>
        </w:rPr>
      </w:pPr>
      <w:r w:rsidRPr="002070B4">
        <w:rPr>
          <w:color w:val="000000"/>
          <w:sz w:val="24"/>
        </w:rPr>
        <w:t>无。</w:t>
      </w:r>
    </w:p>
    <w:p w14:paraId="694EFAC4" w14:textId="77777777"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14:paraId="15F71A08" w14:textId="77777777"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14:paraId="7B8B878C" w14:textId="77777777" w:rsidR="00BF0019" w:rsidRPr="007B5F21" w:rsidTr="002D2971">
        <w:tc>
          <w:tcPr>
            <w:tcW w:type="dxa" w:w="720"/>
            <w:vAlign w:val="center"/>
          </w:tcPr>
          <w:p w14:paraId="43AE5CCE"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14:paraId="132B11A5"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14:paraId="7650B35E"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14:paraId="10FE017B"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14:paraId="3916AFE4" w14:textId="77777777" w:rsidR="00BF0019" w:rsidRPr="007B5F21" w:rsidTr="002D2971">
        <w:tc>
          <w:tcPr>
            <w:tcW w:type="dxa" w:w="720"/>
            <w:vAlign w:val="center"/>
          </w:tcPr>
          <w:p w14:paraId="32DC0B15"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14:paraId="3EA1FCF8"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14:paraId="677295DA"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31EBAB48"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191719F0" w14:textId="77777777" w:rsidR="00BF0019" w:rsidRPr="007B5F21" w:rsidTr="002D2971">
        <w:tc>
          <w:tcPr>
            <w:tcW w:type="dxa" w:w="720"/>
            <w:vAlign w:val="center"/>
          </w:tcPr>
          <w:p w14:paraId="3666834A" w14:textId="77777777"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14:paraId="15C76FF9"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14:paraId="1F1F5EE1"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118792CA"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6653A9EF" w14:textId="77777777" w:rsidR="00BF0019" w:rsidRPr="007B5F21" w:rsidTr="002D2971">
        <w:tc>
          <w:tcPr>
            <w:tcW w:type="dxa" w:w="720"/>
            <w:vAlign w:val="center"/>
          </w:tcPr>
          <w:p w14:paraId="264ADBC3"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14:paraId="20DD9DEF"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14:paraId="7100A859"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21,600,514.88</w:t>
            </w:r>
          </w:p>
        </w:tc>
        <w:tc>
          <w:tcPr>
            <w:tcW w:type="dxa" w:w="2801"/>
            <w:vAlign w:val="center"/>
          </w:tcPr>
          <w:p w14:paraId="414745F5"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r w:rsidRPr="007B5F21">
              <w:rPr>
                <w:rFonts w:eastAsiaTheme="minorEastAsia" w:hint="eastAsia"/>
                <w:color w:themeColor="text1" w:val="000000"/>
                <w:sz w:val="24"/>
                <w:szCs w:val="24"/>
              </w:rPr>
              <w:t>86.88</w:t>
            </w:r>
          </w:p>
        </w:tc>
      </w:tr>
      <w:tr w14:paraId="6797A3DE" w14:textId="77777777" w:rsidR="00BF0019" w:rsidRPr="007B5F21" w:rsidTr="002D2971">
        <w:tc>
          <w:tcPr>
            <w:tcW w:type="dxa" w:w="720"/>
            <w:vAlign w:val="center"/>
          </w:tcPr>
          <w:p w14:paraId="32AB1F2D"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lastRenderedPageBreak/>
              <w:t>3</w:t>
            </w:r>
          </w:p>
        </w:tc>
        <w:tc>
          <w:tcPr>
            <w:tcW w:type="dxa" w:w="2824"/>
            <w:vAlign w:val="center"/>
          </w:tcPr>
          <w:p w14:paraId="69D7C3A8"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14:paraId="1579FAB8"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039433E6"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417A4118" w14:textId="77777777" w:rsidR="00BF0019" w:rsidRPr="007B5F21" w:rsidTr="002D2971">
        <w:tc>
          <w:tcPr>
            <w:tcW w:type="dxa" w:w="720"/>
            <w:vAlign w:val="center"/>
          </w:tcPr>
          <w:p w14:paraId="3F766705" w14:textId="77777777"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14:paraId="3C5B0FD2"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14:paraId="0C7ABF70"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5C0EDE7D"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53B03208" w14:textId="77777777" w:rsidR="00BF0019" w:rsidRPr="007B5F21" w:rsidTr="002D2971">
        <w:tc>
          <w:tcPr>
            <w:tcW w:type="dxa" w:w="720"/>
            <w:vAlign w:val="center"/>
          </w:tcPr>
          <w:p w14:paraId="0A200DD7" w14:textId="77777777"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14:paraId="0ABF9599" w14:textId="77777777"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14:paraId="72DAD3AA"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4FF70CBB"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660EB978" w14:textId="77777777" w:rsidR="00BF0019" w:rsidRPr="007B5F21" w:rsidTr="002D2971">
        <w:tc>
          <w:tcPr>
            <w:tcW w:type="dxa" w:w="720"/>
            <w:vAlign w:val="center"/>
          </w:tcPr>
          <w:p w14:paraId="297C3D6A"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14:paraId="1E4CE38D" w14:textId="77777777"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14:paraId="06C25C1D"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69546760"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18258E40" w14:textId="77777777" w:rsidR="00BF0019" w:rsidRPr="007B5F21" w:rsidTr="002D2971">
        <w:tc>
          <w:tcPr>
            <w:tcW w:type="dxa" w:w="720"/>
            <w:vAlign w:val="center"/>
          </w:tcPr>
          <w:p w14:paraId="5DEE2A80"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14:paraId="14E15EA6"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14:paraId="24F8BA3B"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750D3E8D"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3537DBA7" w14:textId="77777777" w:rsidR="00BF0019" w:rsidRPr="007B5F21" w:rsidTr="002D2971">
        <w:tc>
          <w:tcPr>
            <w:tcW w:type="dxa" w:w="720"/>
            <w:vAlign w:val="center"/>
          </w:tcPr>
          <w:p w14:paraId="73CEFDCC"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14:paraId="66EB5F10"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14:paraId="6EAACEA3"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29C63DA6"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2D1C479E" w14:textId="77777777" w:rsidR="00BF0019" w:rsidRPr="007B5F21" w:rsidTr="002D2971">
        <w:tc>
          <w:tcPr>
            <w:tcW w:type="dxa" w:w="720"/>
            <w:vAlign w:val="center"/>
          </w:tcPr>
          <w:p w14:paraId="3AF2610C" w14:textId="77777777"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14:paraId="7F81D8DB"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14:paraId="33693F0C"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14:paraId="67A48201"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14:paraId="3E14CF8C" w14:textId="77777777" w:rsidR="00BF0019" w:rsidRPr="007B5F21" w:rsidTr="002D2971">
        <w:tc>
          <w:tcPr>
            <w:tcW w:type="dxa" w:w="720"/>
            <w:vAlign w:val="center"/>
          </w:tcPr>
          <w:p w14:paraId="30F4376A"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lastRenderedPageBreak/>
              <w:t>7</w:t>
            </w:r>
          </w:p>
        </w:tc>
        <w:tc>
          <w:tcPr>
            <w:tcW w:type="dxa" w:w="2824"/>
            <w:vAlign w:val="center"/>
          </w:tcPr>
          <w:p w14:paraId="23FEAE22" w14:textId="77777777"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14:paraId="7C6B12E8"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2,365,830.83</w:t>
            </w:r>
          </w:p>
        </w:tc>
        <w:tc>
          <w:tcPr>
            <w:tcW w:type="dxa" w:w="2801"/>
            <w:vAlign w:val="center"/>
          </w:tcPr>
          <w:p w14:paraId="32C15634" w14:textId="77777777"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9.52</w:t>
            </w:r>
          </w:p>
        </w:tc>
      </w:tr>
      <w:tr w14:paraId="766C9847" w14:textId="77777777" w:rsidR="00BF0019" w:rsidRPr="007B5F21" w:rsidTr="002D2971">
        <w:tc>
          <w:tcPr>
            <w:tcW w:type="dxa" w:w="720"/>
            <w:vAlign w:val="center"/>
          </w:tcPr>
          <w:p w14:paraId="5D0A4813"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14:paraId="6E7BF4F7" w14:textId="77777777"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14:paraId="24718F6F" w14:textId="77777777"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897,303.39</w:t>
            </w:r>
          </w:p>
        </w:tc>
        <w:tc>
          <w:tcPr>
            <w:tcW w:type="dxa" w:w="2801"/>
            <w:vAlign w:val="center"/>
          </w:tcPr>
          <w:p w14:paraId="339857C9" w14:textId="77777777"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3.61</w:t>
            </w:r>
          </w:p>
        </w:tc>
      </w:tr>
      <w:tr w14:paraId="4ADC2ED3" w14:textId="77777777" w:rsidR="00BF0019" w:rsidRPr="007B5F21" w:rsidTr="002D2971">
        <w:tc>
          <w:tcPr>
            <w:tcW w:type="dxa" w:w="720"/>
            <w:vAlign w:val="center"/>
          </w:tcPr>
          <w:p w14:paraId="3F1AC8F7" w14:textId="77777777"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14:paraId="019C783D" w14:textId="77777777"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14:paraId="6ABD5ABB" w14:textId="77777777"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24,863,649.10</w:t>
            </w:r>
          </w:p>
        </w:tc>
        <w:tc>
          <w:tcPr>
            <w:tcW w:type="dxa" w:w="2801"/>
            <w:vAlign w:val="center"/>
          </w:tcPr>
          <w:p w14:paraId="7D4E95F7" w14:textId="77777777"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14:paraId="399478F7" w14:textId="77777777" w:rsidP="00C15CAC" w:rsidR="004061AC" w:rsidRDefault="004061AC" w:rsidRPr="00414345">
      <w:pPr>
        <w:autoSpaceDE w:val="0"/>
        <w:autoSpaceDN w:val="0"/>
        <w:adjustRightInd w:val="0"/>
        <w:spacing w:before="29" w:line="288" w:lineRule="auto"/>
        <w:jc w:val="left"/>
        <w:rPr>
          <w:color w:val="000000"/>
          <w:sz w:val="24"/>
          <w:szCs w:val="24"/>
        </w:rPr>
      </w:pPr>
    </w:p>
    <w:p w14:paraId="0FF17114" w14:textId="77777777"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3C8BBB79" w14:textId="77777777"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14:paraId="6C0FD6E2"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14:paraId="1BC2FA93" w14:textId="77777777" w:rsidP="00C15CAC" w:rsidR="004061AC" w:rsidRDefault="004061AC" w:rsidRPr="00F51C4E">
      <w:pPr>
        <w:autoSpaceDE w:val="0"/>
        <w:autoSpaceDN w:val="0"/>
        <w:adjustRightInd w:val="0"/>
        <w:spacing w:before="29" w:line="288" w:lineRule="auto"/>
        <w:jc w:val="left"/>
        <w:rPr>
          <w:color w:val="000000"/>
          <w:kern w:val="0"/>
          <w:sz w:val="24"/>
          <w:szCs w:val="24"/>
        </w:rPr>
      </w:pPr>
    </w:p>
    <w:p w14:paraId="22138D08"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14:paraId="7E86214B"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14:paraId="7AB824CA"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p>
    <w:p w14:paraId="056864FA"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14:paraId="39B4DE7D"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14:paraId="6AC825AB"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1B59FD2C"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14:paraId="4A8690FC"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14:paraId="2774ECA3"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p>
    <w:p w14:paraId="4BA701EE" w14:textId="77777777"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45B4182C"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14:paraId="29103A16" w14:textId="77777777" w:rsidP="00C15CAC" w:rsidR="00A54C7D" w:rsidRDefault="00A54C7D" w:rsidRPr="00414345">
      <w:pPr>
        <w:autoSpaceDE w:val="0"/>
        <w:autoSpaceDN w:val="0"/>
        <w:adjustRightInd w:val="0"/>
        <w:spacing w:before="29" w:line="288" w:lineRule="auto"/>
        <w:jc w:val="left"/>
        <w:rPr>
          <w:color w:val="000000"/>
          <w:sz w:val="24"/>
          <w:szCs w:val="24"/>
        </w:rPr>
      </w:pPr>
    </w:p>
    <w:p w14:paraId="6E911942" w14:textId="77777777"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440D644E" w14:textId="77777777"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14:paraId="50CDDE19"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04CE5627" w14:textId="77777777"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35595338"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14:paraId="3EDA5F1D" w14:textId="77777777" w:rsidP="00C15CAC" w:rsidR="004061AC" w:rsidRDefault="004061AC" w:rsidRPr="00414345">
      <w:pPr>
        <w:autoSpaceDE w:val="0"/>
        <w:autoSpaceDN w:val="0"/>
        <w:adjustRightInd w:val="0"/>
        <w:spacing w:before="29" w:line="288" w:lineRule="auto"/>
        <w:jc w:val="left"/>
        <w:rPr>
          <w:color w:val="000000"/>
          <w:kern w:val="0"/>
          <w:sz w:val="24"/>
          <w:szCs w:val="24"/>
        </w:rPr>
      </w:pPr>
    </w:p>
    <w:p w14:paraId="5A7FB838" w14:textId="77777777"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76125A2E" w14:textId="77777777"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14:paraId="391A87EE" w14:textId="77777777" w:rsidP="00C15CAC" w:rsidR="00AA3A38" w:rsidRDefault="00AA3A38" w:rsidRPr="00414345">
      <w:pPr>
        <w:adjustRightInd w:val="0"/>
        <w:snapToGrid w:val="0"/>
        <w:spacing w:before="29" w:line="288" w:lineRule="auto"/>
        <w:rPr>
          <w:sz w:val="24"/>
          <w:szCs w:val="24"/>
        </w:rPr>
      </w:pPr>
    </w:p>
    <w:p w14:paraId="09A5B825" w14:textId="77777777"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0302F5CC" w14:textId="77777777"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14:paraId="239C5067" w14:textId="77777777" w:rsidP="00C15CAC" w:rsidR="00426096" w:rsidRDefault="00426096" w:rsidRPr="00414345">
      <w:pPr>
        <w:autoSpaceDE w:val="0"/>
        <w:autoSpaceDN w:val="0"/>
        <w:adjustRightInd w:val="0"/>
        <w:spacing w:before="29" w:line="288" w:lineRule="auto"/>
        <w:jc w:val="left"/>
        <w:rPr>
          <w:color w:val="000000"/>
          <w:sz w:val="24"/>
          <w:szCs w:val="24"/>
        </w:rPr>
      </w:pPr>
    </w:p>
    <w:p w14:paraId="63CF7AEE" w14:textId="77777777"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29ABE0DE" w14:textId="77777777"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5.11.1报告期内本基金投资的前十名证券的发行主体本期没有出现被监管部门立案调查，或在报告编制日前一年内受到公开谴责、处罚的情形。</w:t>
      </w:r>
    </w:p>
    <w:p w14:paraId="41DE6769" w14:textId="77777777"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5.11.2报告期内本基金投资的前十名股票中没有在基金合同规定备选股票库之外的股票。</w:t>
      </w:r>
    </w:p>
    <w:p w14:paraId="0C31FAEB" w14:textId="77777777"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14:paraId="58285B8B" w14:textId="77777777" w:rsidR="004C0914" w:rsidRPr="00414345" w:rsidTr="000243BD">
        <w:trPr>
          <w:jc w:val="center"/>
        </w:trPr>
        <w:tc>
          <w:tcPr>
            <w:tcW w:type="dxa" w:w="1235"/>
            <w:vAlign w:val="center"/>
          </w:tcPr>
          <w:p w14:paraId="7473BFB1" w14:textId="77777777"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14:paraId="178DDD98" w14:textId="77777777"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14:paraId="387AC019" w14:textId="77777777"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14:paraId="70894D48" w14:textId="77777777" w:rsidR="004C0914" w:rsidRPr="00414345" w:rsidTr="000243BD">
        <w:trPr>
          <w:jc w:val="center"/>
        </w:trPr>
        <w:tc>
          <w:tcPr>
            <w:tcW w:type="dxa" w:w="1235"/>
            <w:vAlign w:val="center"/>
          </w:tcPr>
          <w:p w14:paraId="1F4CC2E2"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14:paraId="5EDD1458"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14:paraId="62624F4E"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5,108.66</w:t>
            </w:r>
          </w:p>
        </w:tc>
      </w:tr>
      <w:tr w14:paraId="2B77A5AA" w14:textId="77777777" w:rsidR="004C0914" w:rsidRPr="00414345" w:rsidTr="000243BD">
        <w:trPr>
          <w:jc w:val="center"/>
        </w:trPr>
        <w:tc>
          <w:tcPr>
            <w:tcW w:type="dxa" w:w="1235"/>
            <w:vAlign w:val="center"/>
          </w:tcPr>
          <w:p w14:paraId="5E66BD37"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14:paraId="2675BCC6"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14:paraId="0DD7D0F3"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852,318.30</w:t>
            </w:r>
          </w:p>
        </w:tc>
      </w:tr>
      <w:tr w14:paraId="28B6F46A" w14:textId="77777777" w:rsidR="004C0914" w:rsidRPr="00414345" w:rsidTr="000243BD">
        <w:trPr>
          <w:jc w:val="center"/>
        </w:trPr>
        <w:tc>
          <w:tcPr>
            <w:tcW w:type="dxa" w:w="1235"/>
            <w:vAlign w:val="center"/>
          </w:tcPr>
          <w:p w14:paraId="281B24C1"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14:paraId="345DCA38"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14:paraId="0D239279"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14:paraId="3ED1F0A3" w14:textId="77777777" w:rsidR="004C0914" w:rsidRPr="00414345" w:rsidTr="000243BD">
        <w:trPr>
          <w:jc w:val="center"/>
        </w:trPr>
        <w:tc>
          <w:tcPr>
            <w:tcW w:type="dxa" w:w="1235"/>
            <w:vAlign w:val="center"/>
          </w:tcPr>
          <w:p w14:paraId="0DCB52CA"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14:paraId="4C33BF69"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14:paraId="7843098A"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321.16</w:t>
            </w:r>
          </w:p>
        </w:tc>
      </w:tr>
      <w:tr w14:paraId="1D1198D5" w14:textId="77777777" w:rsidR="004C0914" w:rsidRPr="00414345" w:rsidTr="000243BD">
        <w:trPr>
          <w:jc w:val="center"/>
        </w:trPr>
        <w:tc>
          <w:tcPr>
            <w:tcW w:type="dxa" w:w="1235"/>
            <w:vAlign w:val="center"/>
          </w:tcPr>
          <w:p w14:paraId="170980A6"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14:paraId="62991534"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14:paraId="25CF4EDF"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39,555.27</w:t>
            </w:r>
          </w:p>
        </w:tc>
      </w:tr>
      <w:tr w14:paraId="764AB9B5" w14:textId="77777777" w:rsidR="004C0914" w:rsidRPr="00414345" w:rsidTr="000243BD">
        <w:trPr>
          <w:jc w:val="center"/>
        </w:trPr>
        <w:tc>
          <w:tcPr>
            <w:tcW w:type="dxa" w:w="1235"/>
            <w:vAlign w:val="center"/>
          </w:tcPr>
          <w:p w14:paraId="4720D25C"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14:paraId="5132E8FD"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14:paraId="29211C63"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14:paraId="290944E1" w14:textId="77777777" w:rsidR="004C0914" w:rsidRPr="00414345" w:rsidTr="000243BD">
        <w:trPr>
          <w:jc w:val="center"/>
        </w:trPr>
        <w:tc>
          <w:tcPr>
            <w:tcW w:type="dxa" w:w="1235"/>
            <w:vAlign w:val="center"/>
          </w:tcPr>
          <w:p w14:paraId="2BC35A5A"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14:paraId="006E0372"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14:paraId="1786CA3D"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14:paraId="78AC82C2" w14:textId="77777777" w:rsidR="004C0914" w:rsidRPr="00414345" w:rsidTr="000243BD">
        <w:trPr>
          <w:jc w:val="center"/>
        </w:trPr>
        <w:tc>
          <w:tcPr>
            <w:tcW w:type="dxa" w:w="1235"/>
            <w:vAlign w:val="center"/>
          </w:tcPr>
          <w:p w14:paraId="4D8390F5"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14:paraId="4B5CF692"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14:paraId="486C2AA3"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14:paraId="38DAFDEA" w14:textId="77777777" w:rsidR="004C0914" w:rsidRPr="00414345" w:rsidTr="000243BD">
        <w:trPr>
          <w:jc w:val="center"/>
        </w:trPr>
        <w:tc>
          <w:tcPr>
            <w:tcW w:type="dxa" w:w="1235"/>
            <w:vAlign w:val="center"/>
          </w:tcPr>
          <w:p w14:paraId="0D213AA0" w14:textId="77777777"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14:paraId="4ED2C033" w14:textId="77777777"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14:paraId="06244796" w14:textId="77777777"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897,303.39</w:t>
            </w:r>
          </w:p>
        </w:tc>
      </w:tr>
    </w:tbl>
    <w:p w14:paraId="2AC06C61" w14:textId="77777777" w:rsidP="00C15CAC" w:rsidR="002918E3" w:rsidRDefault="002918E3" w:rsidRPr="00414345">
      <w:pPr>
        <w:autoSpaceDE w:val="0"/>
        <w:autoSpaceDN w:val="0"/>
        <w:adjustRightInd w:val="0"/>
        <w:spacing w:before="29" w:line="288" w:lineRule="auto"/>
        <w:rPr>
          <w:color w:val="000000"/>
          <w:sz w:val="24"/>
          <w:szCs w:val="24"/>
        </w:rPr>
      </w:pPr>
    </w:p>
    <w:p w14:paraId="330A85D4" w14:textId="77777777"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14:paraId="541CC152"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14:paraId="6E314FD6" w14:textId="77777777" w:rsidP="00C15CAC" w:rsidR="002918E3" w:rsidRDefault="002918E3" w:rsidRPr="00414345">
      <w:pPr>
        <w:autoSpaceDE w:val="0"/>
        <w:autoSpaceDN w:val="0"/>
        <w:adjustRightInd w:val="0"/>
        <w:spacing w:before="29" w:line="288" w:lineRule="auto"/>
        <w:rPr>
          <w:color w:val="000000"/>
          <w:sz w:val="24"/>
          <w:szCs w:val="24"/>
        </w:rPr>
      </w:pPr>
    </w:p>
    <w:p w14:paraId="74D0B7E7" w14:textId="77777777"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14:paraId="42A8C9A4" w14:textId="77777777"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r w:rsidR="004061AC" w:rsidRPr="00414345">
        <w:rPr>
          <w:color w:val="000000"/>
          <w:sz w:val="24"/>
          <w:szCs w:val="24"/>
        </w:rPr>
        <w:t>本基金本报告期末前十名股票中不存在流通受限情况。</w:t>
      </w:r>
    </w:p>
    <w:p w14:paraId="604C7EC7" w14:textId="77777777" w:rsidP="00C15CAC" w:rsidR="002918E3" w:rsidRDefault="002918E3" w:rsidRPr="00414345">
      <w:pPr>
        <w:autoSpaceDE w:val="0"/>
        <w:autoSpaceDN w:val="0"/>
        <w:adjustRightInd w:val="0"/>
        <w:spacing w:before="29" w:line="288" w:lineRule="auto"/>
        <w:rPr>
          <w:color w:val="000000"/>
          <w:sz w:val="24"/>
          <w:szCs w:val="24"/>
        </w:rPr>
      </w:pPr>
    </w:p>
    <w:p w14:paraId="71A88F34" w14:textId="77777777"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14:paraId="6A8AA1D8" w14:textId="77777777"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因四舍五入的原因，投资组合报告中分项之和与合计数可能存在尾差。</w:t>
      </w:r>
    </w:p>
    <w:p w14:paraId="636FC14B" w14:textId="77777777" w:rsidP="00C15CAC" w:rsidR="006B2FF6" w:rsidRDefault="006B2FF6">
      <w:pPr>
        <w:spacing w:before="29" w:line="288" w:lineRule="auto"/>
        <w:ind w:firstLine="480" w:firstLineChars="200"/>
        <w:rPr>
          <w:color w:val="000000"/>
          <w:sz w:val="24"/>
          <w:szCs w:val="24"/>
        </w:rPr>
      </w:pPr>
    </w:p>
    <w:p w14:paraId="515754AE" w14:textId="77777777" w:rsidP="00C15CAC" w:rsidR="001F3E2A" w:rsidRDefault="001F3E2A">
      <w:pPr>
        <w:spacing w:before="29" w:line="288" w:lineRule="auto"/>
        <w:ind w:firstLine="480" w:firstLineChars="200"/>
        <w:rPr>
          <w:color w:val="000000"/>
          <w:sz w:val="24"/>
          <w:szCs w:val="24"/>
        </w:rPr>
      </w:pPr>
    </w:p>
    <w:p w14:paraId="1E586969" w14:textId="77777777" w:rsidP="0011537B" w:rsidR="001F3E2A" w:rsidRDefault="001F3E2A" w:rsidRPr="00575270">
      <w:pPr>
        <w:pStyle w:val="1"/>
        <w:spacing w:after="312" w:afterLines="100" w:before="312"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14:paraId="40D09E96" w14:textId="77777777"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tbl>
      <w:tblPr>
        <w:tblStyle w:val="af7"/>
        <w:tblW w:type="pct" w:w="5000"/>
        <w:tblLayout w:type="fixed"/>
        <w:tblLook w:firstColumn="1" w:firstRow="1" w:lastColumn="0" w:lastRow="0" w:noHBand="0" w:noVBand="1" w:val="04A0"/>
      </w:tblPr>
      <w:tblGrid>
        <w:gridCol w:w="835"/>
        <w:gridCol w:w="1159"/>
        <w:gridCol w:w="1161"/>
        <w:gridCol w:w="1161"/>
        <w:gridCol w:w="1159"/>
        <w:gridCol w:w="1305"/>
        <w:gridCol w:w="1161"/>
        <w:gridCol w:w="1301"/>
      </w:tblGrid>
      <w:tr w14:paraId="56E1CC73" w14:textId="77777777" w:rsidR="001F3E2A" w:rsidRPr="00575270" w:rsidTr="00CD14C0">
        <w:tc>
          <w:tcPr>
            <w:tcW w:type="pct" w:w="452"/>
            <w:vAlign w:val="center"/>
          </w:tcPr>
          <w:p w14:paraId="1E60B83C"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序号</w:t>
            </w:r>
            <w:r w:rsidRPr="00575270">
              <w:rPr>
                <w:rFonts w:ascii="Times New Roman" w:cs="Times New Roman" w:eastAsiaTheme="minorEastAsia" w:hAnsi="Times New Roman"/>
                <w:color w:themeColor="text1" w:val="000000"/>
              </w:rPr>
              <w:t/>
            </w:r>
          </w:p>
        </w:tc>
        <w:tc>
          <w:tcPr>
            <w:tcW w:type="pct" w:w="627"/>
            <w:vAlign w:val="center"/>
          </w:tcPr>
          <w:p w14:paraId="7F88A42B"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基金代码</w:t>
            </w:r>
          </w:p>
        </w:tc>
        <w:tc>
          <w:tcPr>
            <w:tcW w:type="pct" w:w="628"/>
            <w:vAlign w:val="center"/>
          </w:tcPr>
          <w:p w14:paraId="380F05AD"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基金名称</w:t>
            </w:r>
          </w:p>
        </w:tc>
        <w:tc>
          <w:tcPr>
            <w:tcW w:type="pct" w:w="628"/>
            <w:vAlign w:val="center"/>
          </w:tcPr>
          <w:p w14:paraId="335981A9"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运作方式</w:t>
            </w:r>
          </w:p>
        </w:tc>
        <w:tc>
          <w:tcPr>
            <w:tcW w:type="pct" w:w="627"/>
            <w:vAlign w:val="center"/>
          </w:tcPr>
          <w:p w14:paraId="0BCFF2A2"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持有份额（份）</w:t>
            </w:r>
          </w:p>
        </w:tc>
        <w:tc>
          <w:tcPr>
            <w:tcW w:type="pct" w:w="706"/>
            <w:vAlign w:val="center"/>
          </w:tcPr>
          <w:p w14:paraId="439BFA35" w14:textId="77777777" w:rsidP="00CD14C0" w:rsidR="001F3E2A" w:rsidRDefault="001F3E2A"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公允价值（元）</w:t>
            </w:r>
          </w:p>
        </w:tc>
        <w:tc>
          <w:tcPr>
            <w:tcW w:type="pct" w:w="628"/>
            <w:vAlign w:val="center"/>
          </w:tcPr>
          <w:p w14:paraId="51DA966C" w14:textId="77777777" w:rsidP="00CD14C0" w:rsidR="001F3E2A" w:rsidRDefault="001F3E2A" w:rsidRPr="00575270">
            <w:pPr>
              <w:pStyle w:val="Default"/>
              <w:spacing w:line="276" w:lineRule="auto"/>
              <w:rPr>
                <w:rFonts w:ascii="Times New Roman" w:cs="Times New Roman" w:hAnsi="Times New Roman"/>
              </w:rPr>
            </w:pPr>
            <w:r w:rsidRPr="00575270">
              <w:rPr>
                <w:rFonts w:ascii="Times New Roman" w:cs="Times New Roman" w:hAnsi="Times New Roman"/>
              </w:rPr>
              <w:t>占基金资产净值比例</w:t>
            </w:r>
          </w:p>
        </w:tc>
        <w:tc>
          <w:tcPr>
            <w:tcW w:type="pct" w:w="704"/>
            <w:vAlign w:val="center"/>
          </w:tcPr>
          <w:p w14:paraId="49C99EE6" w14:textId="77777777" w:rsidP="00CD14C0" w:rsidR="001F3E2A" w:rsidRDefault="001F3E2A" w:rsidRPr="00575270">
            <w:pPr>
              <w:pStyle w:val="Default"/>
              <w:spacing w:line="276" w:lineRule="auto"/>
              <w:rPr>
                <w:rFonts w:ascii="Times New Roman" w:cs="Times New Roman" w:hAnsi="Times New Roman"/>
              </w:rPr>
            </w:pPr>
            <w:r w:rsidRPr="00575270">
              <w:rPr>
                <w:rFonts w:ascii="Times New Roman" w:cs="Times New Roman" w:hAnsi="Times New Roman"/>
              </w:rPr>
              <w:t>是否属于基金管理人及管理人关联方所管理的基金</w:t>
            </w:r>
          </w:p>
        </w:tc>
      </w:tr>
      <w:tr>
        <w:tc>
          <w:tcPr>
            <w:vAlign w:val="center"/>
          </w:tcPr>
          <w:p>
            <w:pPr>
              <w:jc w:val="center"/>
            </w:pPr>
            <w:r>
              <w:rPr>
                <w:sz w:val="24"/>
                <w:szCs w:val="24"/>
              </w:rPr>
              <w:t>1</w:t>
            </w:r>
          </w:p>
        </w:tc>
        <w:tc>
          <w:tcPr>
            <w:vAlign w:val="center"/>
          </w:tcPr>
          <w:p>
            <w:pPr>
              <w:jc w:val="center"/>
            </w:pPr>
            <w:r>
              <w:rPr>
                <w:sz w:val="24"/>
                <w:szCs w:val="24"/>
              </w:rPr>
              <w:t>512800</w:t>
            </w:r>
          </w:p>
        </w:tc>
        <w:tc>
          <w:tcPr>
            <w:vAlign w:val="center"/>
          </w:tcPr>
          <w:p>
            <w:pPr>
              <w:jc w:val="center"/>
            </w:pPr>
            <w:r>
              <w:rPr>
                <w:sz w:val="24"/>
                <w:szCs w:val="24"/>
              </w:rPr>
              <w:t>华宝中证银行ETF</w:t>
            </w:r>
          </w:p>
        </w:tc>
        <w:tc>
          <w:tcPr>
            <w:vAlign w:val="center"/>
          </w:tcPr>
          <w:p>
            <w:pPr>
              <w:jc w:val="center"/>
            </w:pPr>
            <w:r>
              <w:rPr>
                <w:sz w:val="24"/>
                <w:szCs w:val="24"/>
              </w:rPr>
              <w:t>契约型开放式</w:t>
            </w:r>
          </w:p>
        </w:tc>
        <w:tc>
          <w:tcPr>
            <w:vAlign w:val="center"/>
          </w:tcPr>
          <w:p>
            <w:pPr>
              <w:jc w:val="center"/>
            </w:pPr>
            <w:r>
              <w:rPr>
                <w:sz w:val="24"/>
                <w:szCs w:val="24"/>
              </w:rPr>
              <w:t>999,000.00</w:t>
            </w:r>
          </w:p>
        </w:tc>
        <w:tc>
          <w:tcPr>
            <w:vAlign w:val="center"/>
          </w:tcPr>
          <w:p>
            <w:pPr>
              <w:jc w:val="center"/>
            </w:pPr>
            <w:r>
              <w:rPr>
                <w:sz w:val="24"/>
                <w:szCs w:val="24"/>
              </w:rPr>
              <w:t>1,259,739.00</w:t>
            </w:r>
          </w:p>
        </w:tc>
        <w:tc>
          <w:tcPr>
            <w:vAlign w:val="center"/>
          </w:tcPr>
          <w:p>
            <w:pPr>
              <w:jc w:val="center"/>
            </w:pPr>
            <w:r>
              <w:rPr>
                <w:sz w:val="24"/>
                <w:szCs w:val="24"/>
              </w:rPr>
              <w:t>5.07%</w:t>
            </w:r>
          </w:p>
        </w:tc>
        <w:tc>
          <w:tcPr>
            <w:vAlign w:val="center"/>
          </w:tcPr>
          <w:p>
            <w:pPr>
              <w:jc w:val="center"/>
            </w:pPr>
            <w:r>
              <w:rPr>
                <w:sz w:val="24"/>
                <w:szCs w:val="24"/>
              </w:rPr>
              <w:t>否</w:t>
            </w:r>
          </w:p>
        </w:tc>
      </w:tr>
      <w:tr>
        <w:tc>
          <w:tcPr>
            <w:vAlign w:val="center"/>
          </w:tcPr>
          <w:p>
            <w:pPr>
              <w:jc w:val="center"/>
            </w:pPr>
            <w:r>
              <w:rPr>
                <w:sz w:val="24"/>
                <w:szCs w:val="24"/>
              </w:rPr>
              <w:t>2</w:t>
            </w:r>
          </w:p>
        </w:tc>
        <w:tc>
          <w:tcPr>
            <w:vAlign w:val="center"/>
          </w:tcPr>
          <w:p>
            <w:pPr>
              <w:jc w:val="center"/>
            </w:pPr>
            <w:r>
              <w:rPr>
                <w:sz w:val="24"/>
                <w:szCs w:val="24"/>
              </w:rPr>
              <w:t>000457</w:t>
            </w:r>
          </w:p>
        </w:tc>
        <w:tc>
          <w:tcPr>
            <w:vAlign w:val="center"/>
          </w:tcPr>
          <w:p>
            <w:pPr>
              <w:jc w:val="center"/>
            </w:pPr>
            <w:r>
              <w:rPr>
                <w:sz w:val="24"/>
                <w:szCs w:val="24"/>
              </w:rPr>
              <w:t>上投摩根核心成长股票</w:t>
            </w:r>
          </w:p>
        </w:tc>
        <w:tc>
          <w:tcPr>
            <w:vAlign w:val="center"/>
          </w:tcPr>
          <w:p>
            <w:pPr>
              <w:jc w:val="center"/>
            </w:pPr>
            <w:r>
              <w:rPr>
                <w:sz w:val="24"/>
                <w:szCs w:val="24"/>
              </w:rPr>
              <w:t>契约型开放式</w:t>
            </w:r>
          </w:p>
        </w:tc>
        <w:tc>
          <w:tcPr>
            <w:vAlign w:val="center"/>
          </w:tcPr>
          <w:p>
            <w:pPr>
              <w:jc w:val="center"/>
            </w:pPr>
            <w:r>
              <w:rPr>
                <w:sz w:val="24"/>
                <w:szCs w:val="24"/>
              </w:rPr>
              <w:t>431,211.73</w:t>
            </w:r>
          </w:p>
        </w:tc>
        <w:tc>
          <w:tcPr>
            <w:vAlign w:val="center"/>
          </w:tcPr>
          <w:p>
            <w:pPr>
              <w:jc w:val="center"/>
            </w:pPr>
            <w:r>
              <w:rPr>
                <w:sz w:val="24"/>
                <w:szCs w:val="24"/>
              </w:rPr>
              <w:t>1,231,325.10</w:t>
            </w:r>
          </w:p>
        </w:tc>
        <w:tc>
          <w:tcPr>
            <w:vAlign w:val="center"/>
          </w:tcPr>
          <w:p>
            <w:pPr>
              <w:jc w:val="center"/>
            </w:pPr>
            <w:r>
              <w:rPr>
                <w:sz w:val="24"/>
                <w:szCs w:val="24"/>
              </w:rPr>
              <w:t>4.96%</w:t>
            </w:r>
          </w:p>
        </w:tc>
        <w:tc>
          <w:tcPr>
            <w:vAlign w:val="center"/>
          </w:tcPr>
          <w:p>
            <w:pPr>
              <w:jc w:val="center"/>
            </w:pPr>
            <w:r>
              <w:rPr>
                <w:sz w:val="24"/>
                <w:szCs w:val="24"/>
              </w:rPr>
              <w:t>是</w:t>
            </w:r>
          </w:p>
        </w:tc>
      </w:tr>
      <w:tr>
        <w:tc>
          <w:tcPr>
            <w:vAlign w:val="center"/>
          </w:tcPr>
          <w:p>
            <w:pPr>
              <w:jc w:val="center"/>
            </w:pPr>
            <w:r>
              <w:rPr>
                <w:sz w:val="24"/>
                <w:szCs w:val="24"/>
              </w:rPr>
              <w:t>3</w:t>
            </w:r>
          </w:p>
        </w:tc>
        <w:tc>
          <w:tcPr>
            <w:vAlign w:val="center"/>
          </w:tcPr>
          <w:p>
            <w:pPr>
              <w:jc w:val="center"/>
            </w:pPr>
            <w:r>
              <w:rPr>
                <w:sz w:val="24"/>
                <w:szCs w:val="24"/>
              </w:rPr>
              <w:t>968010</w:t>
            </w:r>
          </w:p>
        </w:tc>
        <w:tc>
          <w:tcPr>
            <w:vAlign w:val="center"/>
          </w:tcPr>
          <w:p>
            <w:pPr>
              <w:jc w:val="center"/>
            </w:pPr>
            <w:r>
              <w:rPr>
                <w:sz w:val="24"/>
                <w:szCs w:val="24"/>
              </w:rPr>
              <w:t>摩根太平洋证券人民币</w:t>
            </w:r>
          </w:p>
        </w:tc>
        <w:tc>
          <w:tcPr>
            <w:vAlign w:val="center"/>
          </w:tcPr>
          <w:p>
            <w:pPr>
              <w:jc w:val="center"/>
            </w:pPr>
            <w:r>
              <w:rPr>
                <w:sz w:val="24"/>
                <w:szCs w:val="24"/>
              </w:rPr>
              <w:t>契约型开放式</w:t>
            </w:r>
          </w:p>
        </w:tc>
        <w:tc>
          <w:tcPr>
            <w:vAlign w:val="center"/>
          </w:tcPr>
          <w:p>
            <w:pPr>
              <w:jc w:val="center"/>
            </w:pPr>
            <w:r>
              <w:rPr>
                <w:sz w:val="24"/>
                <w:szCs w:val="24"/>
              </w:rPr>
              <w:t>46,332.21</w:t>
            </w:r>
          </w:p>
        </w:tc>
        <w:tc>
          <w:tcPr>
            <w:vAlign w:val="center"/>
          </w:tcPr>
          <w:p>
            <w:pPr>
              <w:jc w:val="center"/>
            </w:pPr>
            <w:r>
              <w:rPr>
                <w:sz w:val="24"/>
                <w:szCs w:val="24"/>
              </w:rPr>
              <w:t>1,168,498.34</w:t>
            </w:r>
          </w:p>
        </w:tc>
        <w:tc>
          <w:tcPr>
            <w:vAlign w:val="center"/>
          </w:tcPr>
          <w:p>
            <w:pPr>
              <w:jc w:val="center"/>
            </w:pPr>
            <w:r>
              <w:rPr>
                <w:sz w:val="24"/>
                <w:szCs w:val="24"/>
              </w:rPr>
              <w:t>4.70%</w:t>
            </w:r>
          </w:p>
        </w:tc>
        <w:tc>
          <w:tcPr>
            <w:vAlign w:val="center"/>
          </w:tcPr>
          <w:p>
            <w:pPr>
              <w:jc w:val="center"/>
            </w:pPr>
            <w:r>
              <w:rPr>
                <w:sz w:val="24"/>
                <w:szCs w:val="24"/>
              </w:rPr>
              <w:t>是</w:t>
            </w:r>
          </w:p>
        </w:tc>
      </w:tr>
      <w:tr>
        <w:tc>
          <w:tcPr>
            <w:vAlign w:val="center"/>
          </w:tcPr>
          <w:p>
            <w:pPr>
              <w:jc w:val="center"/>
            </w:pPr>
            <w:r>
              <w:rPr>
                <w:sz w:val="24"/>
                <w:szCs w:val="24"/>
              </w:rPr>
              <w:t>4</w:t>
            </w:r>
          </w:p>
        </w:tc>
        <w:tc>
          <w:tcPr>
            <w:vAlign w:val="center"/>
          </w:tcPr>
          <w:p>
            <w:pPr>
              <w:jc w:val="center"/>
            </w:pPr>
            <w:r>
              <w:rPr>
                <w:sz w:val="24"/>
                <w:szCs w:val="24"/>
              </w:rPr>
              <w:t>159996</w:t>
            </w:r>
          </w:p>
        </w:tc>
        <w:tc>
          <w:tcPr>
            <w:vAlign w:val="center"/>
          </w:tcPr>
          <w:p>
            <w:pPr>
              <w:jc w:val="center"/>
            </w:pPr>
            <w:r>
              <w:rPr>
                <w:sz w:val="24"/>
                <w:szCs w:val="24"/>
              </w:rPr>
              <w:t>国泰中证全指家用电器ETF</w:t>
            </w:r>
          </w:p>
        </w:tc>
        <w:tc>
          <w:tcPr>
            <w:vAlign w:val="center"/>
          </w:tcPr>
          <w:p>
            <w:pPr>
              <w:jc w:val="center"/>
            </w:pPr>
            <w:r>
              <w:rPr>
                <w:sz w:val="24"/>
                <w:szCs w:val="24"/>
              </w:rPr>
              <w:t>契约型开放式</w:t>
            </w:r>
          </w:p>
        </w:tc>
        <w:tc>
          <w:tcPr>
            <w:vAlign w:val="center"/>
          </w:tcPr>
          <w:p>
            <w:pPr>
              <w:jc w:val="center"/>
            </w:pPr>
            <w:r>
              <w:rPr>
                <w:sz w:val="24"/>
                <w:szCs w:val="24"/>
              </w:rPr>
              <w:t>824,700.00</w:t>
            </w:r>
          </w:p>
        </w:tc>
        <w:tc>
          <w:tcPr>
            <w:vAlign w:val="center"/>
          </w:tcPr>
          <w:p>
            <w:pPr>
              <w:jc w:val="center"/>
            </w:pPr>
            <w:r>
              <w:rPr>
                <w:sz w:val="24"/>
                <w:szCs w:val="24"/>
              </w:rPr>
              <w:t>1,139,735.40</w:t>
            </w:r>
          </w:p>
        </w:tc>
        <w:tc>
          <w:tcPr>
            <w:vAlign w:val="center"/>
          </w:tcPr>
          <w:p>
            <w:pPr>
              <w:jc w:val="center"/>
            </w:pPr>
            <w:r>
              <w:rPr>
                <w:sz w:val="24"/>
                <w:szCs w:val="24"/>
              </w:rPr>
              <w:t>4.59%</w:t>
            </w:r>
          </w:p>
        </w:tc>
        <w:tc>
          <w:tcPr>
            <w:vAlign w:val="center"/>
          </w:tcPr>
          <w:p>
            <w:pPr>
              <w:jc w:val="center"/>
            </w:pPr>
            <w:r>
              <w:rPr>
                <w:sz w:val="24"/>
                <w:szCs w:val="24"/>
              </w:rPr>
              <w:t>否</w:t>
            </w:r>
          </w:p>
        </w:tc>
      </w:tr>
      <w:tr>
        <w:tc>
          <w:tcPr>
            <w:vAlign w:val="center"/>
          </w:tcPr>
          <w:p>
            <w:pPr>
              <w:jc w:val="center"/>
            </w:pPr>
            <w:r>
              <w:rPr>
                <w:sz w:val="24"/>
                <w:szCs w:val="24"/>
              </w:rPr>
              <w:t>5</w:t>
            </w:r>
          </w:p>
        </w:tc>
        <w:tc>
          <w:tcPr>
            <w:vAlign w:val="center"/>
          </w:tcPr>
          <w:p>
            <w:pPr>
              <w:jc w:val="center"/>
            </w:pPr>
            <w:r>
              <w:rPr>
                <w:sz w:val="24"/>
                <w:szCs w:val="24"/>
              </w:rPr>
              <w:t>510500</w:t>
            </w:r>
          </w:p>
        </w:tc>
        <w:tc>
          <w:tcPr>
            <w:vAlign w:val="center"/>
          </w:tcPr>
          <w:p>
            <w:pPr>
              <w:jc w:val="center"/>
            </w:pPr>
            <w:r>
              <w:rPr>
                <w:sz w:val="24"/>
                <w:szCs w:val="24"/>
              </w:rPr>
              <w:t>南方中证500ETF</w:t>
            </w:r>
          </w:p>
        </w:tc>
        <w:tc>
          <w:tcPr>
            <w:vAlign w:val="center"/>
          </w:tcPr>
          <w:p>
            <w:pPr>
              <w:jc w:val="center"/>
            </w:pPr>
            <w:r>
              <w:rPr>
                <w:sz w:val="24"/>
                <w:szCs w:val="24"/>
              </w:rPr>
              <w:t>契约型开放式</w:t>
            </w:r>
          </w:p>
        </w:tc>
        <w:tc>
          <w:tcPr>
            <w:vAlign w:val="center"/>
          </w:tcPr>
          <w:p>
            <w:pPr>
              <w:jc w:val="center"/>
            </w:pPr>
            <w:r>
              <w:rPr>
                <w:sz w:val="24"/>
                <w:szCs w:val="24"/>
              </w:rPr>
              <w:t>161,400.00</w:t>
            </w:r>
          </w:p>
        </w:tc>
        <w:tc>
          <w:tcPr>
            <w:vAlign w:val="center"/>
          </w:tcPr>
          <w:p>
            <w:pPr>
              <w:jc w:val="center"/>
            </w:pPr>
            <w:r>
              <w:rPr>
                <w:sz w:val="24"/>
                <w:szCs w:val="24"/>
              </w:rPr>
              <w:t>1,120,600.20</w:t>
            </w:r>
          </w:p>
        </w:tc>
        <w:tc>
          <w:tcPr>
            <w:vAlign w:val="center"/>
          </w:tcPr>
          <w:p>
            <w:pPr>
              <w:jc w:val="center"/>
            </w:pPr>
            <w:r>
              <w:rPr>
                <w:sz w:val="24"/>
                <w:szCs w:val="24"/>
              </w:rPr>
              <w:t>4.51%</w:t>
            </w:r>
          </w:p>
        </w:tc>
        <w:tc>
          <w:tcPr>
            <w:vAlign w:val="center"/>
          </w:tcPr>
          <w:p>
            <w:pPr>
              <w:jc w:val="center"/>
            </w:pPr>
            <w:r>
              <w:rPr>
                <w:sz w:val="24"/>
                <w:szCs w:val="24"/>
              </w:rPr>
              <w:t>否</w:t>
            </w:r>
          </w:p>
        </w:tc>
      </w:tr>
      <w:tr>
        <w:tc>
          <w:tcPr>
            <w:vAlign w:val="center"/>
          </w:tcPr>
          <w:p>
            <w:pPr>
              <w:jc w:val="center"/>
            </w:pPr>
            <w:r>
              <w:rPr>
                <w:sz w:val="24"/>
                <w:szCs w:val="24"/>
              </w:rPr>
              <w:t>6</w:t>
            </w:r>
          </w:p>
        </w:tc>
        <w:tc>
          <w:tcPr>
            <w:vAlign w:val="center"/>
          </w:tcPr>
          <w:p>
            <w:pPr>
              <w:jc w:val="center"/>
            </w:pPr>
            <w:r>
              <w:rPr>
                <w:sz w:val="24"/>
                <w:szCs w:val="24"/>
              </w:rPr>
              <w:t>159949</w:t>
            </w:r>
          </w:p>
        </w:tc>
        <w:tc>
          <w:tcPr>
            <w:vAlign w:val="center"/>
          </w:tcPr>
          <w:p>
            <w:pPr>
              <w:jc w:val="center"/>
            </w:pPr>
            <w:r>
              <w:rPr>
                <w:sz w:val="24"/>
                <w:szCs w:val="24"/>
              </w:rPr>
              <w:t>创业板50</w:t>
            </w:r>
          </w:p>
        </w:tc>
        <w:tc>
          <w:tcPr>
            <w:vAlign w:val="center"/>
          </w:tcPr>
          <w:p>
            <w:pPr>
              <w:jc w:val="center"/>
            </w:pPr>
            <w:r>
              <w:rPr>
                <w:sz w:val="24"/>
                <w:szCs w:val="24"/>
              </w:rPr>
              <w:t>契约型开放式</w:t>
            </w:r>
          </w:p>
        </w:tc>
        <w:tc>
          <w:tcPr>
            <w:vAlign w:val="center"/>
          </w:tcPr>
          <w:p>
            <w:pPr>
              <w:jc w:val="center"/>
            </w:pPr>
            <w:r>
              <w:rPr>
                <w:sz w:val="24"/>
                <w:szCs w:val="24"/>
              </w:rPr>
              <w:t>959,900.00</w:t>
            </w:r>
          </w:p>
        </w:tc>
        <w:tc>
          <w:tcPr>
            <w:vAlign w:val="center"/>
          </w:tcPr>
          <w:p>
            <w:pPr>
              <w:jc w:val="center"/>
            </w:pPr>
            <w:r>
              <w:rPr>
                <w:sz w:val="24"/>
                <w:szCs w:val="24"/>
              </w:rPr>
              <w:t>1,119,243.40</w:t>
            </w:r>
          </w:p>
        </w:tc>
        <w:tc>
          <w:tcPr>
            <w:vAlign w:val="center"/>
          </w:tcPr>
          <w:p>
            <w:pPr>
              <w:jc w:val="center"/>
            </w:pPr>
            <w:r>
              <w:rPr>
                <w:sz w:val="24"/>
                <w:szCs w:val="24"/>
              </w:rPr>
              <w:t>4.50%</w:t>
            </w:r>
          </w:p>
        </w:tc>
        <w:tc>
          <w:tcPr>
            <w:vAlign w:val="center"/>
          </w:tcPr>
          <w:p>
            <w:pPr>
              <w:jc w:val="center"/>
            </w:pPr>
            <w:r>
              <w:rPr>
                <w:sz w:val="24"/>
                <w:szCs w:val="24"/>
              </w:rPr>
              <w:t>否</w:t>
            </w:r>
          </w:p>
        </w:tc>
      </w:tr>
      <w:tr>
        <w:tc>
          <w:tcPr>
            <w:vAlign w:val="center"/>
          </w:tcPr>
          <w:p>
            <w:pPr>
              <w:jc w:val="center"/>
            </w:pPr>
            <w:r>
              <w:rPr>
                <w:sz w:val="24"/>
                <w:szCs w:val="24"/>
              </w:rPr>
              <w:t>7</w:t>
            </w:r>
          </w:p>
        </w:tc>
        <w:tc>
          <w:tcPr>
            <w:vAlign w:val="center"/>
          </w:tcPr>
          <w:p>
            <w:pPr>
              <w:jc w:val="center"/>
            </w:pPr>
            <w:r>
              <w:rPr>
                <w:sz w:val="24"/>
                <w:szCs w:val="24"/>
              </w:rPr>
              <w:t>376510</w:t>
            </w:r>
          </w:p>
        </w:tc>
        <w:tc>
          <w:tcPr>
            <w:vAlign w:val="center"/>
          </w:tcPr>
          <w:p>
            <w:pPr>
              <w:jc w:val="center"/>
            </w:pPr>
            <w:r>
              <w:rPr>
                <w:sz w:val="24"/>
                <w:szCs w:val="24"/>
              </w:rPr>
              <w:t>上投摩根大盘蓝筹股票</w:t>
            </w:r>
          </w:p>
        </w:tc>
        <w:tc>
          <w:tcPr>
            <w:vAlign w:val="center"/>
          </w:tcPr>
          <w:p>
            <w:pPr>
              <w:jc w:val="center"/>
            </w:pPr>
            <w:r>
              <w:rPr>
                <w:sz w:val="24"/>
                <w:szCs w:val="24"/>
              </w:rPr>
              <w:t>契约型开放式</w:t>
            </w:r>
          </w:p>
        </w:tc>
        <w:tc>
          <w:tcPr>
            <w:vAlign w:val="center"/>
          </w:tcPr>
          <w:p>
            <w:pPr>
              <w:jc w:val="center"/>
            </w:pPr>
            <w:r>
              <w:rPr>
                <w:sz w:val="24"/>
                <w:szCs w:val="24"/>
              </w:rPr>
              <w:t>370,578.37</w:t>
            </w:r>
          </w:p>
        </w:tc>
        <w:tc>
          <w:tcPr>
            <w:vAlign w:val="center"/>
          </w:tcPr>
          <w:p>
            <w:pPr>
              <w:jc w:val="center"/>
            </w:pPr>
            <w:r>
              <w:rPr>
                <w:sz w:val="24"/>
                <w:szCs w:val="24"/>
              </w:rPr>
              <w:t>1,115,107.37</w:t>
            </w:r>
          </w:p>
        </w:tc>
        <w:tc>
          <w:tcPr>
            <w:vAlign w:val="center"/>
          </w:tcPr>
          <w:p>
            <w:pPr>
              <w:jc w:val="center"/>
            </w:pPr>
            <w:r>
              <w:rPr>
                <w:sz w:val="24"/>
                <w:szCs w:val="24"/>
              </w:rPr>
              <w:t>4.49%</w:t>
            </w:r>
          </w:p>
        </w:tc>
        <w:tc>
          <w:tcPr>
            <w:vAlign w:val="center"/>
          </w:tcPr>
          <w:p>
            <w:pPr>
              <w:jc w:val="center"/>
            </w:pPr>
            <w:r>
              <w:rPr>
                <w:sz w:val="24"/>
                <w:szCs w:val="24"/>
              </w:rPr>
              <w:t>是</w:t>
            </w:r>
          </w:p>
        </w:tc>
      </w:tr>
      <w:tr>
        <w:tc>
          <w:tcPr>
            <w:vAlign w:val="center"/>
          </w:tcPr>
          <w:p>
            <w:pPr>
              <w:jc w:val="center"/>
            </w:pPr>
            <w:r>
              <w:rPr>
                <w:sz w:val="24"/>
                <w:szCs w:val="24"/>
              </w:rPr>
              <w:t>8</w:t>
            </w:r>
          </w:p>
        </w:tc>
        <w:tc>
          <w:tcPr>
            <w:vAlign w:val="center"/>
          </w:tcPr>
          <w:p>
            <w:pPr>
              <w:jc w:val="center"/>
            </w:pPr>
            <w:r>
              <w:rPr>
                <w:sz w:val="24"/>
                <w:szCs w:val="24"/>
              </w:rPr>
              <w:t>005613</w:t>
            </w:r>
          </w:p>
        </w:tc>
        <w:tc>
          <w:tcPr>
            <w:vAlign w:val="center"/>
          </w:tcPr>
          <w:p>
            <w:pPr>
              <w:jc w:val="center"/>
            </w:pPr>
            <w:r>
              <w:rPr>
                <w:sz w:val="24"/>
                <w:szCs w:val="24"/>
              </w:rPr>
              <w:t>上投摩根富时发达市场REITS指数</w:t>
            </w:r>
          </w:p>
        </w:tc>
        <w:tc>
          <w:tcPr>
            <w:vAlign w:val="center"/>
          </w:tcPr>
          <w:p>
            <w:pPr>
              <w:jc w:val="center"/>
            </w:pPr>
            <w:r>
              <w:rPr>
                <w:sz w:val="24"/>
                <w:szCs w:val="24"/>
              </w:rPr>
              <w:t>契约型开放式</w:t>
            </w:r>
          </w:p>
        </w:tc>
        <w:tc>
          <w:tcPr>
            <w:vAlign w:val="center"/>
          </w:tcPr>
          <w:p>
            <w:pPr>
              <w:jc w:val="center"/>
            </w:pPr>
            <w:r>
              <w:rPr>
                <w:sz w:val="24"/>
                <w:szCs w:val="24"/>
              </w:rPr>
              <w:t>963,946.10</w:t>
            </w:r>
          </w:p>
        </w:tc>
        <w:tc>
          <w:tcPr>
            <w:vAlign w:val="center"/>
          </w:tcPr>
          <w:p>
            <w:pPr>
              <w:jc w:val="center"/>
            </w:pPr>
            <w:r>
              <w:rPr>
                <w:sz w:val="24"/>
                <w:szCs w:val="24"/>
              </w:rPr>
              <w:t>1,103,139.92</w:t>
            </w:r>
          </w:p>
        </w:tc>
        <w:tc>
          <w:tcPr>
            <w:vAlign w:val="center"/>
          </w:tcPr>
          <w:p>
            <w:pPr>
              <w:jc w:val="center"/>
            </w:pPr>
            <w:r>
              <w:rPr>
                <w:sz w:val="24"/>
                <w:szCs w:val="24"/>
              </w:rPr>
              <w:t>4.44%</w:t>
            </w:r>
          </w:p>
        </w:tc>
        <w:tc>
          <w:tcPr>
            <w:vAlign w:val="center"/>
          </w:tcPr>
          <w:p>
            <w:pPr>
              <w:jc w:val="center"/>
            </w:pPr>
            <w:r>
              <w:rPr>
                <w:sz w:val="24"/>
                <w:szCs w:val="24"/>
              </w:rPr>
              <w:t>是</w:t>
            </w:r>
          </w:p>
        </w:tc>
      </w:tr>
      <w:tr>
        <w:tc>
          <w:tcPr>
            <w:vAlign w:val="center"/>
          </w:tcPr>
          <w:p>
            <w:pPr>
              <w:jc w:val="center"/>
            </w:pPr>
            <w:r>
              <w:rPr>
                <w:sz w:val="24"/>
                <w:szCs w:val="24"/>
              </w:rPr>
              <w:t>9</w:t>
            </w:r>
          </w:p>
        </w:tc>
        <w:tc>
          <w:tcPr>
            <w:vAlign w:val="center"/>
          </w:tcPr>
          <w:p>
            <w:pPr>
              <w:jc w:val="center"/>
            </w:pPr>
            <w:r>
              <w:rPr>
                <w:sz w:val="24"/>
                <w:szCs w:val="24"/>
              </w:rPr>
              <w:t>001984</w:t>
            </w:r>
          </w:p>
        </w:tc>
        <w:tc>
          <w:tcPr>
            <w:vAlign w:val="center"/>
          </w:tcPr>
          <w:p>
            <w:pPr>
              <w:jc w:val="center"/>
            </w:pPr>
            <w:r>
              <w:rPr>
                <w:sz w:val="24"/>
                <w:szCs w:val="24"/>
              </w:rPr>
              <w:t>上投摩根生物医药混合(QDII)</w:t>
            </w:r>
          </w:p>
        </w:tc>
        <w:tc>
          <w:tcPr>
            <w:vAlign w:val="center"/>
          </w:tcPr>
          <w:p>
            <w:pPr>
              <w:jc w:val="center"/>
            </w:pPr>
            <w:r>
              <w:rPr>
                <w:sz w:val="24"/>
                <w:szCs w:val="24"/>
              </w:rPr>
              <w:t>契约型开放式</w:t>
            </w:r>
          </w:p>
        </w:tc>
        <w:tc>
          <w:tcPr>
            <w:vAlign w:val="center"/>
          </w:tcPr>
          <w:p>
            <w:pPr>
              <w:jc w:val="center"/>
            </w:pPr>
            <w:r>
              <w:rPr>
                <w:sz w:val="24"/>
                <w:szCs w:val="24"/>
              </w:rPr>
              <w:t>493,373.73</w:t>
            </w:r>
          </w:p>
        </w:tc>
        <w:tc>
          <w:tcPr>
            <w:vAlign w:val="center"/>
          </w:tcPr>
          <w:p>
            <w:pPr>
              <w:jc w:val="center"/>
            </w:pPr>
            <w:r>
              <w:rPr>
                <w:sz w:val="24"/>
                <w:szCs w:val="24"/>
              </w:rPr>
              <w:t>1,087,346.36</w:t>
            </w:r>
          </w:p>
        </w:tc>
        <w:tc>
          <w:tcPr>
            <w:vAlign w:val="center"/>
          </w:tcPr>
          <w:p>
            <w:pPr>
              <w:jc w:val="center"/>
            </w:pPr>
            <w:r>
              <w:rPr>
                <w:sz w:val="24"/>
                <w:szCs w:val="24"/>
              </w:rPr>
              <w:t>4.38%</w:t>
            </w:r>
          </w:p>
        </w:tc>
        <w:tc>
          <w:tcPr>
            <w:vAlign w:val="center"/>
          </w:tcPr>
          <w:p>
            <w:pPr>
              <w:jc w:val="center"/>
            </w:pPr>
            <w:r>
              <w:rPr>
                <w:sz w:val="24"/>
                <w:szCs w:val="24"/>
              </w:rPr>
              <w:t>是</w:t>
            </w:r>
          </w:p>
        </w:tc>
      </w:tr>
      <w:tr>
        <w:tc>
          <w:tcPr>
            <w:vAlign w:val="center"/>
          </w:tcPr>
          <w:p>
            <w:pPr>
              <w:jc w:val="center"/>
            </w:pPr>
            <w:r>
              <w:rPr>
                <w:sz w:val="24"/>
                <w:szCs w:val="24"/>
              </w:rPr>
              <w:t>10</w:t>
            </w:r>
          </w:p>
        </w:tc>
        <w:tc>
          <w:tcPr>
            <w:vAlign w:val="center"/>
          </w:tcPr>
          <w:p>
            <w:pPr>
              <w:jc w:val="center"/>
            </w:pPr>
            <w:r>
              <w:rPr>
                <w:sz w:val="24"/>
                <w:szCs w:val="24"/>
              </w:rPr>
              <w:t>511010</w:t>
            </w:r>
          </w:p>
        </w:tc>
        <w:tc>
          <w:tcPr>
            <w:vAlign w:val="center"/>
          </w:tcPr>
          <w:p>
            <w:pPr>
              <w:jc w:val="center"/>
            </w:pPr>
            <w:r>
              <w:rPr>
                <w:sz w:val="24"/>
                <w:szCs w:val="24"/>
              </w:rPr>
              <w:t>国泰上证5年期国债ETF</w:t>
            </w:r>
          </w:p>
        </w:tc>
        <w:tc>
          <w:tcPr>
            <w:vAlign w:val="center"/>
          </w:tcPr>
          <w:p>
            <w:pPr>
              <w:jc w:val="center"/>
            </w:pPr>
            <w:r>
              <w:rPr>
                <w:sz w:val="24"/>
                <w:szCs w:val="24"/>
              </w:rPr>
              <w:t>契约型开放式</w:t>
            </w:r>
          </w:p>
        </w:tc>
        <w:tc>
          <w:tcPr>
            <w:vAlign w:val="center"/>
          </w:tcPr>
          <w:p>
            <w:pPr>
              <w:jc w:val="center"/>
            </w:pPr>
            <w:r>
              <w:rPr>
                <w:sz w:val="24"/>
                <w:szCs w:val="24"/>
              </w:rPr>
              <w:t>8,900.00</w:t>
            </w:r>
          </w:p>
        </w:tc>
        <w:tc>
          <w:tcPr>
            <w:vAlign w:val="center"/>
          </w:tcPr>
          <w:p>
            <w:pPr>
              <w:jc w:val="center"/>
            </w:pPr>
            <w:r>
              <w:rPr>
                <w:sz w:val="24"/>
                <w:szCs w:val="24"/>
              </w:rPr>
              <w:t>1,085,212.60</w:t>
            </w:r>
          </w:p>
        </w:tc>
        <w:tc>
          <w:tcPr>
            <w:vAlign w:val="center"/>
          </w:tcPr>
          <w:p>
            <w:pPr>
              <w:jc w:val="center"/>
            </w:pPr>
            <w:r>
              <w:rPr>
                <w:sz w:val="24"/>
                <w:szCs w:val="24"/>
              </w:rPr>
              <w:t>4.37%</w:t>
            </w:r>
          </w:p>
        </w:tc>
        <w:tc>
          <w:tcPr>
            <w:vAlign w:val="center"/>
          </w:tcPr>
          <w:p>
            <w:pPr>
              <w:jc w:val="center"/>
            </w:pPr>
            <w:r>
              <w:rPr>
                <w:sz w:val="24"/>
                <w:szCs w:val="24"/>
              </w:rPr>
              <w:t>否</w:t>
            </w:r>
          </w:p>
        </w:tc>
      </w:tr>
    </w:tbl>
    <w:p w14:paraId="6A1FEC82" w14:textId="77777777" w:rsidP="0011537B" w:rsidR="001F3E2A" w:rsidRDefault="001F3E2A"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tbl>
      <w:tblPr>
        <w:tblStyle w:val="af7"/>
        <w:tblW w:type="auto" w:w="0"/>
        <w:tblLayout w:type="fixed"/>
        <w:tblLook w:firstColumn="1" w:firstRow="1" w:lastColumn="0" w:lastRow="0" w:noHBand="0" w:noVBand="1" w:val="04A0"/>
      </w:tblPr>
      <w:tblGrid>
        <w:gridCol w:w="3012"/>
        <w:gridCol w:w="3012"/>
        <w:gridCol w:w="3012"/>
      </w:tblGrid>
      <w:tr w14:paraId="5EA114FD" w14:textId="77777777" w:rsidR="001F3E2A" w:rsidRPr="00575270" w:rsidTr="00CD14C0">
        <w:tc>
          <w:tcPr>
            <w:tcW w:type="dxa" w:w="3012"/>
            <w:vAlign w:val="center"/>
          </w:tcPr>
          <w:p w14:paraId="65C13315" w14:textId="77777777" w:rsidP="0011537B" w:rsidR="001F3E2A" w:rsidRDefault="001F3E2A" w:rsidRPr="00575270">
            <w:pPr>
              <w:adjustRightInd w:val="0"/>
              <w:snapToGrid w:val="0"/>
              <w:spacing w:before="156" w:beforeLines="50" w:line="276" w:lineRule="auto"/>
              <w:jc w:val="center"/>
              <w:rPr>
                <w:rFonts w:eastAsiaTheme="minorEastAsia"/>
                <w:color w:themeColor="text1" w:val="000000"/>
                <w:sz w:val="24"/>
                <w:szCs w:val="24"/>
              </w:rPr>
            </w:pPr>
            <w:r w:rsidRPr="00575270">
              <w:rPr>
                <w:sz w:val="24"/>
                <w:szCs w:val="24"/>
              </w:rPr>
              <w:t>项目</w:t>
            </w:r>
            <w:r w:rsidRPr="00575270">
              <w:rPr>
                <w:rFonts w:eastAsiaTheme="minorEastAsia"/>
                <w:color w:themeColor="text1" w:val="000000"/>
                <w:sz w:val="24"/>
                <w:szCs w:val="24"/>
              </w:rPr>
              <w:t/>
            </w:r>
          </w:p>
        </w:tc>
        <w:tc>
          <w:tcPr>
            <w:tcW w:type="dxa" w:w="3012"/>
            <w:vAlign w:val="center"/>
          </w:tcPr>
          <w:p w14:paraId="3FD19022" w14:textId="77777777" w:rsidP="00CD14C0" w:rsidR="001F3E2A" w:rsidRDefault="001F3E2A" w:rsidRPr="00575270">
            <w:pPr>
              <w:spacing w:line="276" w:lineRule="auto"/>
              <w:jc w:val="center"/>
              <w:rPr>
                <w:sz w:val="24"/>
                <w:szCs w:val="24"/>
              </w:rPr>
            </w:pPr>
            <w:r w:rsidRPr="00575270">
              <w:rPr>
                <w:sz w:val="24"/>
                <w:szCs w:val="24"/>
              </w:rPr>
              <w:t>本期费用</w:t>
            </w:r>
          </w:p>
        </w:tc>
        <w:tc>
          <w:tcPr>
            <w:tcW w:type="dxa" w:w="3012"/>
            <w:vAlign w:val="center"/>
          </w:tcPr>
          <w:p w14:paraId="65934A95" w14:textId="77777777" w:rsidP="00CD14C0" w:rsidR="001F3E2A" w:rsidRDefault="001F3E2A" w:rsidRPr="00575270">
            <w:pPr>
              <w:spacing w:line="276" w:lineRule="auto"/>
              <w:jc w:val="center"/>
              <w:rPr>
                <w:sz w:val="24"/>
                <w:szCs w:val="24"/>
              </w:rPr>
            </w:pPr>
            <w:r w:rsidRPr="00575270">
              <w:rPr>
                <w:sz w:val="24"/>
                <w:szCs w:val="24"/>
              </w:rPr>
              <w:t>其中：交易及持有基金管理人以及管理人关联方所管理基金产生的费用</w:t>
            </w:r>
          </w:p>
        </w:tc>
      </w:tr>
      <w:tr w14:paraId="26577DE4" w14:textId="77777777" w:rsidR="001F3E2A" w:rsidRPr="00575270" w:rsidTr="00CD14C0">
        <w:tc>
          <w:tcPr>
            <w:tcW w:type="dxa" w:w="3012"/>
            <w:vAlign w:val="center"/>
          </w:tcPr>
          <w:p w14:paraId="64AF0619" w14:textId="77777777" w:rsidP="0011537B" w:rsidR="001F3E2A" w:rsidRDefault="001F3E2A"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当期交易基金产生的申购费</w:t>
            </w:r>
          </w:p>
        </w:tc>
        <w:tc>
          <w:tcPr>
            <w:tcW w:type="dxa" w:w="3012"/>
            <w:vAlign w:val="center"/>
          </w:tcPr>
          <w:p w14:paraId="2989E545"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0.00</w:t>
            </w:r>
          </w:p>
        </w:tc>
        <w:tc>
          <w:tcPr>
            <w:tcW w:type="dxa" w:w="3012"/>
            <w:vAlign w:val="center"/>
          </w:tcPr>
          <w:p w14:paraId="2A2D4908"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0.00</w:t>
            </w:r>
          </w:p>
        </w:tc>
      </w:tr>
      <w:tr w14:paraId="4C5733D9" w14:textId="77777777" w:rsidR="001F3E2A" w:rsidRPr="00575270" w:rsidTr="00CD14C0">
        <w:tc>
          <w:tcPr>
            <w:tcW w:type="dxa" w:w="3012"/>
            <w:vAlign w:val="center"/>
          </w:tcPr>
          <w:p w14:paraId="05856055" w14:textId="77777777" w:rsidP="0011537B" w:rsidR="001F3E2A" w:rsidRDefault="001F3E2A"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当期交易基金产生的赎回</w:t>
            </w:r>
            <w:r w:rsidRPr="00575270">
              <w:rPr>
                <w:sz w:val="24"/>
                <w:szCs w:val="24"/>
              </w:rPr>
              <w:lastRenderedPageBreak/>
              <w:t>费（元）</w:t>
            </w:r>
          </w:p>
        </w:tc>
        <w:tc>
          <w:tcPr>
            <w:tcW w:type="dxa" w:w="3012"/>
            <w:vAlign w:val="center"/>
          </w:tcPr>
          <w:p w14:paraId="68CD61D0"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lastRenderedPageBreak/>
              <w:t/>
            </w:r>
            <w:r w:rsidRPr="00575270">
              <w:rPr>
                <w:rFonts w:eastAsiaTheme="minorEastAsia"/>
                <w:color w:themeColor="text1" w:val="000000"/>
                <w:sz w:val="24"/>
                <w:szCs w:val="24"/>
              </w:rPr>
              <w:t/>
            </w:r>
            <w:r w:rsidRPr="00575270">
              <w:rPr>
                <w:rFonts w:eastAsiaTheme="minorEastAsia"/>
                <w:color w:themeColor="text1" w:val="000000"/>
                <w:sz w:val="24"/>
                <w:szCs w:val="24"/>
              </w:rPr>
              <w:lastRenderedPageBreak/>
              <w:t/>
            </w:r>
            <w:r w:rsidRPr="00575270">
              <w:rPr>
                <w:rFonts w:eastAsiaTheme="minorEastAsia" w:hint="eastAsia"/>
                <w:color w:themeColor="text1" w:val="000000"/>
                <w:sz w:val="24"/>
                <w:szCs w:val="24"/>
              </w:rPr>
              <w:t>2,404.79</w:t>
            </w:r>
          </w:p>
        </w:tc>
        <w:tc>
          <w:tcPr>
            <w:tcW w:type="dxa" w:w="3012"/>
            <w:vAlign w:val="center"/>
          </w:tcPr>
          <w:p w14:paraId="2A2E4699"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lastRenderedPageBreak/>
              <w:t/>
            </w:r>
            <w:r w:rsidRPr="00575270">
              <w:rPr>
                <w:rFonts w:eastAsiaTheme="minorEastAsia"/>
                <w:color w:themeColor="text1" w:val="000000"/>
                <w:sz w:val="24"/>
                <w:szCs w:val="24"/>
              </w:rPr>
              <w:t/>
            </w:r>
            <w:r w:rsidRPr="00575270">
              <w:rPr>
                <w:rFonts w:eastAsiaTheme="minorEastAsia"/>
                <w:color w:themeColor="text1" w:val="000000"/>
                <w:sz w:val="24"/>
                <w:szCs w:val="24"/>
              </w:rPr>
              <w:lastRenderedPageBreak/>
              <w:t/>
            </w:r>
            <w:r w:rsidRPr="00575270">
              <w:rPr>
                <w:rFonts w:eastAsiaTheme="minorEastAsia" w:hint="eastAsia"/>
                <w:color w:themeColor="text1" w:val="000000"/>
                <w:sz w:val="24"/>
                <w:szCs w:val="24"/>
              </w:rPr>
              <w:t>2,404.79</w:t>
            </w:r>
          </w:p>
        </w:tc>
      </w:tr>
      <w:tr w14:paraId="0253B520" w14:textId="77777777" w:rsidR="001F3E2A" w:rsidRPr="00575270" w:rsidTr="00CD14C0">
        <w:tc>
          <w:tcPr>
            <w:tcW w:type="dxa" w:w="3012"/>
            <w:vAlign w:val="center"/>
          </w:tcPr>
          <w:p w14:paraId="486CE49F" w14:textId="77777777" w:rsidP="0011537B" w:rsidR="001F3E2A" w:rsidRDefault="001F3E2A"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lastRenderedPageBreak/>
              <w:t>当期持有基金产生的应支付销售服务费（元）</w:t>
            </w:r>
          </w:p>
        </w:tc>
        <w:tc>
          <w:tcPr>
            <w:tcW w:type="dxa" w:w="3012"/>
            <w:vAlign w:val="center"/>
          </w:tcPr>
          <w:p w14:paraId="148B8AF8"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0.00</w:t>
            </w:r>
          </w:p>
        </w:tc>
        <w:tc>
          <w:tcPr>
            <w:tcW w:type="dxa" w:w="3012"/>
            <w:vAlign w:val="center"/>
          </w:tcPr>
          <w:p w14:paraId="485F1274"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0.00</w:t>
            </w:r>
          </w:p>
        </w:tc>
      </w:tr>
      <w:tr w14:paraId="30561BE4" w14:textId="77777777" w:rsidR="001F3E2A" w:rsidRPr="00575270" w:rsidTr="00CD14C0">
        <w:tc>
          <w:tcPr>
            <w:tcW w:type="dxa" w:w="3012"/>
            <w:vAlign w:val="center"/>
          </w:tcPr>
          <w:p w14:paraId="60583CF4" w14:textId="77777777" w:rsidP="0011537B" w:rsidR="001F3E2A" w:rsidRDefault="001F3E2A"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当期持有基金产生的应支付管理费（元）</w:t>
            </w:r>
          </w:p>
        </w:tc>
        <w:tc>
          <w:tcPr>
            <w:tcW w:type="dxa" w:w="3012"/>
            <w:vAlign w:val="center"/>
          </w:tcPr>
          <w:p w14:paraId="34273C8D"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46,305.94</w:t>
            </w:r>
          </w:p>
        </w:tc>
        <w:tc>
          <w:tcPr>
            <w:tcW w:type="dxa" w:w="3012"/>
            <w:vAlign w:val="center"/>
          </w:tcPr>
          <w:p w14:paraId="604ACAE2"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36,115.34</w:t>
            </w:r>
          </w:p>
        </w:tc>
      </w:tr>
      <w:tr w14:paraId="360832EB" w14:textId="77777777" w:rsidR="001F3E2A" w:rsidRPr="00575270" w:rsidTr="00CD14C0">
        <w:tc>
          <w:tcPr>
            <w:tcW w:type="dxa" w:w="3012"/>
            <w:vAlign w:val="center"/>
          </w:tcPr>
          <w:p w14:paraId="7278C0DB" w14:textId="77777777" w:rsidP="0011537B" w:rsidR="001F3E2A" w:rsidRDefault="001F3E2A"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当期持有基金产生的应支付托管费（元）</w:t>
            </w:r>
          </w:p>
        </w:tc>
        <w:tc>
          <w:tcPr>
            <w:tcW w:type="dxa" w:w="3012"/>
            <w:vAlign w:val="center"/>
          </w:tcPr>
          <w:p w14:paraId="1D8B9942"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8,109.08</w:t>
            </w:r>
          </w:p>
        </w:tc>
        <w:tc>
          <w:tcPr>
            <w:tcW w:type="dxa" w:w="3012"/>
            <w:vAlign w:val="center"/>
          </w:tcPr>
          <w:p w14:paraId="0F832AA8" w14:textId="77777777" w:rsidP="0011537B" w:rsidR="001F3E2A" w:rsidRDefault="001F3E2A"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5,747.18</w:t>
            </w:r>
          </w:p>
        </w:tc>
      </w:tr>
      <w:tr>
        <w:tc>
          <w:tcPr>
            <w:vAlign w:val="center"/>
          </w:tcPr>
          <w:p>
            <w:pPr>
              <w:jc w:val="left"/>
            </w:pPr>
            <w:r>
              <w:rPr>
                <w:rFonts w:eastAsiaTheme="minorEastAsia"/>
                <w:color w:themeColor="text1" w:val="000000"/>
                <w:sz w:val="24"/>
                <w:szCs w:val="24"/>
              </w:rPr>
              <w:t>当期交易基金产生的交易费（元）</w:t>
            </w:r>
          </w:p>
        </w:tc>
        <w:tc>
          <w:tcPr>
            <w:vAlign w:val="center"/>
          </w:tcPr>
          <w:p>
            <w:pPr>
              <w:jc w:val="right"/>
            </w:pPr>
            <w:r>
              <w:rPr>
                <w:rFonts w:eastAsiaTheme="minorEastAsia"/>
                <w:color w:themeColor="text1" w:val="000000"/>
                <w:sz w:val="24"/>
                <w:szCs w:val="24"/>
              </w:rPr>
              <w:t>4,964.17</w:t>
            </w:r>
          </w:p>
        </w:tc>
        <w:tc>
          <w:tcPr>
            <w:vAlign w:val="center"/>
          </w:tcPr>
          <w:p>
            <w:pPr>
              <w:jc w:val="right"/>
            </w:pPr>
            <w:r>
              <w:rPr>
                <w:rFonts w:eastAsiaTheme="minorEastAsia"/>
                <w:color w:themeColor="text1" w:val="000000"/>
                <w:sz w:val="24"/>
                <w:szCs w:val="24"/>
              </w:rPr>
              <w:t>0.00</w:t>
            </w:r>
          </w:p>
        </w:tc>
      </w:tr>
    </w:tbl>
    <w:p w14:paraId="5EF268D7" w14:textId="77777777" w:rsidP="0011537B" w:rsidR="001F3E2A" w:rsidRDefault="001F3E2A"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p w14:paraId="63FE9A78" w14:textId="77777777"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p w14:paraId="3978D3DF" w14:textId="77777777" w:rsidP="00C15CAC" w:rsidR="001F3E2A" w:rsidRDefault="001F3E2A" w:rsidRPr="00414345">
      <w:pPr>
        <w:spacing w:before="29" w:line="288" w:lineRule="auto"/>
        <w:ind w:firstLine="480" w:firstLineChars="200"/>
        <w:rPr>
          <w:color w:val="000000"/>
          <w:sz w:val="24"/>
          <w:szCs w:val="24"/>
        </w:rPr>
      </w:pPr>
    </w:p>
    <w:p w14:paraId="6B64E987" w14:textId="77777777"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14:paraId="195FBFE1" w14:textId="77777777"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14:paraId="44C68878" w14:textId="77777777"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14:paraId="4E149C01" w14:textId="77777777"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7B1A2FD" w14:textId="77777777"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15,622,203.30</w:t>
            </w:r>
          </w:p>
        </w:tc>
      </w:tr>
      <w:tr w14:paraId="35E356C4" w14:textId="77777777"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14:paraId="0F6E4527" w14:textId="77777777"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45FAFAE" w14:textId="77777777"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3,819,300.45</w:t>
            </w:r>
          </w:p>
        </w:tc>
      </w:tr>
      <w:tr w14:paraId="2D1F4448" w14:textId="77777777"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14:paraId="6D846BA7" w14:textId="77777777"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C22C654" w14:textId="77777777"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14:paraId="46C524D1" w14:textId="77777777"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14:paraId="238B47BD" w14:textId="77777777"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14:paraId="314BDF60" w14:textId="77777777"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14:paraId="499EF962" w14:textId="77777777"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14:paraId="14222F95" w14:textId="77777777"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7E882FCE" w14:textId="77777777"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19,441,503.75</w:t>
            </w:r>
          </w:p>
        </w:tc>
      </w:tr>
    </w:tbl>
    <w:p w14:paraId="7ABF61E1" w14:textId="77777777" w:rsidP="00C15CAC" w:rsidR="00320E90" w:rsidRDefault="00320E90">
      <w:pPr>
        <w:autoSpaceDE w:val="0"/>
        <w:autoSpaceDN w:val="0"/>
        <w:adjustRightInd w:val="0"/>
        <w:spacing w:before="29" w:line="288" w:lineRule="auto"/>
        <w:jc w:val="left"/>
        <w:rPr>
          <w:color w:val="000000"/>
          <w:sz w:val="24"/>
          <w:szCs w:val="24"/>
        </w:rPr>
      </w:pPr>
    </w:p>
    <w:p w14:paraId="1B1AE38F" w14:textId="77777777"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14:paraId="7198B14C" w14:textId="77777777"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14:paraId="09D6B456" w14:textId="77777777"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14:paraId="3480BCFA" w14:textId="77777777"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14:paraId="0CD1074F" w14:textId="77777777"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14:paraId="4A1220CA" w14:textId="77777777"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10,000,450.00</w:t>
            </w:r>
          </w:p>
        </w:tc>
      </w:tr>
      <w:tr w14:paraId="571F19A1" w14:textId="77777777"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14:paraId="49DE8342" w14:textId="77777777"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14:paraId="785E5CE8" w14:textId="77777777"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14:paraId="1C7F53F6" w14:textId="77777777"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14:paraId="5F271E50" w14:textId="77777777"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14:paraId="7AC2C152" w14:textId="77777777"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14:paraId="610984F3" w14:textId="77777777"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14:paraId="5BC4D0DE" w14:textId="77777777"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14:paraId="288DBFF3" w14:textId="77777777"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10,000,450.00</w:t>
            </w:r>
          </w:p>
        </w:tc>
      </w:tr>
      <w:tr w14:paraId="0BB812BA" w14:textId="77777777"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14:paraId="453E368B" w14:textId="77777777"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14:paraId="7EBF4B48" w14:textId="77777777"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51.44</w:t>
            </w:r>
          </w:p>
        </w:tc>
      </w:tr>
    </w:tbl>
    <w:p w14:paraId="7012DA7B" w14:textId="77777777" w:rsidP="00C15CAC" w:rsidR="00410630" w:rsidRDefault="00410630">
      <w:pPr>
        <w:autoSpaceDE w:val="0"/>
        <w:autoSpaceDN w:val="0"/>
        <w:adjustRightInd w:val="0"/>
        <w:spacing w:before="29" w:line="288" w:lineRule="auto"/>
        <w:jc w:val="left"/>
        <w:rPr>
          <w:rFonts w:eastAsiaTheme="minorEastAsia"/>
          <w:color w:val="000000"/>
          <w:sz w:val="24"/>
        </w:rPr>
      </w:pPr>
    </w:p>
    <w:p w14:paraId="1E54859D" w14:textId="77777777"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14:paraId="1EDB54D7" w14:textId="77777777"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无。</w:t>
      </w:r>
    </w:p>
    <w:p w14:paraId="5F5275F3" w14:textId="77777777" w:rsidP="00C15CAC" w:rsidR="00480B35" w:rsidRDefault="00480B35" w:rsidRPr="00414345">
      <w:pPr>
        <w:autoSpaceDE w:val="0"/>
        <w:autoSpaceDN w:val="0"/>
        <w:adjustRightInd w:val="0"/>
        <w:spacing w:before="29" w:line="288" w:lineRule="auto"/>
        <w:jc w:val="left"/>
        <w:rPr>
          <w:color w:val="000000"/>
          <w:sz w:val="24"/>
        </w:rPr>
      </w:pPr>
    </w:p>
    <w:p w14:paraId="7983CDCE" w14:textId="77777777" w:rsidP="0011537B" w:rsidR="00D21FFF" w:rsidRDefault="006A1C62"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w:r>
      <w:r w:rsidR="00D21FFF" w:rsidRPr="00414345">
        <w:rPr>
          <w:color w:val="000000"/>
          <w:kern w:val="0"/>
          <w:sz w:val="24"/>
          <w:szCs w:val="24"/>
        </w:rPr>
        <w:t>§</w:t>
      </w:r>
      <w:r w:rsidR="008442C4" w:rsidRPr="00414345">
        <w:rPr>
          <w:color w:val="000000"/>
          <w:kern w:val="0"/>
          <w:sz w:val="24"/>
          <w:szCs w:val="24"/>
        </w:rPr>
        <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00D21FFF" w:rsidRPr="00414345">
        <w:rPr>
          <w:color w:val="000000"/>
          <w:kern w:val="0"/>
          <w:sz w:val="24"/>
          <w:szCs w:val="24"/>
        </w:rPr>
        <w:t>发起式基金发起资金持有份额情况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
          <w:bottom w:type="dxa" w:w="-1"/>
        </w:tblCellMar>
        <w:tblLook w:firstColumn="1" w:firstRow="1" w:lastColumn="0" w:lastRow="0" w:noHBand="0" w:noVBand="1" w:val="04A0"/>
      </w:tblPr>
      <w:tblGrid>
        <w:gridCol w:w="2387"/>
        <w:gridCol w:w="1156"/>
        <w:gridCol w:w="1312"/>
        <w:gridCol w:w="1064"/>
        <w:gridCol w:w="1456"/>
        <w:gridCol w:w="1493"/>
      </w:tblGrid>
      <w:tr w14:paraId="6C7A7BC2" w14:textId="77777777" w:rsidR="00D21FFF" w:rsidRPr="00414345" w:rsidTr="00AB4DB6">
        <w:trPr>
          <w:trHeight w:val="543"/>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507B5291" w14:textId="77777777" w:rsidP="00C15CAC" w:rsidR="00D21FFF" w:rsidRDefault="00D21FFF" w:rsidRPr="00414345">
            <w:pPr>
              <w:widowControl/>
              <w:spacing w:before="29" w:line="288" w:lineRule="auto"/>
              <w:jc w:val="center"/>
              <w:rPr>
                <w:color w:val="000000"/>
                <w:sz w:val="24"/>
                <w:szCs w:val="24"/>
              </w:rPr>
            </w:pPr>
            <w:r w:rsidRPr="00414345">
              <w:rPr>
                <w:color w:val="000000"/>
                <w:sz w:val="24"/>
                <w:szCs w:val="24"/>
              </w:rPr>
              <w:t>项目</w:t>
            </w:r>
            <w:r w:rsidR="00797305" w:rsidRPr="00414345">
              <w:rPr>
                <w:color w:val="000000"/>
                <w:sz w:val="24"/>
                <w:szCs w:val="24"/>
              </w:rPr>
              <w:t/>
            </w:r>
            <w:r w:rsidR="00706D60" w:rsidRPr="00414345">
              <w:rPr>
                <w:color w:val="000000"/>
                <w:sz w:val="24"/>
                <w:szCs w:val="24"/>
              </w:rPr>
              <w:t/>
            </w:r>
          </w:p>
        </w:tc>
        <w:tc>
          <w:tcPr>
            <w:tcW w:type="dxa" w:w="1157"/>
            <w:tcBorders>
              <w:top w:color="auto" w:space="0" w:sz="4" w:val="single"/>
              <w:left w:color="auto" w:space="0" w:sz="4" w:val="single"/>
              <w:bottom w:color="auto" w:space="0" w:sz="4" w:val="single"/>
              <w:right w:color="auto" w:space="0" w:sz="4" w:val="single"/>
            </w:tcBorders>
            <w:vAlign w:val="center"/>
            <w:hideMark/>
          </w:tcPr>
          <w:p w14:paraId="261B72E6" w14:textId="77777777"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type="dxa" w:w="1314"/>
            <w:tcBorders>
              <w:top w:color="auto" w:space="0" w:sz="4" w:val="single"/>
              <w:left w:color="auto" w:space="0" w:sz="4" w:val="single"/>
              <w:bottom w:color="auto" w:space="0" w:sz="4" w:val="single"/>
              <w:right w:color="auto" w:space="0" w:sz="4" w:val="single"/>
            </w:tcBorders>
            <w:vAlign w:val="center"/>
            <w:hideMark/>
          </w:tcPr>
          <w:p w14:paraId="06139C74" w14:textId="77777777"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type="dxa" w:w="1065"/>
            <w:tcBorders>
              <w:top w:color="auto" w:space="0" w:sz="4" w:val="single"/>
              <w:left w:color="auto" w:space="0" w:sz="4" w:val="single"/>
              <w:bottom w:color="auto" w:space="0" w:sz="4" w:val="single"/>
              <w:right w:color="auto" w:space="0" w:sz="4" w:val="single"/>
            </w:tcBorders>
            <w:vAlign w:val="center"/>
            <w:hideMark/>
          </w:tcPr>
          <w:p w14:paraId="3965B8C7" w14:textId="77777777"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type="dxa" w:w="1458"/>
            <w:tcBorders>
              <w:top w:color="auto" w:space="0" w:sz="4" w:val="single"/>
              <w:left w:color="auto" w:space="0" w:sz="4" w:val="single"/>
              <w:bottom w:color="auto" w:space="0" w:sz="4" w:val="single"/>
              <w:right w:color="auto" w:space="0" w:sz="4" w:val="single"/>
            </w:tcBorders>
            <w:vAlign w:val="center"/>
            <w:hideMark/>
          </w:tcPr>
          <w:p w14:paraId="0E6E6B56" w14:textId="77777777" w:rsidP="00C15CAC" w:rsidR="00D21FFF" w:rsidRDefault="00D21FFF" w:rsidRPr="00414345">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type="dxa" w:w="1495"/>
            <w:tcBorders>
              <w:top w:color="auto" w:space="0" w:sz="4" w:val="single"/>
              <w:left w:color="auto" w:space="0" w:sz="4" w:val="single"/>
              <w:bottom w:color="auto" w:space="0" w:sz="4" w:val="single"/>
              <w:right w:color="auto" w:space="0" w:sz="4" w:val="single"/>
            </w:tcBorders>
            <w:vAlign w:val="center"/>
            <w:hideMark/>
          </w:tcPr>
          <w:p w14:paraId="3D1868D5" w14:textId="77777777" w:rsidP="00C15CAC" w:rsidR="00D21FFF" w:rsidRDefault="00D21FFF" w:rsidRPr="00414345">
            <w:pPr>
              <w:widowControl/>
              <w:spacing w:before="29" w:line="288" w:lineRule="auto"/>
              <w:jc w:val="center"/>
              <w:rPr>
                <w:color w:val="000000"/>
                <w:sz w:val="24"/>
                <w:szCs w:val="24"/>
              </w:rPr>
            </w:pPr>
            <w:r w:rsidRPr="00414345">
              <w:rPr>
                <w:color w:val="000000"/>
                <w:sz w:val="24"/>
                <w:szCs w:val="24"/>
              </w:rPr>
              <w:t>发起份额承诺持有期限</w:t>
            </w:r>
          </w:p>
        </w:tc>
      </w:tr>
      <w:tr w14:paraId="1CB3EAD3" w14:textId="77777777"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31EAAD26" w14:textId="77777777" w:rsidP="00C15CAC" w:rsidR="00D21FFF" w:rsidRDefault="00D21FFF" w:rsidRPr="00414345">
            <w:pPr>
              <w:adjustRightInd w:val="0"/>
              <w:snapToGrid w:val="0"/>
              <w:spacing w:before="29" w:line="288" w:lineRule="auto"/>
              <w:rPr>
                <w:color w:val="000000"/>
                <w:sz w:val="24"/>
                <w:szCs w:val="24"/>
              </w:rPr>
            </w:pPr>
            <w:r w:rsidRPr="00414345">
              <w:rPr>
                <w:color w:val="000000"/>
                <w:sz w:val="24"/>
                <w:szCs w:val="24"/>
              </w:rPr>
              <w:t>基金管理人固有资金</w:t>
            </w:r>
          </w:p>
        </w:tc>
        <w:tc>
          <w:tcPr>
            <w:tcW w:type="dxa" w:w="1157"/>
            <w:tcBorders>
              <w:top w:color="auto" w:space="0" w:sz="4" w:val="single"/>
              <w:left w:color="auto" w:space="0" w:sz="4" w:val="single"/>
              <w:bottom w:color="auto" w:space="0" w:sz="4" w:val="single"/>
              <w:right w:color="auto" w:space="0" w:sz="4" w:val="single"/>
            </w:tcBorders>
            <w:vAlign w:val="center"/>
            <w:hideMark/>
          </w:tcPr>
          <w:p w14:paraId="13016565"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10,000,450.00</w:t>
            </w:r>
          </w:p>
        </w:tc>
        <w:tc>
          <w:tcPr>
            <w:tcW w:type="dxa" w:w="1314"/>
            <w:tcBorders>
              <w:top w:color="auto" w:space="0" w:sz="4" w:val="single"/>
              <w:left w:color="auto" w:space="0" w:sz="4" w:val="single"/>
              <w:bottom w:color="auto" w:space="0" w:sz="4" w:val="single"/>
              <w:right w:color="auto" w:space="0" w:sz="4" w:val="single"/>
            </w:tcBorders>
            <w:vAlign w:val="center"/>
            <w:hideMark/>
          </w:tcPr>
          <w:p w14:paraId="379B9E52"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51.44%</w:t>
            </w:r>
          </w:p>
        </w:tc>
        <w:tc>
          <w:tcPr>
            <w:tcW w:type="dxa" w:w="1065"/>
            <w:tcBorders>
              <w:top w:color="auto" w:space="0" w:sz="4" w:val="single"/>
              <w:left w:color="auto" w:space="0" w:sz="4" w:val="single"/>
              <w:bottom w:color="auto" w:space="0" w:sz="4" w:val="single"/>
              <w:right w:color="auto" w:space="0" w:sz="4" w:val="single"/>
            </w:tcBorders>
            <w:vAlign w:val="center"/>
            <w:hideMark/>
          </w:tcPr>
          <w:p w14:paraId="68158654"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10,000,450.00</w:t>
            </w:r>
          </w:p>
        </w:tc>
        <w:tc>
          <w:tcPr>
            <w:tcW w:type="dxa" w:w="1458"/>
            <w:tcBorders>
              <w:top w:color="auto" w:space="0" w:sz="4" w:val="single"/>
              <w:left w:color="auto" w:space="0" w:sz="4" w:val="single"/>
              <w:bottom w:color="auto" w:space="0" w:sz="4" w:val="single"/>
              <w:right w:color="auto" w:space="0" w:sz="4" w:val="single"/>
            </w:tcBorders>
            <w:vAlign w:val="center"/>
            <w:hideMark/>
          </w:tcPr>
          <w:p w14:paraId="1CCF3CDA"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51.44%</w:t>
            </w:r>
          </w:p>
        </w:tc>
        <w:tc>
          <w:tcPr>
            <w:tcW w:type="dxa" w:w="1495"/>
            <w:tcBorders>
              <w:top w:color="auto" w:space="0" w:sz="4" w:val="single"/>
              <w:left w:color="auto" w:space="0" w:sz="4" w:val="single"/>
              <w:bottom w:color="auto" w:space="0" w:sz="4" w:val="single"/>
              <w:right w:color="auto" w:space="0" w:sz="4" w:val="single"/>
            </w:tcBorders>
            <w:vAlign w:val="center"/>
            <w:hideMark/>
          </w:tcPr>
          <w:p w14:paraId="555E4618"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3年</w:t>
            </w:r>
          </w:p>
        </w:tc>
      </w:tr>
      <w:tr w14:paraId="10E1449B" w14:textId="77777777" w:rsidR="00D21FFF" w:rsidRPr="00414345" w:rsidTr="00AB4DB6">
        <w:trPr>
          <w:trHeight w:val="790"/>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3D446DE7" w14:textId="77777777" w:rsidP="00C15CAC" w:rsidR="00D21FFF" w:rsidRDefault="00D21FFF" w:rsidRPr="00414345">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type="dxa" w:w="1157"/>
            <w:tcBorders>
              <w:top w:color="auto" w:space="0" w:sz="4" w:val="single"/>
              <w:left w:color="auto" w:space="0" w:sz="4" w:val="single"/>
              <w:bottom w:color="auto" w:space="0" w:sz="4" w:val="single"/>
              <w:right w:color="auto" w:space="0" w:sz="4" w:val="single"/>
            </w:tcBorders>
            <w:vAlign w:val="center"/>
            <w:hideMark/>
          </w:tcPr>
          <w:p w14:paraId="05391B2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
            </w:r>
            <w:r w:rsidRPr="00414345">
              <w:rPr>
                <w:kern w:val="0"/>
                <w:sz w:val="24"/>
                <w:szCs w:val="24"/>
              </w:rPr>
              <w:lastRenderedPageBreak/>
              <w:t>-</w:t>
            </w:r>
          </w:p>
        </w:tc>
        <w:tc>
          <w:tcPr>
            <w:tcW w:type="dxa" w:w="1314"/>
            <w:tcBorders>
              <w:top w:color="auto" w:space="0" w:sz="4" w:val="single"/>
              <w:left w:color="auto" w:space="0" w:sz="4" w:val="single"/>
              <w:bottom w:color="auto" w:space="0" w:sz="4" w:val="single"/>
              <w:right w:color="auto" w:space="0" w:sz="4" w:val="single"/>
            </w:tcBorders>
            <w:vAlign w:val="center"/>
            <w:hideMark/>
          </w:tcPr>
          <w:p w14:paraId="7AD4422B"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065"/>
            <w:tcBorders>
              <w:top w:color="auto" w:space="0" w:sz="4" w:val="single"/>
              <w:left w:color="auto" w:space="0" w:sz="4" w:val="single"/>
              <w:bottom w:color="auto" w:space="0" w:sz="4" w:val="single"/>
              <w:right w:color="auto" w:space="0" w:sz="4" w:val="single"/>
            </w:tcBorders>
            <w:vAlign w:val="center"/>
            <w:hideMark/>
          </w:tcPr>
          <w:p w14:paraId="3BFB6DFF"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458"/>
            <w:tcBorders>
              <w:top w:color="auto" w:space="0" w:sz="4" w:val="single"/>
              <w:left w:color="auto" w:space="0" w:sz="4" w:val="single"/>
              <w:bottom w:color="auto" w:space="0" w:sz="4" w:val="single"/>
              <w:right w:color="auto" w:space="0" w:sz="4" w:val="single"/>
            </w:tcBorders>
            <w:vAlign w:val="center"/>
            <w:hideMark/>
          </w:tcPr>
          <w:p w14:paraId="37B7AB93"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c>
          <w:tcPr>
            <w:tcW w:type="dxa" w:w="1495"/>
            <w:tcBorders>
              <w:top w:color="auto" w:space="0" w:sz="4" w:val="single"/>
              <w:left w:color="auto" w:space="0" w:sz="4" w:val="single"/>
              <w:bottom w:color="auto" w:space="0" w:sz="4" w:val="single"/>
              <w:right w:color="auto" w:space="0" w:sz="4" w:val="single"/>
            </w:tcBorders>
            <w:vAlign w:val="center"/>
            <w:hideMark/>
          </w:tcPr>
          <w:p w14:paraId="1C3DFB60"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lastRenderedPageBreak/>
              <w:t/>
            </w:r>
            <w:r w:rsidRPr="00414345">
              <w:rPr>
                <w:kern w:val="0"/>
                <w:sz w:val="24"/>
                <w:szCs w:val="24"/>
              </w:rPr>
              <w:lastRenderedPageBreak/>
              <w:t>-</w:t>
            </w:r>
          </w:p>
        </w:tc>
      </w:tr>
      <w:tr w14:paraId="6934E28E" w14:textId="77777777"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2D11A0A9" w14:textId="77777777"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lastRenderedPageBreak/>
              <w:t>基金经理等人员</w:t>
            </w:r>
          </w:p>
        </w:tc>
        <w:tc>
          <w:tcPr>
            <w:tcW w:type="dxa" w:w="1157"/>
            <w:tcBorders>
              <w:top w:color="auto" w:space="0" w:sz="4" w:val="single"/>
              <w:left w:color="auto" w:space="0" w:sz="4" w:val="single"/>
              <w:bottom w:color="auto" w:space="0" w:sz="4" w:val="single"/>
              <w:right w:color="auto" w:space="0" w:sz="4" w:val="single"/>
            </w:tcBorders>
            <w:vAlign w:val="center"/>
            <w:hideMark/>
          </w:tcPr>
          <w:p w14:paraId="184D4FA2"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10,095.57</w:t>
            </w:r>
          </w:p>
        </w:tc>
        <w:tc>
          <w:tcPr>
            <w:tcW w:type="dxa" w:w="1314"/>
            <w:tcBorders>
              <w:top w:color="auto" w:space="0" w:sz="4" w:val="single"/>
              <w:left w:color="auto" w:space="0" w:sz="4" w:val="single"/>
              <w:bottom w:color="auto" w:space="0" w:sz="4" w:val="single"/>
              <w:right w:color="auto" w:space="0" w:sz="4" w:val="single"/>
            </w:tcBorders>
            <w:vAlign w:val="center"/>
            <w:hideMark/>
          </w:tcPr>
          <w:p w14:paraId="68F4C454"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0.05%</w:t>
            </w:r>
          </w:p>
        </w:tc>
        <w:tc>
          <w:tcPr>
            <w:tcW w:type="dxa" w:w="1065"/>
            <w:tcBorders>
              <w:top w:color="auto" w:space="0" w:sz="4" w:val="single"/>
              <w:left w:color="auto" w:space="0" w:sz="4" w:val="single"/>
              <w:bottom w:color="auto" w:space="0" w:sz="4" w:val="single"/>
              <w:right w:color="auto" w:space="0" w:sz="4" w:val="single"/>
            </w:tcBorders>
            <w:vAlign w:val="center"/>
            <w:hideMark/>
          </w:tcPr>
          <w:p w14:paraId="111CB97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10,095.57</w:t>
            </w:r>
          </w:p>
        </w:tc>
        <w:tc>
          <w:tcPr>
            <w:tcW w:type="dxa" w:w="1458"/>
            <w:tcBorders>
              <w:top w:color="auto" w:space="0" w:sz="4" w:val="single"/>
              <w:left w:color="auto" w:space="0" w:sz="4" w:val="single"/>
              <w:bottom w:color="auto" w:space="0" w:sz="4" w:val="single"/>
              <w:right w:color="auto" w:space="0" w:sz="4" w:val="single"/>
            </w:tcBorders>
            <w:vAlign w:val="center"/>
            <w:hideMark/>
          </w:tcPr>
          <w:p w14:paraId="1604A443"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0.05%</w:t>
            </w:r>
          </w:p>
        </w:tc>
        <w:tc>
          <w:tcPr>
            <w:tcW w:type="dxa" w:w="1495"/>
            <w:tcBorders>
              <w:top w:color="auto" w:space="0" w:sz="4" w:val="single"/>
              <w:left w:color="auto" w:space="0" w:sz="4" w:val="single"/>
              <w:bottom w:color="auto" w:space="0" w:sz="4" w:val="single"/>
              <w:right w:color="auto" w:space="0" w:sz="4" w:val="single"/>
            </w:tcBorders>
            <w:vAlign w:val="center"/>
            <w:hideMark/>
          </w:tcPr>
          <w:p w14:paraId="4B1E6C7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3年</w:t>
            </w:r>
          </w:p>
        </w:tc>
      </w:tr>
      <w:tr w14:paraId="62FD20E4" w14:textId="77777777"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2CE4580D" w14:textId="77777777"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type="dxa" w:w="1157"/>
            <w:tcBorders>
              <w:top w:color="auto" w:space="0" w:sz="4" w:val="single"/>
              <w:left w:color="auto" w:space="0" w:sz="4" w:val="single"/>
              <w:bottom w:color="auto" w:space="0" w:sz="4" w:val="single"/>
              <w:right w:color="auto" w:space="0" w:sz="4" w:val="single"/>
            </w:tcBorders>
            <w:vAlign w:val="center"/>
            <w:hideMark/>
          </w:tcPr>
          <w:p w14:paraId="4F12A4DE"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314"/>
            <w:tcBorders>
              <w:top w:color="auto" w:space="0" w:sz="4" w:val="single"/>
              <w:left w:color="auto" w:space="0" w:sz="4" w:val="single"/>
              <w:bottom w:color="auto" w:space="0" w:sz="4" w:val="single"/>
              <w:right w:color="auto" w:space="0" w:sz="4" w:val="single"/>
            </w:tcBorders>
            <w:vAlign w:val="center"/>
            <w:hideMark/>
          </w:tcPr>
          <w:p w14:paraId="194BB0B1"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065"/>
            <w:tcBorders>
              <w:top w:color="auto" w:space="0" w:sz="4" w:val="single"/>
              <w:left w:color="auto" w:space="0" w:sz="4" w:val="single"/>
              <w:bottom w:color="auto" w:space="0" w:sz="4" w:val="single"/>
              <w:right w:color="auto" w:space="0" w:sz="4" w:val="single"/>
            </w:tcBorders>
            <w:vAlign w:val="center"/>
            <w:hideMark/>
          </w:tcPr>
          <w:p w14:paraId="07C63A31"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58"/>
            <w:tcBorders>
              <w:top w:color="auto" w:space="0" w:sz="4" w:val="single"/>
              <w:left w:color="auto" w:space="0" w:sz="4" w:val="single"/>
              <w:bottom w:color="auto" w:space="0" w:sz="4" w:val="single"/>
              <w:right w:color="auto" w:space="0" w:sz="4" w:val="single"/>
            </w:tcBorders>
            <w:vAlign w:val="center"/>
            <w:hideMark/>
          </w:tcPr>
          <w:p w14:paraId="5AB30CA4"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c>
          <w:tcPr>
            <w:tcW w:type="dxa" w:w="1495"/>
            <w:tcBorders>
              <w:top w:color="auto" w:space="0" w:sz="4" w:val="single"/>
              <w:left w:color="auto" w:space="0" w:sz="4" w:val="single"/>
              <w:bottom w:color="auto" w:space="0" w:sz="4" w:val="single"/>
              <w:right w:color="auto" w:space="0" w:sz="4" w:val="single"/>
            </w:tcBorders>
            <w:vAlign w:val="center"/>
            <w:hideMark/>
          </w:tcPr>
          <w:p w14:paraId="21F8DB2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w:t>
            </w:r>
          </w:p>
        </w:tc>
      </w:tr>
      <w:tr w14:paraId="4219EF1A" w14:textId="77777777"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23E3B8FA" w14:textId="77777777"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t>其他</w:t>
            </w:r>
          </w:p>
        </w:tc>
        <w:tc>
          <w:tcPr>
            <w:tcW w:type="dxa" w:w="1157"/>
            <w:tcBorders>
              <w:top w:color="auto" w:space="0" w:sz="4" w:val="single"/>
              <w:left w:color="auto" w:space="0" w:sz="4" w:val="single"/>
              <w:bottom w:color="auto" w:space="0" w:sz="4" w:val="single"/>
              <w:right w:color="auto" w:space="0" w:sz="4" w:val="single"/>
            </w:tcBorders>
            <w:vAlign w:val="center"/>
            <w:hideMark/>
          </w:tcPr>
          <w:p w14:paraId="723C02BE"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9,403.39</w:t>
            </w:r>
          </w:p>
        </w:tc>
        <w:tc>
          <w:tcPr>
            <w:tcW w:type="dxa" w:w="1314"/>
            <w:tcBorders>
              <w:top w:color="auto" w:space="0" w:sz="4" w:val="single"/>
              <w:left w:color="auto" w:space="0" w:sz="4" w:val="single"/>
              <w:bottom w:color="auto" w:space="0" w:sz="4" w:val="single"/>
              <w:right w:color="auto" w:space="0" w:sz="4" w:val="single"/>
            </w:tcBorders>
            <w:vAlign w:val="center"/>
            <w:hideMark/>
          </w:tcPr>
          <w:p w14:paraId="03422E82"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0.05%</w:t>
            </w:r>
          </w:p>
        </w:tc>
        <w:tc>
          <w:tcPr>
            <w:tcW w:type="dxa" w:w="1065"/>
            <w:tcBorders>
              <w:top w:color="auto" w:space="0" w:sz="4" w:val="single"/>
              <w:left w:color="auto" w:space="0" w:sz="4" w:val="single"/>
              <w:bottom w:color="auto" w:space="0" w:sz="4" w:val="single"/>
              <w:right w:color="auto" w:space="0" w:sz="4" w:val="single"/>
            </w:tcBorders>
            <w:vAlign w:val="center"/>
            <w:hideMark/>
          </w:tcPr>
          <w:p w14:paraId="1CFEF1E4"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9,403.39</w:t>
            </w:r>
          </w:p>
        </w:tc>
        <w:tc>
          <w:tcPr>
            <w:tcW w:type="dxa" w:w="1458"/>
            <w:tcBorders>
              <w:top w:color="auto" w:space="0" w:sz="4" w:val="single"/>
              <w:left w:color="auto" w:space="0" w:sz="4" w:val="single"/>
              <w:bottom w:color="auto" w:space="0" w:sz="4" w:val="single"/>
              <w:right w:color="auto" w:space="0" w:sz="4" w:val="single"/>
            </w:tcBorders>
            <w:vAlign w:val="center"/>
            <w:hideMark/>
          </w:tcPr>
          <w:p w14:paraId="7B92884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0.05%</w:t>
            </w:r>
          </w:p>
        </w:tc>
        <w:tc>
          <w:tcPr>
            <w:tcW w:type="dxa" w:w="1495"/>
            <w:tcBorders>
              <w:top w:color="auto" w:space="0" w:sz="4" w:val="single"/>
              <w:left w:color="auto" w:space="0" w:sz="4" w:val="single"/>
              <w:bottom w:color="auto" w:space="0" w:sz="4" w:val="single"/>
              <w:right w:color="auto" w:space="0" w:sz="4" w:val="single"/>
            </w:tcBorders>
            <w:vAlign w:val="center"/>
            <w:hideMark/>
          </w:tcPr>
          <w:p w14:paraId="3F83E5F6"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3年</w:t>
            </w:r>
          </w:p>
        </w:tc>
      </w:tr>
      <w:tr w14:paraId="5C7E70EB" w14:textId="77777777" w:rsidR="00D21FFF" w:rsidRPr="00414345" w:rsidTr="00AB4DB6">
        <w:trPr>
          <w:jc w:val="center"/>
        </w:trPr>
        <w:tc>
          <w:tcPr>
            <w:tcW w:type="dxa" w:w="2391"/>
            <w:tcBorders>
              <w:top w:color="auto" w:space="0" w:sz="4" w:val="single"/>
              <w:left w:color="auto" w:space="0" w:sz="4" w:val="single"/>
              <w:bottom w:color="auto" w:space="0" w:sz="4" w:val="single"/>
              <w:right w:color="auto" w:space="0" w:sz="4" w:val="single"/>
            </w:tcBorders>
            <w:vAlign w:val="center"/>
            <w:hideMark/>
          </w:tcPr>
          <w:p w14:paraId="77F67F06" w14:textId="77777777" w:rsidP="00C15CAC" w:rsidR="00D21FFF" w:rsidRDefault="00D21FFF" w:rsidRPr="00414345">
            <w:pPr>
              <w:adjustRightInd w:val="0"/>
              <w:snapToGrid w:val="0"/>
              <w:spacing w:before="29" w:line="288" w:lineRule="auto"/>
              <w:jc w:val="left"/>
              <w:rPr>
                <w:color w:val="000000"/>
                <w:sz w:val="24"/>
                <w:szCs w:val="24"/>
              </w:rPr>
            </w:pPr>
            <w:r w:rsidRPr="00414345">
              <w:rPr>
                <w:color w:val="000000"/>
                <w:sz w:val="24"/>
                <w:szCs w:val="24"/>
              </w:rPr>
              <w:lastRenderedPageBreak/>
              <w:t>合计</w:t>
            </w:r>
          </w:p>
        </w:tc>
        <w:tc>
          <w:tcPr>
            <w:tcW w:type="dxa" w:w="1157"/>
            <w:tcBorders>
              <w:top w:color="auto" w:space="0" w:sz="4" w:val="single"/>
              <w:left w:color="auto" w:space="0" w:sz="4" w:val="single"/>
              <w:bottom w:color="auto" w:space="0" w:sz="4" w:val="single"/>
              <w:right w:color="auto" w:space="0" w:sz="4" w:val="single"/>
            </w:tcBorders>
            <w:vAlign w:val="center"/>
            <w:hideMark/>
          </w:tcPr>
          <w:p w14:paraId="46740D6E"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10,019,948.96</w:t>
            </w:r>
          </w:p>
        </w:tc>
        <w:tc>
          <w:tcPr>
            <w:tcW w:type="dxa" w:w="1314"/>
            <w:tcBorders>
              <w:top w:color="auto" w:space="0" w:sz="4" w:val="single"/>
              <w:left w:color="auto" w:space="0" w:sz="4" w:val="single"/>
              <w:bottom w:color="auto" w:space="0" w:sz="4" w:val="single"/>
              <w:right w:color="auto" w:space="0" w:sz="4" w:val="single"/>
            </w:tcBorders>
            <w:vAlign w:val="center"/>
            <w:hideMark/>
          </w:tcPr>
          <w:p w14:paraId="6D33FF5D"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51.54%</w:t>
            </w:r>
          </w:p>
        </w:tc>
        <w:tc>
          <w:tcPr>
            <w:tcW w:type="dxa" w:w="1065"/>
            <w:tcBorders>
              <w:top w:color="auto" w:space="0" w:sz="4" w:val="single"/>
              <w:left w:color="auto" w:space="0" w:sz="4" w:val="single"/>
              <w:bottom w:color="auto" w:space="0" w:sz="4" w:val="single"/>
              <w:right w:color="auto" w:space="0" w:sz="4" w:val="single"/>
            </w:tcBorders>
            <w:vAlign w:val="center"/>
            <w:hideMark/>
          </w:tcPr>
          <w:p w14:paraId="7ED87AC8"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10,019,948.96</w:t>
            </w:r>
          </w:p>
        </w:tc>
        <w:tc>
          <w:tcPr>
            <w:tcW w:type="dxa" w:w="1458"/>
            <w:tcBorders>
              <w:top w:color="auto" w:space="0" w:sz="4" w:val="single"/>
              <w:left w:color="auto" w:space="0" w:sz="4" w:val="single"/>
              <w:bottom w:color="auto" w:space="0" w:sz="4" w:val="single"/>
              <w:right w:color="auto" w:space="0" w:sz="4" w:val="single"/>
            </w:tcBorders>
            <w:vAlign w:val="center"/>
            <w:hideMark/>
          </w:tcPr>
          <w:p w14:paraId="51EB4F5A"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51.54%</w:t>
            </w:r>
          </w:p>
        </w:tc>
        <w:tc>
          <w:tcPr>
            <w:tcW w:type="dxa" w:w="1495"/>
            <w:tcBorders>
              <w:top w:color="auto" w:space="0" w:sz="4" w:val="single"/>
              <w:left w:color="auto" w:space="0" w:sz="4" w:val="single"/>
              <w:bottom w:color="auto" w:space="0" w:sz="4" w:val="single"/>
              <w:right w:color="auto" w:space="0" w:sz="4" w:val="single"/>
            </w:tcBorders>
            <w:vAlign w:val="center"/>
            <w:hideMark/>
          </w:tcPr>
          <w:p w14:paraId="4B5023E9" w14:textId="77777777" w:rsidP="00C15CAC" w:rsidR="00D21FFF" w:rsidRDefault="00722509" w:rsidRPr="00414345">
            <w:pPr>
              <w:adjustRightInd w:val="0"/>
              <w:snapToGrid w:val="0"/>
              <w:spacing w:before="29" w:line="288" w:lineRule="auto"/>
              <w:jc w:val="right"/>
              <w:rPr>
                <w:kern w:val="0"/>
                <w:sz w:val="24"/>
                <w:szCs w:val="24"/>
              </w:rPr>
            </w:pPr>
            <w:r w:rsidRPr="00414345">
              <w:rPr>
                <w:kern w:val="0"/>
                <w:sz w:val="24"/>
                <w:szCs w:val="24"/>
              </w:rPr>
              <w:t>3年</w:t>
            </w:r>
          </w:p>
        </w:tc>
      </w:tr>
    </w:tbl>
    <w:p w14:paraId="2709BAA7" w14:textId="77777777" w:rsidP="00C15CAC" w:rsidR="005B09FA" w:rsidRDefault="005B09FA" w:rsidRPr="00414345">
      <w:pPr>
        <w:autoSpaceDE w:val="0"/>
        <w:autoSpaceDN w:val="0"/>
        <w:adjustRightInd w:val="0"/>
        <w:spacing w:before="29" w:line="288" w:lineRule="auto"/>
        <w:jc w:val="left"/>
        <w:rPr>
          <w:color w:val="000000"/>
          <w:sz w:val="24"/>
          <w:szCs w:val="24"/>
        </w:rPr>
      </w:pPr>
    </w:p>
    <w:p w14:paraId="3B4A586F" w14:textId="77777777"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§10</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14:paraId="2E2F63E8" w14:textId="77777777"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58B87BEA" w14:textId="77777777" w:rsidR="003C50AD" w:rsidRPr="004F4D27" w:rsidTr="00424D30">
        <w:tc>
          <w:tcPr>
            <w:tcW w:type="dxa" w:w="993"/>
            <w:vMerge w:val="restart"/>
            <w:vAlign w:val="center"/>
          </w:tcPr>
          <w:p w14:paraId="6B187CFE"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14:paraId="25800194"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14:paraId="3AC9546C"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14:paraId="0340189C" w14:textId="77777777" w:rsidR="003C50AD" w:rsidRPr="004F4D27" w:rsidTr="00424D30">
        <w:tc>
          <w:tcPr>
            <w:tcW w:type="dxa" w:w="993"/>
            <w:vMerge/>
            <w:vAlign w:val="center"/>
          </w:tcPr>
          <w:p w14:paraId="3876A131" w14:textId="77777777"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14:paraId="3A129ED5"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14:paraId="77641689"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14:paraId="55C178B5" w14:textId="77777777"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14:paraId="7A40AA2B" w14:textId="77777777"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14:paraId="1DCD1B79" w14:textId="77777777"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14:paraId="60A3C181"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14:paraId="054355D2" w14:textId="77777777"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vAlign w:val="center"/>
          </w:tcPr>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20210101-20210331</w:t>
            </w:r>
          </w:p>
        </w:tc>
        <w:tc>
          <w:tcPr>
            <w:vAlign w:val="center"/>
          </w:tcPr>
          <w:p>
            <w:pPr>
              <w:jc w:val="center"/>
            </w:pPr>
            <w:r>
              <w:rPr>
                <w:rFonts w:ascii="宋体" w:hAnsi="宋体"/>
                <w:color w:val="000000"/>
                <w:kern w:val="0"/>
              </w:rPr>
              <w:t>10,000,450.00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10,000,450.00</w:t>
            </w:r>
          </w:p>
        </w:tc>
        <w:tc>
          <w:tcPr>
            <w:vAlign w:val="center"/>
          </w:tcPr>
          <w:p>
            <w:pPr>
              <w:jc w:val="center"/>
            </w:pPr>
            <w:r>
              <w:rPr>
                <w:rFonts w:ascii="宋体" w:hAnsi="宋体"/>
                <w:color w:val="000000"/>
                <w:kern w:val="0"/>
              </w:rPr>
              <w:t>51.44%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6C621B04" w14:textId="77777777" w:rsidR="003C50AD" w:rsidRPr="004F4D27" w:rsidTr="00424D30">
        <w:tc>
          <w:tcPr>
            <w:tcW w:type="dxa" w:w="9212"/>
            <w:vAlign w:val="center"/>
          </w:tcPr>
          <w:p w14:paraId="2BB225D5" w14:textId="77777777"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14:paraId="1EE8509C" w14:textId="77777777" w:rsidR="003C50AD" w:rsidRPr="004F4D27" w:rsidTr="00424D30">
        <w:tc>
          <w:tcPr>
            <w:tcW w:type="dxa" w:w="9212"/>
            <w:vAlign w:val="center"/>
          </w:tcPr>
          <w:p w14:paraId="0AB362F7" w14:textId="77777777"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sidRPr="004F4D27">
              <w:rPr>
                <w:rFonts w:ascii="宋体" w:hAnsi="宋体"/>
                <w:kern w:val="0"/>
              </w:rPr>
              <w:t/>
            </w:r>
          </w:p>
        </w:tc>
      </w:tr>
    </w:tbl>
    <w:p w14:paraId="79E5F7D1" w14:textId="77777777"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14:paraId="06610531" w14:textId="77777777"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1、中国证监会准予上投摩根锦程积极成长养老目标五年持有期混合型发起式基金中基金(FOF)注册的文件</w:t>
      </w:r>
    </w:p>
    <w:p>
      <w:pPr>
        <w:spacing w:before="29" w:line="288" w:lineRule="auto"/>
        <w:ind w:firstLine="480" w:firstLineChars="200"/>
        <w:rPr>
          <w:color w:val="000000"/>
          <w:sz w:val="24"/>
          <w:szCs w:val="24"/>
        </w:rPr>
      </w:pPr>
      <w:r>
        <w:rPr>
          <w:color w:val="000000"/>
          <w:sz w:val="24"/>
          <w:szCs w:val="24"/>
        </w:rPr>
        <w:t>2、上投摩根锦程积极成长养老目标五年持有期混合型发起式基金中基金(FOF)基金合同</w:t>
      </w:r>
    </w:p>
    <w:p>
      <w:pPr>
        <w:spacing w:before="29" w:line="288" w:lineRule="auto"/>
        <w:ind w:firstLine="480" w:firstLineChars="200"/>
        <w:rPr>
          <w:color w:val="000000"/>
          <w:sz w:val="24"/>
          <w:szCs w:val="24"/>
        </w:rPr>
      </w:pPr>
      <w:r>
        <w:rPr>
          <w:color w:val="000000"/>
          <w:sz w:val="24"/>
          <w:szCs w:val="24"/>
        </w:rPr>
        <w:t>3、上投摩根锦程积极成长养老目标五年持有期混合型发起式基金中基金(FOF)托管协议</w:t>
      </w:r>
    </w:p>
    <w:p>
      <w:pPr>
        <w:spacing w:before="29" w:line="288" w:lineRule="auto"/>
        <w:ind w:firstLine="480" w:firstLineChars="200"/>
        <w:rPr>
          <w:color w:val="000000"/>
          <w:sz w:val="24"/>
          <w:szCs w:val="24"/>
        </w:rPr>
      </w:pPr>
      <w:r>
        <w:rPr>
          <w:color w:val="000000"/>
          <w:sz w:val="24"/>
          <w:szCs w:val="24"/>
        </w:rPr>
        <w:t>4、基金管理人业务资格批件、营业执照</w:t>
      </w:r>
    </w:p>
    <w:p>
      <w:pPr>
        <w:spacing w:before="29" w:line="288" w:lineRule="auto"/>
        <w:ind w:firstLine="480" w:firstLineChars="200"/>
        <w:rPr>
          <w:color w:val="000000"/>
          <w:sz w:val="24"/>
          <w:szCs w:val="24"/>
        </w:rPr>
      </w:pPr>
      <w:r>
        <w:rPr>
          <w:color w:val="000000"/>
          <w:sz w:val="24"/>
          <w:szCs w:val="24"/>
        </w:rPr>
        <w:t>5、基金托管人业务资格批件、营业执照</w:t>
      </w:r>
    </w:p>
    <w:p w14:paraId="5310CA71" w14:textId="77777777"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6、上投摩根基金管理有限公司开放式基金业务规则</w:t>
      </w:r>
    </w:p>
    <w:p w14:paraId="4633403F" w14:textId="77777777" w:rsidP="00C15CAC" w:rsidR="006A48FD" w:rsidRDefault="006A48FD" w:rsidRPr="00414345">
      <w:pPr>
        <w:spacing w:before="29" w:line="288" w:lineRule="auto"/>
        <w:ind w:firstLine="480" w:firstLineChars="200"/>
        <w:rPr>
          <w:color w:val="000000"/>
          <w:sz w:val="24"/>
          <w:szCs w:val="24"/>
        </w:rPr>
      </w:pPr>
    </w:p>
    <w:p w14:paraId="373479A5" w14:textId="77777777"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w:r>
      <w:r w:rsidR="00676095" w:rsidRPr="00414345">
        <w:rPr>
          <w:b/>
          <w:bCs/>
          <w:color w:val="000000"/>
          <w:kern w:val="0"/>
          <w:sz w:val="24"/>
          <w:szCs w:val="24"/>
        </w:rPr>
        <w:t/>
      </w: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14:paraId="732B70BA" w14:textId="77777777"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基金管理人或基金托管人住所。</w:t>
      </w:r>
    </w:p>
    <w:p w14:paraId="64907BD7" w14:textId="77777777" w:rsidP="00C15CAC" w:rsidR="006A48FD" w:rsidRDefault="006A48FD" w:rsidRPr="00414345">
      <w:pPr>
        <w:spacing w:before="29" w:line="288" w:lineRule="auto"/>
        <w:ind w:firstLine="480" w:firstLineChars="200"/>
        <w:rPr>
          <w:color w:val="000000"/>
          <w:sz w:val="24"/>
          <w:szCs w:val="24"/>
        </w:rPr>
      </w:pPr>
    </w:p>
    <w:p w14:paraId="15EBD314" w14:textId="77777777"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14:paraId="130D764B" w14:textId="77777777"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投资者可在营业时间免费查阅，也可按工本费购买复印件。</w:t>
      </w:r>
    </w:p>
    <w:p w14:paraId="067FCE6D" w14:textId="77777777"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F4BD4" w14:textId="77777777" w:rsidR="0006777B" w:rsidRDefault="0006777B" w:rsidP="00876D65">
      <w:r>
        <w:separator/>
      </w:r>
    </w:p>
  </w:endnote>
  <w:endnote w:type="continuationSeparator" w:id="0">
    <w:p w14:paraId="28D15918" w14:textId="77777777" w:rsidR="0006777B" w:rsidRDefault="0006777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049C006" w14:textId="77777777"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25CFDB9" w14:textId="77777777"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F25D5">
      <w:rPr>
        <w:noProof/>
        <w:kern w:val="0"/>
        <w:szCs w:val="21"/>
      </w:rPr>
      <w:t>22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F25D5">
      <w:rPr>
        <w:noProof/>
        <w:kern w:val="0"/>
        <w:szCs w:val="21"/>
      </w:rPr>
      <w:t>27</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8893BED" w14:textId="77777777"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14:paraId="07DD8CA0" w14:textId="77777777" w:rsidP="00876D65" w:rsidR="0006777B" w:rsidRDefault="0006777B">
      <w:r>
        <w:separator/>
      </w:r>
    </w:p>
  </w:footnote>
  <w:footnote w:id="0" w:type="continuationSeparator">
    <w:p w14:paraId="1B59A046" w14:textId="77777777" w:rsidP="00876D65" w:rsidR="0006777B" w:rsidRDefault="0006777B">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5890CCF2" w14:textId="77777777"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C226132" w14:textId="77777777" w:rsidP="00090A26" w:rsidR="00171EF0" w:rsidRDefault="00DC456F" w:rsidRPr="00DC456F">
    <w:pPr>
      <w:pStyle w:val="a9"/>
      <w:pBdr>
        <w:bottom w:color="auto" w:space="0" w:sz="6" w:val="single"/>
      </w:pBdr>
      <w:jc w:val="right"/>
      <w:rPr>
        <w:sz w:val="24"/>
        <w:szCs w:val="24"/>
      </w:rPr>
    </w:pPr>
    <w:r w:rsidRPr="003E676C">
      <w:rPr>
        <w:sz w:val="24"/>
        <w:szCs w:val="24"/>
      </w:rPr>
      <w:t>上投摩根锦程积极成长养老目标五年持有期混合型发起式基金中基金(FOF)2021年第1季度报告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3C177E5B" w14:textId="77777777"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1C9FF0C0"/>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E459-F777-4CE9-9A41-857ACB05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27</Pages>
  <Words>4354</Words>
  <Characters>24824</Characters>
  <Application>Microsoft Office Word</Application>
  <DocSecurity>0</DocSecurity>
  <Lines>206</Lines>
  <Paragraphs>58</Paragraphs>
  <ScaleCrop>false</ScaleCrop>
  <Company/>
  <LinksUpToDate>false</LinksUpToDate>
  <CharactersWithSpaces>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it</cp:lastModifiedBy>
  <dcterms:modified xsi:type="dcterms:W3CDTF">2020-10-26T11:19:00Z</dcterms:modified>
  <cp:revision>581</cp:revision>
</cp:coreProperties>
</file>