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上投摩根锦程积极成长养老目标五年持有期混合型发起式基金中基金</w:t>
      </w:r>
      <w:r w:rsidRPr="0081286B">
        <w:rPr>
          <w:b/>
          <w:sz w:val="36"/>
          <w:szCs w:val="36"/>
        </w:rPr>
        <w:t>(FOF)</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基金管理人：上投摩根基金管理有限公司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C37E7" w:rsidRDefault="00080F7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C37E7" w:rsidRDefault="00080F7A">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C37E7" w:rsidRDefault="00080F7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C37E7" w:rsidRDefault="00080F7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C37E7" w:rsidRDefault="00080F7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上投摩根锦程积极养老五年持有混合（</w:t>
            </w:r>
            <w:r w:rsidRPr="00414345">
              <w:rPr>
                <w:color w:val="000000"/>
                <w:kern w:val="0"/>
                <w:sz w:val="24"/>
                <w:szCs w:val="24"/>
              </w:rPr>
              <w:t>FOF</w:t>
            </w:r>
            <w:r w:rsidRPr="00414345">
              <w:rPr>
                <w:color w:val="000000"/>
                <w:kern w:val="0"/>
                <w:sz w:val="24"/>
                <w:szCs w:val="24"/>
              </w:rPr>
              <w:t>）</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009161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009161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14,888,633.00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0C37E7" w:rsidRDefault="00080F7A">
            <w:pPr>
              <w:adjustRightInd w:val="0"/>
              <w:spacing w:before="29" w:line="288" w:lineRule="auto"/>
              <w:ind w:left="17"/>
              <w:jc w:val="left"/>
              <w:rPr>
                <w:color w:val="000000"/>
                <w:sz w:val="24"/>
                <w:szCs w:val="24"/>
              </w:rPr>
            </w:pPr>
            <w:r>
              <w:rPr>
                <w:color w:val="000000"/>
                <w:kern w:val="0"/>
                <w:sz w:val="24"/>
                <w:szCs w:val="24"/>
              </w:rPr>
              <w:t>1</w:t>
            </w:r>
            <w:r>
              <w:rPr>
                <w:color w:val="000000"/>
                <w:kern w:val="0"/>
                <w:sz w:val="24"/>
                <w:szCs w:val="24"/>
              </w:rPr>
              <w:t>、目标风险投资策略：</w:t>
            </w:r>
          </w:p>
          <w:p w:rsidR="000C37E7" w:rsidRDefault="00080F7A">
            <w:pPr>
              <w:adjustRightInd w:val="0"/>
              <w:spacing w:before="29" w:line="288" w:lineRule="auto"/>
              <w:ind w:left="17"/>
              <w:jc w:val="left"/>
              <w:rPr>
                <w:color w:val="000000"/>
                <w:sz w:val="24"/>
                <w:szCs w:val="24"/>
              </w:rPr>
            </w:pPr>
            <w:r>
              <w:rPr>
                <w:color w:val="000000"/>
                <w:kern w:val="0"/>
                <w:sz w:val="24"/>
                <w:szCs w:val="24"/>
              </w:rPr>
              <w:t>（</w:t>
            </w:r>
            <w:r>
              <w:rPr>
                <w:color w:val="000000"/>
                <w:kern w:val="0"/>
                <w:sz w:val="24"/>
                <w:szCs w:val="24"/>
              </w:rPr>
              <w:t>1</w:t>
            </w:r>
            <w:r>
              <w:rPr>
                <w:color w:val="000000"/>
                <w:kern w:val="0"/>
                <w:sz w:val="24"/>
                <w:szCs w:val="24"/>
              </w:rPr>
              <w:t>）大类资产配置策略：本基金的目标风险指通过将基金所投资的高风险类资产和其他资产长期保持在相对恒定的比例，以达到目标的风险水平。</w:t>
            </w:r>
          </w:p>
          <w:p w:rsidR="000C37E7" w:rsidRDefault="00080F7A">
            <w:pPr>
              <w:adjustRightInd w:val="0"/>
              <w:spacing w:before="29" w:line="288" w:lineRule="auto"/>
              <w:ind w:left="17"/>
              <w:jc w:val="left"/>
              <w:rPr>
                <w:color w:val="000000"/>
                <w:sz w:val="24"/>
                <w:szCs w:val="24"/>
              </w:rPr>
            </w:pPr>
            <w:r>
              <w:rPr>
                <w:color w:val="000000"/>
                <w:kern w:val="0"/>
                <w:sz w:val="24"/>
                <w:szCs w:val="24"/>
              </w:rPr>
              <w:t>管理人根据对各类资产的中长期预期假设和策略观点以及目标客户的风险收益偏好进行自上而下的资产配置，设定本基金在高风险类资产和其他资产之间的基准配置比例为</w:t>
            </w:r>
            <w:r>
              <w:rPr>
                <w:color w:val="000000"/>
                <w:kern w:val="0"/>
                <w:sz w:val="24"/>
                <w:szCs w:val="24"/>
              </w:rPr>
              <w:t>75%:25%</w:t>
            </w:r>
            <w:r>
              <w:rPr>
                <w:color w:val="000000"/>
                <w:kern w:val="0"/>
                <w:sz w:val="24"/>
                <w:szCs w:val="24"/>
              </w:rPr>
              <w:t>；高风险类资产指股票型基金、</w:t>
            </w:r>
            <w:r>
              <w:rPr>
                <w:color w:val="000000"/>
                <w:kern w:val="0"/>
                <w:sz w:val="24"/>
                <w:szCs w:val="24"/>
              </w:rPr>
              <w:lastRenderedPageBreak/>
              <w:t>应计入高风险类资产的混合型基金、商品基金（含商品期货基金和黄金</w:t>
            </w:r>
            <w:r>
              <w:rPr>
                <w:color w:val="000000"/>
                <w:kern w:val="0"/>
                <w:sz w:val="24"/>
                <w:szCs w:val="24"/>
              </w:rPr>
              <w:t>ETF</w:t>
            </w:r>
            <w:r>
              <w:rPr>
                <w:color w:val="000000"/>
                <w:kern w:val="0"/>
                <w:sz w:val="24"/>
                <w:szCs w:val="24"/>
              </w:rPr>
              <w:t>）等品种（均包含</w:t>
            </w:r>
            <w:r>
              <w:rPr>
                <w:color w:val="000000"/>
                <w:kern w:val="0"/>
                <w:sz w:val="24"/>
                <w:szCs w:val="24"/>
              </w:rPr>
              <w:t>QDII</w:t>
            </w:r>
            <w:r>
              <w:rPr>
                <w:color w:val="000000"/>
                <w:kern w:val="0"/>
                <w:sz w:val="24"/>
                <w:szCs w:val="24"/>
              </w:rPr>
              <w:t>）及股票；其他资产指债券型基金、货币市场基金和不计入高风险类资产的混合型基金（均包含</w:t>
            </w:r>
            <w:r>
              <w:rPr>
                <w:color w:val="000000"/>
                <w:kern w:val="0"/>
                <w:sz w:val="24"/>
                <w:szCs w:val="24"/>
              </w:rPr>
              <w:t>QDII</w:t>
            </w:r>
            <w:r>
              <w:rPr>
                <w:color w:val="000000"/>
                <w:kern w:val="0"/>
                <w:sz w:val="24"/>
                <w:szCs w:val="24"/>
              </w:rPr>
              <w:t>）、债券、资产支持证券、债券回购、银行存款及同业存单等；本基金高风险类资产的向上、向下调整幅度分别不超过</w:t>
            </w:r>
            <w:r>
              <w:rPr>
                <w:color w:val="000000"/>
                <w:kern w:val="0"/>
                <w:sz w:val="24"/>
                <w:szCs w:val="24"/>
              </w:rPr>
              <w:t>5%</w:t>
            </w:r>
            <w:r>
              <w:rPr>
                <w:color w:val="000000"/>
                <w:kern w:val="0"/>
                <w:sz w:val="24"/>
                <w:szCs w:val="24"/>
              </w:rPr>
              <w:t>、</w:t>
            </w:r>
            <w:r>
              <w:rPr>
                <w:color w:val="000000"/>
                <w:kern w:val="0"/>
                <w:sz w:val="24"/>
                <w:szCs w:val="24"/>
              </w:rPr>
              <w:t>10%</w:t>
            </w:r>
            <w:r>
              <w:rPr>
                <w:color w:val="000000"/>
                <w:kern w:val="0"/>
                <w:sz w:val="24"/>
                <w:szCs w:val="24"/>
              </w:rPr>
              <w:t>。</w:t>
            </w:r>
          </w:p>
          <w:p w:rsidR="000C37E7" w:rsidRDefault="00080F7A">
            <w:pPr>
              <w:adjustRightInd w:val="0"/>
              <w:spacing w:before="29" w:line="288" w:lineRule="auto"/>
              <w:ind w:left="17"/>
              <w:jc w:val="left"/>
              <w:rPr>
                <w:color w:val="000000"/>
                <w:sz w:val="24"/>
                <w:szCs w:val="24"/>
              </w:rPr>
            </w:pPr>
            <w:r>
              <w:rPr>
                <w:color w:val="000000"/>
                <w:kern w:val="0"/>
                <w:sz w:val="24"/>
                <w:szCs w:val="24"/>
              </w:rPr>
              <w:t>（</w:t>
            </w:r>
            <w:r>
              <w:rPr>
                <w:color w:val="000000"/>
                <w:kern w:val="0"/>
                <w:sz w:val="24"/>
                <w:szCs w:val="24"/>
              </w:rPr>
              <w:t>2</w:t>
            </w:r>
            <w:r>
              <w:rPr>
                <w:color w:val="000000"/>
                <w:kern w:val="0"/>
                <w:sz w:val="24"/>
                <w:szCs w:val="24"/>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0C37E7" w:rsidRDefault="00080F7A">
            <w:pPr>
              <w:adjustRightInd w:val="0"/>
              <w:spacing w:before="29" w:line="288" w:lineRule="auto"/>
              <w:ind w:left="17"/>
              <w:jc w:val="left"/>
              <w:rPr>
                <w:color w:val="000000"/>
                <w:sz w:val="24"/>
                <w:szCs w:val="24"/>
              </w:rPr>
            </w:pPr>
            <w:r>
              <w:rPr>
                <w:color w:val="000000"/>
                <w:kern w:val="0"/>
                <w:sz w:val="24"/>
                <w:szCs w:val="24"/>
              </w:rPr>
              <w:t>2</w:t>
            </w:r>
            <w:r>
              <w:rPr>
                <w:color w:val="000000"/>
                <w:kern w:val="0"/>
                <w:sz w:val="24"/>
                <w:szCs w:val="24"/>
              </w:rPr>
              <w:t>、主动管理型基金投资策略：通过自下而上的方式优选基金，研究过程中综合运用定量分析和定性分析，优选符合要求且能在中长期创造超额收益的基金。</w:t>
            </w:r>
          </w:p>
          <w:p w:rsidR="000C37E7" w:rsidRDefault="00080F7A">
            <w:pPr>
              <w:adjustRightInd w:val="0"/>
              <w:spacing w:before="29" w:line="288" w:lineRule="auto"/>
              <w:ind w:left="17"/>
              <w:jc w:val="left"/>
              <w:rPr>
                <w:color w:val="000000"/>
                <w:sz w:val="24"/>
                <w:szCs w:val="24"/>
              </w:rPr>
            </w:pPr>
            <w:r>
              <w:rPr>
                <w:color w:val="000000"/>
                <w:kern w:val="0"/>
                <w:sz w:val="24"/>
                <w:szCs w:val="24"/>
              </w:rPr>
              <w:t>3</w:t>
            </w:r>
            <w:r>
              <w:rPr>
                <w:color w:val="000000"/>
                <w:kern w:val="0"/>
                <w:sz w:val="24"/>
                <w:szCs w:val="24"/>
              </w:rPr>
              <w:t>、指数基金投资策略：优选中长期景气向好的指数基金进行配置，增厚组合收益，并把握阶段性投资机会，获取超额收益。</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w:t>
            </w:r>
            <w:r w:rsidRPr="00414345">
              <w:rPr>
                <w:color w:val="000000"/>
                <w:kern w:val="0"/>
                <w:sz w:val="24"/>
                <w:szCs w:val="24"/>
              </w:rPr>
              <w:t>、其他投资策略：包括股票投资策略、债券投资策略、证券公司短期公司债投资策略、资产支持证券投资策略等。</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*75%+</w:t>
            </w:r>
            <w:r w:rsidRPr="00414345">
              <w:rPr>
                <w:color w:val="000000"/>
                <w:kern w:val="0"/>
                <w:sz w:val="24"/>
                <w:szCs w:val="24"/>
              </w:rPr>
              <w:t>中证综合债指数收益率</w:t>
            </w:r>
            <w:r w:rsidRPr="00414345">
              <w:rPr>
                <w:color w:val="000000"/>
                <w:kern w:val="0"/>
                <w:sz w:val="24"/>
                <w:szCs w:val="24"/>
              </w:rPr>
              <w:t>*20%+</w:t>
            </w:r>
            <w:r w:rsidRPr="00414345">
              <w:rPr>
                <w:color w:val="000000"/>
                <w:kern w:val="0"/>
                <w:sz w:val="24"/>
                <w:szCs w:val="24"/>
              </w:rPr>
              <w:t>活期存款利率（税后）</w:t>
            </w:r>
            <w:r w:rsidRPr="00414345">
              <w:rPr>
                <w:color w:val="000000"/>
                <w:kern w:val="0"/>
                <w:sz w:val="24"/>
                <w:szCs w:val="24"/>
              </w:rPr>
              <w:t>*5%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0C37E7" w:rsidRDefault="00080F7A">
            <w:pPr>
              <w:adjustRightInd w:val="0"/>
              <w:spacing w:before="29" w:line="288" w:lineRule="auto"/>
              <w:ind w:left="17"/>
              <w:jc w:val="left"/>
              <w:rPr>
                <w:color w:val="000000"/>
                <w:sz w:val="24"/>
                <w:szCs w:val="24"/>
              </w:rPr>
            </w:pPr>
            <w:r>
              <w:rPr>
                <w:color w:val="000000"/>
                <w:kern w:val="0"/>
                <w:sz w:val="24"/>
                <w:szCs w:val="24"/>
              </w:rPr>
              <w:t>基金管理人将养老目标风险基金根据不同风险程度进行划分。本基金的高风险类资产和其他资产的基准配置比例为</w:t>
            </w:r>
            <w:r>
              <w:rPr>
                <w:color w:val="000000"/>
                <w:kern w:val="0"/>
                <w:sz w:val="24"/>
                <w:szCs w:val="24"/>
              </w:rPr>
              <w:t>75%</w:t>
            </w:r>
            <w:r>
              <w:rPr>
                <w:color w:val="000000"/>
                <w:kern w:val="0"/>
                <w:sz w:val="24"/>
                <w:szCs w:val="24"/>
              </w:rPr>
              <w:t>：</w:t>
            </w:r>
            <w:r>
              <w:rPr>
                <w:color w:val="000000"/>
                <w:kern w:val="0"/>
                <w:sz w:val="24"/>
                <w:szCs w:val="24"/>
              </w:rPr>
              <w:t>25%</w:t>
            </w:r>
            <w:r>
              <w:rPr>
                <w:color w:val="000000"/>
                <w:kern w:val="0"/>
                <w:sz w:val="24"/>
                <w:szCs w:val="24"/>
              </w:rPr>
              <w:t>，在基金管理人管理的养老目标风险基金中，属于高风险类资产的配置比例较高的。</w:t>
            </w:r>
          </w:p>
          <w:p w:rsidR="000C37E7" w:rsidRDefault="00080F7A">
            <w:pPr>
              <w:adjustRightInd w:val="0"/>
              <w:spacing w:before="29" w:line="288" w:lineRule="auto"/>
              <w:ind w:left="17"/>
              <w:jc w:val="left"/>
              <w:rPr>
                <w:color w:val="000000"/>
                <w:sz w:val="24"/>
                <w:szCs w:val="24"/>
              </w:rPr>
            </w:pPr>
            <w:r>
              <w:rPr>
                <w:color w:val="000000"/>
                <w:kern w:val="0"/>
                <w:sz w:val="24"/>
                <w:szCs w:val="24"/>
              </w:rPr>
              <w:t>本基金属于混合型基金中基金，预期风险和收益水平低于股票型基金中基金，高于债券型基金中基金和货币型基金中基金。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w:t>
            </w:r>
            <w:r w:rsidRPr="00414345">
              <w:rPr>
                <w:color w:val="000000"/>
                <w:kern w:val="0"/>
                <w:sz w:val="24"/>
                <w:szCs w:val="24"/>
              </w:rPr>
              <w:t>2017</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w:t>
            </w:r>
            <w:r w:rsidRPr="00414345">
              <w:rPr>
                <w:color w:val="000000"/>
                <w:kern w:val="0"/>
                <w:sz w:val="24"/>
                <w:szCs w:val="24"/>
              </w:rPr>
              <w:lastRenderedPageBreak/>
              <w:t>准。</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上投摩根基金管理有限公司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80F7A" w:rsidRPr="00414345" w:rsidTr="00080F7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80F7A" w:rsidRPr="00414345" w:rsidTr="00080F7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1,468,017.30</w:t>
            </w:r>
          </w:p>
        </w:tc>
      </w:tr>
      <w:tr w:rsidR="00080F7A" w:rsidRPr="00414345" w:rsidTr="00080F7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1,193,079.32</w:t>
            </w:r>
          </w:p>
        </w:tc>
      </w:tr>
      <w:tr w:rsidR="00080F7A" w:rsidRPr="00414345" w:rsidTr="00080F7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0.0831</w:t>
            </w:r>
          </w:p>
        </w:tc>
      </w:tr>
      <w:tr w:rsidR="00080F7A" w:rsidRPr="00414345" w:rsidTr="00080F7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17,538,887.48</w:t>
            </w:r>
          </w:p>
        </w:tc>
      </w:tr>
      <w:tr w:rsidR="00080F7A" w:rsidRPr="00414345" w:rsidTr="00080F7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1.1780</w:t>
            </w:r>
          </w:p>
        </w:tc>
      </w:tr>
    </w:tbl>
    <w:p w:rsidR="000C37E7" w:rsidRDefault="00080F7A">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C37E7">
        <w:trPr>
          <w:jc w:val="center"/>
        </w:trPr>
        <w:tc>
          <w:tcPr>
            <w:tcW w:w="1701" w:type="dxa"/>
            <w:vAlign w:val="center"/>
          </w:tcPr>
          <w:p w:rsidR="000C37E7" w:rsidRDefault="00080F7A">
            <w:pPr>
              <w:jc w:val="left"/>
            </w:pPr>
            <w:r>
              <w:rPr>
                <w:color w:val="000000"/>
                <w:sz w:val="24"/>
                <w:szCs w:val="24"/>
              </w:rPr>
              <w:t>过去三个月</w:t>
            </w:r>
          </w:p>
        </w:tc>
        <w:tc>
          <w:tcPr>
            <w:tcW w:w="1045" w:type="dxa"/>
            <w:vAlign w:val="center"/>
          </w:tcPr>
          <w:p w:rsidR="000C37E7" w:rsidRDefault="00080F7A">
            <w:pPr>
              <w:jc w:val="center"/>
            </w:pPr>
            <w:r>
              <w:rPr>
                <w:color w:val="000000"/>
                <w:sz w:val="24"/>
                <w:szCs w:val="24"/>
              </w:rPr>
              <w:t>8.12%</w:t>
            </w:r>
          </w:p>
        </w:tc>
        <w:tc>
          <w:tcPr>
            <w:tcW w:w="1344" w:type="dxa"/>
            <w:vAlign w:val="center"/>
          </w:tcPr>
          <w:p w:rsidR="000C37E7" w:rsidRDefault="00080F7A">
            <w:pPr>
              <w:jc w:val="center"/>
            </w:pPr>
            <w:r>
              <w:rPr>
                <w:color w:val="000000"/>
                <w:sz w:val="24"/>
                <w:szCs w:val="24"/>
              </w:rPr>
              <w:t>1.10%</w:t>
            </w:r>
          </w:p>
        </w:tc>
        <w:tc>
          <w:tcPr>
            <w:tcW w:w="1194" w:type="dxa"/>
            <w:vAlign w:val="center"/>
          </w:tcPr>
          <w:p w:rsidR="000C37E7" w:rsidRDefault="00080F7A">
            <w:pPr>
              <w:jc w:val="center"/>
            </w:pPr>
            <w:r>
              <w:rPr>
                <w:color w:val="000000"/>
                <w:sz w:val="24"/>
                <w:szCs w:val="24"/>
              </w:rPr>
              <w:t>6.76%</w:t>
            </w:r>
          </w:p>
        </w:tc>
        <w:tc>
          <w:tcPr>
            <w:tcW w:w="1492" w:type="dxa"/>
            <w:vAlign w:val="center"/>
          </w:tcPr>
          <w:p w:rsidR="000C37E7" w:rsidRDefault="00080F7A">
            <w:pPr>
              <w:jc w:val="center"/>
            </w:pPr>
            <w:r>
              <w:rPr>
                <w:color w:val="000000"/>
                <w:sz w:val="24"/>
                <w:szCs w:val="24"/>
              </w:rPr>
              <w:t>1.22%</w:t>
            </w:r>
          </w:p>
        </w:tc>
        <w:tc>
          <w:tcPr>
            <w:tcW w:w="1194" w:type="dxa"/>
            <w:vAlign w:val="center"/>
          </w:tcPr>
          <w:p w:rsidR="000C37E7" w:rsidRDefault="00080F7A">
            <w:pPr>
              <w:jc w:val="center"/>
            </w:pPr>
            <w:r>
              <w:rPr>
                <w:color w:val="000000"/>
                <w:sz w:val="24"/>
                <w:szCs w:val="24"/>
              </w:rPr>
              <w:t>1.36%</w:t>
            </w:r>
          </w:p>
        </w:tc>
        <w:tc>
          <w:tcPr>
            <w:tcW w:w="898" w:type="dxa"/>
            <w:vAlign w:val="center"/>
          </w:tcPr>
          <w:p w:rsidR="000C37E7" w:rsidRDefault="00080F7A">
            <w:pPr>
              <w:jc w:val="center"/>
            </w:pPr>
            <w:r>
              <w:rPr>
                <w:color w:val="000000"/>
                <w:sz w:val="24"/>
                <w:szCs w:val="24"/>
              </w:rPr>
              <w:t>-0.12%</w:t>
            </w:r>
          </w:p>
        </w:tc>
      </w:tr>
      <w:tr w:rsidR="000C37E7">
        <w:trPr>
          <w:jc w:val="center"/>
        </w:trPr>
        <w:tc>
          <w:tcPr>
            <w:tcW w:w="1701" w:type="dxa"/>
            <w:vAlign w:val="center"/>
          </w:tcPr>
          <w:p w:rsidR="000C37E7" w:rsidRDefault="00080F7A">
            <w:pPr>
              <w:jc w:val="left"/>
            </w:pPr>
            <w:r>
              <w:rPr>
                <w:color w:val="000000"/>
                <w:sz w:val="24"/>
                <w:szCs w:val="24"/>
              </w:rPr>
              <w:t>过去六个月</w:t>
            </w:r>
          </w:p>
        </w:tc>
        <w:tc>
          <w:tcPr>
            <w:tcW w:w="1045" w:type="dxa"/>
            <w:vAlign w:val="center"/>
          </w:tcPr>
          <w:p w:rsidR="000C37E7" w:rsidRDefault="00080F7A">
            <w:pPr>
              <w:jc w:val="center"/>
            </w:pPr>
            <w:r>
              <w:rPr>
                <w:color w:val="000000"/>
                <w:sz w:val="24"/>
                <w:szCs w:val="24"/>
              </w:rPr>
              <w:t>-</w:t>
            </w:r>
          </w:p>
        </w:tc>
        <w:tc>
          <w:tcPr>
            <w:tcW w:w="1344" w:type="dxa"/>
            <w:vAlign w:val="center"/>
          </w:tcPr>
          <w:p w:rsidR="000C37E7" w:rsidRDefault="00080F7A">
            <w:pPr>
              <w:jc w:val="center"/>
            </w:pPr>
            <w:r>
              <w:rPr>
                <w:color w:val="000000"/>
                <w:sz w:val="24"/>
                <w:szCs w:val="24"/>
              </w:rPr>
              <w:t>-</w:t>
            </w:r>
          </w:p>
        </w:tc>
        <w:tc>
          <w:tcPr>
            <w:tcW w:w="1194" w:type="dxa"/>
            <w:vAlign w:val="center"/>
          </w:tcPr>
          <w:p w:rsidR="000C37E7" w:rsidRDefault="00080F7A">
            <w:pPr>
              <w:jc w:val="center"/>
            </w:pPr>
            <w:r>
              <w:rPr>
                <w:color w:val="000000"/>
                <w:sz w:val="24"/>
                <w:szCs w:val="24"/>
              </w:rPr>
              <w:t>-</w:t>
            </w:r>
          </w:p>
        </w:tc>
        <w:tc>
          <w:tcPr>
            <w:tcW w:w="1492" w:type="dxa"/>
            <w:vAlign w:val="center"/>
          </w:tcPr>
          <w:p w:rsidR="000C37E7" w:rsidRDefault="00080F7A">
            <w:pPr>
              <w:jc w:val="center"/>
            </w:pPr>
            <w:r>
              <w:rPr>
                <w:color w:val="000000"/>
                <w:sz w:val="24"/>
                <w:szCs w:val="24"/>
              </w:rPr>
              <w:t>-</w:t>
            </w:r>
          </w:p>
        </w:tc>
        <w:tc>
          <w:tcPr>
            <w:tcW w:w="1194" w:type="dxa"/>
            <w:vAlign w:val="center"/>
          </w:tcPr>
          <w:p w:rsidR="000C37E7" w:rsidRDefault="00080F7A">
            <w:pPr>
              <w:jc w:val="center"/>
            </w:pPr>
            <w:r>
              <w:rPr>
                <w:color w:val="000000"/>
                <w:sz w:val="24"/>
                <w:szCs w:val="24"/>
              </w:rPr>
              <w:t>-</w:t>
            </w:r>
          </w:p>
        </w:tc>
        <w:tc>
          <w:tcPr>
            <w:tcW w:w="898" w:type="dxa"/>
            <w:vAlign w:val="center"/>
          </w:tcPr>
          <w:p w:rsidR="000C37E7" w:rsidRDefault="00080F7A">
            <w:pPr>
              <w:jc w:val="center"/>
            </w:pPr>
            <w:r>
              <w:rPr>
                <w:color w:val="000000"/>
                <w:sz w:val="24"/>
                <w:szCs w:val="24"/>
              </w:rPr>
              <w:t>-</w:t>
            </w:r>
          </w:p>
        </w:tc>
      </w:tr>
      <w:tr w:rsidR="000C37E7">
        <w:trPr>
          <w:jc w:val="center"/>
        </w:trPr>
        <w:tc>
          <w:tcPr>
            <w:tcW w:w="1701" w:type="dxa"/>
            <w:vAlign w:val="center"/>
          </w:tcPr>
          <w:p w:rsidR="000C37E7" w:rsidRDefault="00080F7A">
            <w:pPr>
              <w:jc w:val="left"/>
            </w:pPr>
            <w:r>
              <w:rPr>
                <w:color w:val="000000"/>
                <w:sz w:val="24"/>
                <w:szCs w:val="24"/>
              </w:rPr>
              <w:t>过去一年</w:t>
            </w:r>
          </w:p>
        </w:tc>
        <w:tc>
          <w:tcPr>
            <w:tcW w:w="1045" w:type="dxa"/>
            <w:vAlign w:val="center"/>
          </w:tcPr>
          <w:p w:rsidR="000C37E7" w:rsidRDefault="00080F7A">
            <w:pPr>
              <w:jc w:val="center"/>
            </w:pPr>
            <w:r>
              <w:rPr>
                <w:color w:val="000000"/>
                <w:sz w:val="24"/>
                <w:szCs w:val="24"/>
              </w:rPr>
              <w:t>-</w:t>
            </w:r>
          </w:p>
        </w:tc>
        <w:tc>
          <w:tcPr>
            <w:tcW w:w="1344" w:type="dxa"/>
            <w:vAlign w:val="center"/>
          </w:tcPr>
          <w:p w:rsidR="000C37E7" w:rsidRDefault="00080F7A">
            <w:pPr>
              <w:jc w:val="center"/>
            </w:pPr>
            <w:r>
              <w:rPr>
                <w:color w:val="000000"/>
                <w:sz w:val="24"/>
                <w:szCs w:val="24"/>
              </w:rPr>
              <w:t>-</w:t>
            </w:r>
          </w:p>
        </w:tc>
        <w:tc>
          <w:tcPr>
            <w:tcW w:w="1194" w:type="dxa"/>
            <w:vAlign w:val="center"/>
          </w:tcPr>
          <w:p w:rsidR="000C37E7" w:rsidRDefault="00080F7A">
            <w:pPr>
              <w:jc w:val="center"/>
            </w:pPr>
            <w:r>
              <w:rPr>
                <w:color w:val="000000"/>
                <w:sz w:val="24"/>
                <w:szCs w:val="24"/>
              </w:rPr>
              <w:t>-</w:t>
            </w:r>
          </w:p>
        </w:tc>
        <w:tc>
          <w:tcPr>
            <w:tcW w:w="1492" w:type="dxa"/>
            <w:vAlign w:val="center"/>
          </w:tcPr>
          <w:p w:rsidR="000C37E7" w:rsidRDefault="00080F7A">
            <w:pPr>
              <w:jc w:val="center"/>
            </w:pPr>
            <w:r>
              <w:rPr>
                <w:color w:val="000000"/>
                <w:sz w:val="24"/>
                <w:szCs w:val="24"/>
              </w:rPr>
              <w:t>-</w:t>
            </w:r>
          </w:p>
        </w:tc>
        <w:tc>
          <w:tcPr>
            <w:tcW w:w="1194" w:type="dxa"/>
            <w:vAlign w:val="center"/>
          </w:tcPr>
          <w:p w:rsidR="000C37E7" w:rsidRDefault="00080F7A">
            <w:pPr>
              <w:jc w:val="center"/>
            </w:pPr>
            <w:r>
              <w:rPr>
                <w:color w:val="000000"/>
                <w:sz w:val="24"/>
                <w:szCs w:val="24"/>
              </w:rPr>
              <w:t>-</w:t>
            </w:r>
          </w:p>
        </w:tc>
        <w:tc>
          <w:tcPr>
            <w:tcW w:w="898" w:type="dxa"/>
            <w:vAlign w:val="center"/>
          </w:tcPr>
          <w:p w:rsidR="000C37E7" w:rsidRDefault="00080F7A">
            <w:pPr>
              <w:jc w:val="center"/>
            </w:pPr>
            <w:r>
              <w:rPr>
                <w:color w:val="000000"/>
                <w:sz w:val="24"/>
                <w:szCs w:val="24"/>
              </w:rPr>
              <w:t>-</w:t>
            </w:r>
          </w:p>
        </w:tc>
      </w:tr>
      <w:tr w:rsidR="000C37E7">
        <w:trPr>
          <w:jc w:val="center"/>
        </w:trPr>
        <w:tc>
          <w:tcPr>
            <w:tcW w:w="1701" w:type="dxa"/>
            <w:vAlign w:val="center"/>
          </w:tcPr>
          <w:p w:rsidR="000C37E7" w:rsidRDefault="00080F7A">
            <w:pPr>
              <w:jc w:val="left"/>
            </w:pPr>
            <w:r>
              <w:rPr>
                <w:color w:val="000000"/>
                <w:sz w:val="24"/>
                <w:szCs w:val="24"/>
              </w:rPr>
              <w:t>过去三年</w:t>
            </w:r>
          </w:p>
        </w:tc>
        <w:tc>
          <w:tcPr>
            <w:tcW w:w="1045" w:type="dxa"/>
            <w:vAlign w:val="center"/>
          </w:tcPr>
          <w:p w:rsidR="000C37E7" w:rsidRDefault="00080F7A">
            <w:pPr>
              <w:jc w:val="center"/>
            </w:pPr>
            <w:r>
              <w:rPr>
                <w:color w:val="000000"/>
                <w:sz w:val="24"/>
                <w:szCs w:val="24"/>
              </w:rPr>
              <w:t>-</w:t>
            </w:r>
          </w:p>
        </w:tc>
        <w:tc>
          <w:tcPr>
            <w:tcW w:w="1344" w:type="dxa"/>
            <w:vAlign w:val="center"/>
          </w:tcPr>
          <w:p w:rsidR="000C37E7" w:rsidRDefault="00080F7A">
            <w:pPr>
              <w:jc w:val="center"/>
            </w:pPr>
            <w:r>
              <w:rPr>
                <w:color w:val="000000"/>
                <w:sz w:val="24"/>
                <w:szCs w:val="24"/>
              </w:rPr>
              <w:t>-</w:t>
            </w:r>
          </w:p>
        </w:tc>
        <w:tc>
          <w:tcPr>
            <w:tcW w:w="1194" w:type="dxa"/>
            <w:vAlign w:val="center"/>
          </w:tcPr>
          <w:p w:rsidR="000C37E7" w:rsidRDefault="00080F7A">
            <w:pPr>
              <w:jc w:val="center"/>
            </w:pPr>
            <w:r>
              <w:rPr>
                <w:color w:val="000000"/>
                <w:sz w:val="24"/>
                <w:szCs w:val="24"/>
              </w:rPr>
              <w:t>-</w:t>
            </w:r>
          </w:p>
        </w:tc>
        <w:tc>
          <w:tcPr>
            <w:tcW w:w="1492" w:type="dxa"/>
            <w:vAlign w:val="center"/>
          </w:tcPr>
          <w:p w:rsidR="000C37E7" w:rsidRDefault="00080F7A">
            <w:pPr>
              <w:jc w:val="center"/>
            </w:pPr>
            <w:r>
              <w:rPr>
                <w:color w:val="000000"/>
                <w:sz w:val="24"/>
                <w:szCs w:val="24"/>
              </w:rPr>
              <w:t>-</w:t>
            </w:r>
          </w:p>
        </w:tc>
        <w:tc>
          <w:tcPr>
            <w:tcW w:w="1194" w:type="dxa"/>
            <w:vAlign w:val="center"/>
          </w:tcPr>
          <w:p w:rsidR="000C37E7" w:rsidRDefault="00080F7A">
            <w:pPr>
              <w:jc w:val="center"/>
            </w:pPr>
            <w:r>
              <w:rPr>
                <w:color w:val="000000"/>
                <w:sz w:val="24"/>
                <w:szCs w:val="24"/>
              </w:rPr>
              <w:t>-</w:t>
            </w:r>
          </w:p>
        </w:tc>
        <w:tc>
          <w:tcPr>
            <w:tcW w:w="898" w:type="dxa"/>
            <w:vAlign w:val="center"/>
          </w:tcPr>
          <w:p w:rsidR="000C37E7" w:rsidRDefault="00080F7A">
            <w:pPr>
              <w:jc w:val="center"/>
            </w:pPr>
            <w:r>
              <w:rPr>
                <w:color w:val="000000"/>
                <w:sz w:val="24"/>
                <w:szCs w:val="24"/>
              </w:rPr>
              <w:t>-</w:t>
            </w:r>
          </w:p>
        </w:tc>
      </w:tr>
      <w:tr w:rsidR="000C37E7">
        <w:trPr>
          <w:jc w:val="center"/>
        </w:trPr>
        <w:tc>
          <w:tcPr>
            <w:tcW w:w="1701" w:type="dxa"/>
            <w:vAlign w:val="center"/>
          </w:tcPr>
          <w:p w:rsidR="000C37E7" w:rsidRDefault="00080F7A">
            <w:pPr>
              <w:jc w:val="left"/>
            </w:pPr>
            <w:r>
              <w:rPr>
                <w:color w:val="000000"/>
                <w:sz w:val="24"/>
                <w:szCs w:val="24"/>
              </w:rPr>
              <w:t>过去五年</w:t>
            </w:r>
          </w:p>
        </w:tc>
        <w:tc>
          <w:tcPr>
            <w:tcW w:w="1045" w:type="dxa"/>
            <w:vAlign w:val="center"/>
          </w:tcPr>
          <w:p w:rsidR="000C37E7" w:rsidRDefault="00080F7A">
            <w:pPr>
              <w:jc w:val="center"/>
            </w:pPr>
            <w:r>
              <w:rPr>
                <w:color w:val="000000"/>
                <w:sz w:val="24"/>
                <w:szCs w:val="24"/>
              </w:rPr>
              <w:t>-</w:t>
            </w:r>
          </w:p>
        </w:tc>
        <w:tc>
          <w:tcPr>
            <w:tcW w:w="1344" w:type="dxa"/>
            <w:vAlign w:val="center"/>
          </w:tcPr>
          <w:p w:rsidR="000C37E7" w:rsidRDefault="00080F7A">
            <w:pPr>
              <w:jc w:val="center"/>
            </w:pPr>
            <w:r>
              <w:rPr>
                <w:color w:val="000000"/>
                <w:sz w:val="24"/>
                <w:szCs w:val="24"/>
              </w:rPr>
              <w:t>-</w:t>
            </w:r>
          </w:p>
        </w:tc>
        <w:tc>
          <w:tcPr>
            <w:tcW w:w="1194" w:type="dxa"/>
            <w:vAlign w:val="center"/>
          </w:tcPr>
          <w:p w:rsidR="000C37E7" w:rsidRDefault="00080F7A">
            <w:pPr>
              <w:jc w:val="center"/>
            </w:pPr>
            <w:r>
              <w:rPr>
                <w:color w:val="000000"/>
                <w:sz w:val="24"/>
                <w:szCs w:val="24"/>
              </w:rPr>
              <w:t>-</w:t>
            </w:r>
          </w:p>
        </w:tc>
        <w:tc>
          <w:tcPr>
            <w:tcW w:w="1492" w:type="dxa"/>
            <w:vAlign w:val="center"/>
          </w:tcPr>
          <w:p w:rsidR="000C37E7" w:rsidRDefault="00080F7A">
            <w:pPr>
              <w:jc w:val="center"/>
            </w:pPr>
            <w:r>
              <w:rPr>
                <w:color w:val="000000"/>
                <w:sz w:val="24"/>
                <w:szCs w:val="24"/>
              </w:rPr>
              <w:t>-</w:t>
            </w:r>
          </w:p>
        </w:tc>
        <w:tc>
          <w:tcPr>
            <w:tcW w:w="1194" w:type="dxa"/>
            <w:vAlign w:val="center"/>
          </w:tcPr>
          <w:p w:rsidR="000C37E7" w:rsidRDefault="00080F7A">
            <w:pPr>
              <w:jc w:val="center"/>
            </w:pPr>
            <w:r>
              <w:rPr>
                <w:color w:val="000000"/>
                <w:sz w:val="24"/>
                <w:szCs w:val="24"/>
              </w:rPr>
              <w:t>-</w:t>
            </w:r>
          </w:p>
        </w:tc>
        <w:tc>
          <w:tcPr>
            <w:tcW w:w="898" w:type="dxa"/>
            <w:vAlign w:val="center"/>
          </w:tcPr>
          <w:p w:rsidR="000C37E7" w:rsidRDefault="00080F7A">
            <w:pPr>
              <w:jc w:val="center"/>
            </w:pPr>
            <w:r>
              <w:rPr>
                <w:color w:val="000000"/>
                <w:sz w:val="24"/>
                <w:szCs w:val="24"/>
              </w:rPr>
              <w:t>-</w:t>
            </w:r>
          </w:p>
        </w:tc>
      </w:tr>
      <w:tr w:rsidR="000C37E7">
        <w:trPr>
          <w:jc w:val="center"/>
        </w:trPr>
        <w:tc>
          <w:tcPr>
            <w:tcW w:w="1701" w:type="dxa"/>
            <w:vAlign w:val="center"/>
          </w:tcPr>
          <w:p w:rsidR="000C37E7" w:rsidRDefault="00080F7A">
            <w:pPr>
              <w:jc w:val="left"/>
            </w:pPr>
            <w:r>
              <w:rPr>
                <w:color w:val="000000"/>
                <w:sz w:val="24"/>
                <w:szCs w:val="24"/>
              </w:rPr>
              <w:t>自基金合同生效起至今</w:t>
            </w:r>
          </w:p>
        </w:tc>
        <w:tc>
          <w:tcPr>
            <w:tcW w:w="1045" w:type="dxa"/>
            <w:vAlign w:val="center"/>
          </w:tcPr>
          <w:p w:rsidR="000C37E7" w:rsidRDefault="00080F7A">
            <w:pPr>
              <w:jc w:val="center"/>
            </w:pPr>
            <w:r>
              <w:rPr>
                <w:color w:val="000000"/>
                <w:sz w:val="24"/>
                <w:szCs w:val="24"/>
              </w:rPr>
              <w:t>17.80%</w:t>
            </w:r>
          </w:p>
        </w:tc>
        <w:tc>
          <w:tcPr>
            <w:tcW w:w="1344" w:type="dxa"/>
            <w:vAlign w:val="center"/>
          </w:tcPr>
          <w:p w:rsidR="000C37E7" w:rsidRDefault="00080F7A">
            <w:pPr>
              <w:jc w:val="center"/>
            </w:pPr>
            <w:r>
              <w:rPr>
                <w:color w:val="000000"/>
                <w:sz w:val="24"/>
                <w:szCs w:val="24"/>
              </w:rPr>
              <w:t>0.94%</w:t>
            </w:r>
          </w:p>
        </w:tc>
        <w:tc>
          <w:tcPr>
            <w:tcW w:w="1194" w:type="dxa"/>
            <w:vAlign w:val="center"/>
          </w:tcPr>
          <w:p w:rsidR="000C37E7" w:rsidRDefault="00080F7A">
            <w:pPr>
              <w:jc w:val="center"/>
            </w:pPr>
            <w:r>
              <w:rPr>
                <w:color w:val="000000"/>
                <w:sz w:val="24"/>
                <w:szCs w:val="24"/>
              </w:rPr>
              <w:t>13.73%</w:t>
            </w:r>
          </w:p>
        </w:tc>
        <w:tc>
          <w:tcPr>
            <w:tcW w:w="1492" w:type="dxa"/>
            <w:vAlign w:val="center"/>
          </w:tcPr>
          <w:p w:rsidR="000C37E7" w:rsidRDefault="00080F7A">
            <w:pPr>
              <w:jc w:val="center"/>
            </w:pPr>
            <w:r>
              <w:rPr>
                <w:color w:val="000000"/>
                <w:sz w:val="24"/>
                <w:szCs w:val="24"/>
              </w:rPr>
              <w:t>1.04%</w:t>
            </w:r>
          </w:p>
        </w:tc>
        <w:tc>
          <w:tcPr>
            <w:tcW w:w="1194" w:type="dxa"/>
            <w:vAlign w:val="center"/>
          </w:tcPr>
          <w:p w:rsidR="000C37E7" w:rsidRDefault="00080F7A">
            <w:pPr>
              <w:jc w:val="center"/>
            </w:pPr>
            <w:r>
              <w:rPr>
                <w:color w:val="000000"/>
                <w:sz w:val="24"/>
                <w:szCs w:val="24"/>
              </w:rPr>
              <w:t>4.07%</w:t>
            </w:r>
          </w:p>
        </w:tc>
        <w:tc>
          <w:tcPr>
            <w:tcW w:w="898" w:type="dxa"/>
            <w:vAlign w:val="center"/>
          </w:tcPr>
          <w:p w:rsidR="000C37E7" w:rsidRDefault="00080F7A">
            <w:pPr>
              <w:jc w:val="center"/>
            </w:pPr>
            <w:r>
              <w:rPr>
                <w:color w:val="000000"/>
                <w:sz w:val="24"/>
                <w:szCs w:val="24"/>
              </w:rPr>
              <w:t>-0.10%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上投摩根锦程积极成长养老目标五年持有期混合型发起式基金中基金</w:t>
      </w:r>
      <w:r w:rsidRPr="00414345">
        <w:rPr>
          <w:color w:val="000000"/>
          <w:sz w:val="24"/>
          <w:szCs w:val="24"/>
        </w:rPr>
        <w:t>(FOF)</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701EE165" wp14:editId="6BB9C99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0C37E7" w:rsidRDefault="00080F7A">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29</w:t>
      </w:r>
      <w:r>
        <w:rPr>
          <w:color w:val="000000"/>
          <w:sz w:val="24"/>
          <w:szCs w:val="24"/>
        </w:rPr>
        <w:t>日，截至报告期末本基金合同生效未满一年。</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本基金建仓期自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29</w:t>
      </w:r>
      <w:r w:rsidRPr="00414345">
        <w:rPr>
          <w:color w:val="000000"/>
          <w:sz w:val="24"/>
          <w:szCs w:val="24"/>
        </w:rPr>
        <w:t>日至</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28</w:t>
      </w:r>
      <w:r w:rsidRPr="00414345">
        <w:rPr>
          <w:color w:val="000000"/>
          <w:sz w:val="24"/>
          <w:szCs w:val="24"/>
        </w:rPr>
        <w:t>日，本基金报告期内仍处于建仓期。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627E2D" w:rsidRPr="00414345" w:rsidRDefault="00627E2D" w:rsidP="00C15CAC">
      <w:pPr>
        <w:autoSpaceDE w:val="0"/>
        <w:autoSpaceDN w:val="0"/>
        <w:adjustRightInd w:val="0"/>
        <w:spacing w:before="29" w:line="288" w:lineRule="auto"/>
        <w:jc w:val="left"/>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C37E7">
        <w:trPr>
          <w:jc w:val="center"/>
        </w:trPr>
        <w:tc>
          <w:tcPr>
            <w:tcW w:w="846" w:type="dxa"/>
            <w:vAlign w:val="center"/>
          </w:tcPr>
          <w:p w:rsidR="000C37E7" w:rsidRDefault="00080F7A">
            <w:pPr>
              <w:jc w:val="center"/>
            </w:pPr>
            <w:r>
              <w:rPr>
                <w:color w:val="000000"/>
                <w:sz w:val="24"/>
                <w:szCs w:val="24"/>
              </w:rPr>
              <w:t>杜习杰</w:t>
            </w:r>
          </w:p>
        </w:tc>
        <w:tc>
          <w:tcPr>
            <w:tcW w:w="845" w:type="dxa"/>
            <w:vAlign w:val="center"/>
          </w:tcPr>
          <w:p w:rsidR="000C37E7" w:rsidRDefault="00080F7A">
            <w:pPr>
              <w:jc w:val="center"/>
            </w:pPr>
            <w:r>
              <w:rPr>
                <w:color w:val="000000"/>
                <w:sz w:val="24"/>
                <w:szCs w:val="24"/>
              </w:rPr>
              <w:t>本基金基金经理</w:t>
            </w:r>
          </w:p>
        </w:tc>
        <w:tc>
          <w:tcPr>
            <w:tcW w:w="1549" w:type="dxa"/>
            <w:vAlign w:val="center"/>
          </w:tcPr>
          <w:p w:rsidR="000C37E7" w:rsidRDefault="00080F7A">
            <w:pPr>
              <w:jc w:val="center"/>
            </w:pPr>
            <w:r>
              <w:rPr>
                <w:color w:val="000000"/>
                <w:sz w:val="24"/>
                <w:szCs w:val="24"/>
              </w:rPr>
              <w:t>2020-04-29</w:t>
            </w:r>
          </w:p>
        </w:tc>
        <w:tc>
          <w:tcPr>
            <w:tcW w:w="1548" w:type="dxa"/>
            <w:vAlign w:val="center"/>
          </w:tcPr>
          <w:p w:rsidR="000C37E7" w:rsidRDefault="00080F7A">
            <w:pPr>
              <w:jc w:val="center"/>
            </w:pPr>
            <w:r>
              <w:rPr>
                <w:color w:val="000000"/>
                <w:sz w:val="24"/>
                <w:szCs w:val="24"/>
              </w:rPr>
              <w:t>-</w:t>
            </w:r>
          </w:p>
        </w:tc>
        <w:tc>
          <w:tcPr>
            <w:tcW w:w="1407" w:type="dxa"/>
            <w:vAlign w:val="center"/>
          </w:tcPr>
          <w:p w:rsidR="000C37E7" w:rsidRDefault="00080F7A">
            <w:pPr>
              <w:jc w:val="center"/>
            </w:pPr>
            <w:r>
              <w:rPr>
                <w:color w:val="000000"/>
                <w:sz w:val="24"/>
                <w:szCs w:val="24"/>
              </w:rPr>
              <w:t>12</w:t>
            </w:r>
            <w:r>
              <w:rPr>
                <w:color w:val="000000"/>
                <w:sz w:val="24"/>
                <w:szCs w:val="24"/>
              </w:rPr>
              <w:t>年</w:t>
            </w:r>
          </w:p>
        </w:tc>
        <w:tc>
          <w:tcPr>
            <w:tcW w:w="2673" w:type="dxa"/>
            <w:vAlign w:val="center"/>
          </w:tcPr>
          <w:p w:rsidR="000C37E7" w:rsidRDefault="00080F7A">
            <w:r>
              <w:rPr>
                <w:color w:val="000000"/>
                <w:sz w:val="24"/>
                <w:szCs w:val="24"/>
              </w:rPr>
              <w:t>杜习杰先生，上海财经大学金融学硕士。自</w:t>
            </w:r>
            <w:r>
              <w:rPr>
                <w:color w:val="000000"/>
                <w:sz w:val="24"/>
                <w:szCs w:val="24"/>
              </w:rPr>
              <w:t>2008</w:t>
            </w:r>
            <w:r>
              <w:rPr>
                <w:color w:val="000000"/>
                <w:sz w:val="24"/>
                <w:szCs w:val="24"/>
              </w:rPr>
              <w:t>年</w:t>
            </w:r>
            <w:r>
              <w:rPr>
                <w:color w:val="000000"/>
                <w:sz w:val="24"/>
                <w:szCs w:val="24"/>
              </w:rPr>
              <w:t>7</w:t>
            </w:r>
            <w:r>
              <w:rPr>
                <w:color w:val="000000"/>
                <w:sz w:val="24"/>
                <w:szCs w:val="24"/>
              </w:rPr>
              <w:t>月至</w:t>
            </w:r>
            <w:r>
              <w:rPr>
                <w:color w:val="000000"/>
                <w:sz w:val="24"/>
                <w:szCs w:val="24"/>
              </w:rPr>
              <w:t>2011</w:t>
            </w:r>
            <w:r>
              <w:rPr>
                <w:color w:val="000000"/>
                <w:sz w:val="24"/>
                <w:szCs w:val="24"/>
              </w:rPr>
              <w:t>年</w:t>
            </w:r>
            <w:r>
              <w:rPr>
                <w:color w:val="000000"/>
                <w:sz w:val="24"/>
                <w:szCs w:val="24"/>
              </w:rPr>
              <w:t>5</w:t>
            </w:r>
            <w:r>
              <w:rPr>
                <w:color w:val="000000"/>
                <w:sz w:val="24"/>
                <w:szCs w:val="24"/>
              </w:rPr>
              <w:t>月在长信基金任研究员；</w:t>
            </w:r>
            <w:r>
              <w:rPr>
                <w:color w:val="000000"/>
                <w:sz w:val="24"/>
                <w:szCs w:val="24"/>
              </w:rPr>
              <w:t>2011</w:t>
            </w:r>
            <w:r>
              <w:rPr>
                <w:color w:val="000000"/>
                <w:sz w:val="24"/>
                <w:szCs w:val="24"/>
              </w:rPr>
              <w:t>年</w:t>
            </w:r>
            <w:r>
              <w:rPr>
                <w:color w:val="000000"/>
                <w:sz w:val="24"/>
                <w:szCs w:val="24"/>
              </w:rPr>
              <w:t>6</w:t>
            </w:r>
            <w:r>
              <w:rPr>
                <w:color w:val="000000"/>
                <w:sz w:val="24"/>
                <w:szCs w:val="24"/>
              </w:rPr>
              <w:t>月起加入上投摩根基金管理有限</w:t>
            </w:r>
            <w:r>
              <w:rPr>
                <w:color w:val="000000"/>
                <w:sz w:val="24"/>
                <w:szCs w:val="24"/>
              </w:rPr>
              <w:lastRenderedPageBreak/>
              <w:t>公司，历任研究员、投资经理兼研究员，现任组合基金投资部基金经理。自</w:t>
            </w:r>
            <w:r>
              <w:rPr>
                <w:color w:val="000000"/>
                <w:sz w:val="24"/>
                <w:szCs w:val="24"/>
              </w:rPr>
              <w:t>2019</w:t>
            </w:r>
            <w:r>
              <w:rPr>
                <w:color w:val="000000"/>
                <w:sz w:val="24"/>
                <w:szCs w:val="24"/>
              </w:rPr>
              <w:t>年</w:t>
            </w:r>
            <w:r>
              <w:rPr>
                <w:color w:val="000000"/>
                <w:sz w:val="24"/>
                <w:szCs w:val="24"/>
              </w:rPr>
              <w:t>9</w:t>
            </w:r>
            <w:r>
              <w:rPr>
                <w:color w:val="000000"/>
                <w:sz w:val="24"/>
                <w:szCs w:val="24"/>
              </w:rPr>
              <w:t>月起担任上投摩根锦程均衡养老目标三年持有期混合型基金中基金（</w:t>
            </w:r>
            <w:r>
              <w:rPr>
                <w:color w:val="000000"/>
                <w:sz w:val="24"/>
                <w:szCs w:val="24"/>
              </w:rPr>
              <w:t>FOF</w:t>
            </w:r>
            <w:r>
              <w:rPr>
                <w:color w:val="000000"/>
                <w:sz w:val="24"/>
                <w:szCs w:val="24"/>
              </w:rPr>
              <w:t>）基金经理，自</w:t>
            </w:r>
            <w:r>
              <w:rPr>
                <w:color w:val="000000"/>
                <w:sz w:val="24"/>
                <w:szCs w:val="24"/>
              </w:rPr>
              <w:t>2020</w:t>
            </w:r>
            <w:r>
              <w:rPr>
                <w:color w:val="000000"/>
                <w:sz w:val="24"/>
                <w:szCs w:val="24"/>
              </w:rPr>
              <w:t>年</w:t>
            </w:r>
            <w:r>
              <w:rPr>
                <w:color w:val="000000"/>
                <w:sz w:val="24"/>
                <w:szCs w:val="24"/>
              </w:rPr>
              <w:t>4</w:t>
            </w:r>
            <w:r>
              <w:rPr>
                <w:color w:val="000000"/>
                <w:sz w:val="24"/>
                <w:szCs w:val="24"/>
              </w:rPr>
              <w:t>月起同时担任上投摩根锦程稳健养老目标一年持有期混合型基金中基金</w:t>
            </w:r>
            <w:r>
              <w:rPr>
                <w:color w:val="000000"/>
                <w:sz w:val="24"/>
                <w:szCs w:val="24"/>
              </w:rPr>
              <w:t>(FOF)</w:t>
            </w:r>
            <w:r>
              <w:rPr>
                <w:color w:val="000000"/>
                <w:sz w:val="24"/>
                <w:szCs w:val="24"/>
              </w:rPr>
              <w:t>基金经理及上投摩根锦程积极成长养老目标五年持有期混合型发起式基金中基金</w:t>
            </w:r>
            <w:r>
              <w:rPr>
                <w:color w:val="000000"/>
                <w:sz w:val="24"/>
                <w:szCs w:val="24"/>
              </w:rPr>
              <w:t xml:space="preserve">(FOF) </w:t>
            </w:r>
            <w:r>
              <w:rPr>
                <w:color w:val="000000"/>
                <w:sz w:val="24"/>
                <w:szCs w:val="24"/>
              </w:rPr>
              <w:t>基金经理。</w:t>
            </w:r>
          </w:p>
        </w:tc>
      </w:tr>
    </w:tbl>
    <w:p w:rsidR="000C37E7" w:rsidRDefault="00080F7A">
      <w:pPr>
        <w:autoSpaceDE w:val="0"/>
        <w:autoSpaceDN w:val="0"/>
        <w:adjustRightInd w:val="0"/>
        <w:spacing w:before="29" w:line="288" w:lineRule="auto"/>
        <w:jc w:val="left"/>
        <w:rPr>
          <w:color w:val="000000"/>
          <w:sz w:val="24"/>
          <w:szCs w:val="24"/>
        </w:rPr>
      </w:pPr>
      <w:r>
        <w:rPr>
          <w:color w:val="000000"/>
          <w:sz w:val="24"/>
          <w:szCs w:val="24"/>
        </w:rPr>
        <w:lastRenderedPageBreak/>
        <w:t>注：</w:t>
      </w:r>
      <w:r>
        <w:rPr>
          <w:color w:val="000000"/>
          <w:sz w:val="24"/>
          <w:szCs w:val="24"/>
        </w:rPr>
        <w:t xml:space="preserve">1. </w:t>
      </w:r>
      <w:r>
        <w:rPr>
          <w:color w:val="000000"/>
          <w:sz w:val="24"/>
          <w:szCs w:val="24"/>
        </w:rPr>
        <w:t>任职日期和离任日期均指根据公司决定确定的聘任日期和解聘日期。</w:t>
      </w:r>
    </w:p>
    <w:p w:rsidR="000C37E7" w:rsidRDefault="00080F7A">
      <w:pPr>
        <w:autoSpaceDE w:val="0"/>
        <w:autoSpaceDN w:val="0"/>
        <w:adjustRightInd w:val="0"/>
        <w:spacing w:before="29" w:line="288" w:lineRule="auto"/>
        <w:jc w:val="left"/>
        <w:rPr>
          <w:color w:val="000000"/>
          <w:sz w:val="24"/>
          <w:szCs w:val="24"/>
        </w:rPr>
      </w:pPr>
      <w:r>
        <w:rPr>
          <w:color w:val="000000"/>
          <w:sz w:val="24"/>
          <w:szCs w:val="24"/>
        </w:rPr>
        <w:t xml:space="preserve">2. </w:t>
      </w:r>
      <w:r>
        <w:rPr>
          <w:color w:val="000000"/>
          <w:sz w:val="24"/>
          <w:szCs w:val="24"/>
        </w:rPr>
        <w:t>杜习杰先生为本基金首任基金经理，其任职日期为本基金基金合同生效之日；</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3. </w:t>
      </w:r>
      <w:r w:rsidRPr="00414345">
        <w:rPr>
          <w:color w:val="000000"/>
          <w:sz w:val="24"/>
          <w:szCs w:val="24"/>
        </w:rPr>
        <w:t>证券从业的含义遵从行业协会《证券业从业人员资格管理办法》的相关规定。</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上投摩根锦程积极成长养老目标五年持有期混合型发起式基金中基金</w:t>
      </w:r>
      <w:r w:rsidRPr="00414345">
        <w:rPr>
          <w:color w:val="000000"/>
          <w:sz w:val="24"/>
          <w:szCs w:val="24"/>
        </w:rPr>
        <w:t>(FOF)</w:t>
      </w:r>
      <w:r w:rsidRPr="00414345">
        <w:rPr>
          <w:color w:val="000000"/>
          <w:sz w:val="24"/>
          <w:szCs w:val="24"/>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C37E7" w:rsidRDefault="00080F7A">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C37E7" w:rsidRDefault="00080F7A">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w:t>
      </w:r>
      <w:r>
        <w:rPr>
          <w:color w:val="000000"/>
          <w:sz w:val="24"/>
          <w:szCs w:val="24"/>
        </w:rPr>
        <w:lastRenderedPageBreak/>
        <w:t>立申报的价格和数量对交易结果进行公平分配。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0C37E7" w:rsidRDefault="00080F7A">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C37E7" w:rsidRDefault="00080F7A">
      <w:pPr>
        <w:spacing w:before="29" w:line="288" w:lineRule="auto"/>
        <w:ind w:firstLineChars="200" w:firstLine="480"/>
        <w:rPr>
          <w:color w:val="000000"/>
          <w:sz w:val="24"/>
          <w:szCs w:val="24"/>
        </w:rPr>
      </w:pPr>
      <w:r>
        <w:rPr>
          <w:color w:val="000000"/>
          <w:sz w:val="24"/>
          <w:szCs w:val="24"/>
        </w:rPr>
        <w:t>回顾三季度，美元走弱，资金大幅流入新兴市场。季度初期国内权益市场大幅走强，</w:t>
      </w:r>
      <w:r>
        <w:rPr>
          <w:color w:val="000000"/>
          <w:sz w:val="24"/>
          <w:szCs w:val="24"/>
        </w:rPr>
        <w:t>7</w:t>
      </w:r>
      <w:r>
        <w:rPr>
          <w:color w:val="000000"/>
          <w:sz w:val="24"/>
          <w:szCs w:val="24"/>
        </w:rPr>
        <w:t>月中旬以后，权益市场震荡下行，前期强势板块出现回调。随着经济复苏的信号越来越强，货币政策边际趋紧的预期抬升，大盘风格显著跑赢小盘风格，价值成长风格表现均衡。顺周期的成长性行业表现突出，军工、电气设备、汽车等行业涨幅居前。在货币政策趋紧的预期下，国内债券收益率持续走高，短端涨幅高于长端，国债收益率曲线进一步趋平。美国大选、海外疫情再次爆发等因素压制了海外权益市场的风险偏好，在强力的经济刺激政策下，美国经济边际改善。欧洲疫情二次反弹，欧股表现显著弱于美股。美债收益率已在历史底部，随着经济的改善，新兴市场债的配置价值优于发达市场债。避险和抗通胀需求减弱，黄金从高位回调。</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后市，前期主要的风险因素对资本市场的影响开始钝化。在货币、财政等政策的刺激下，经济显著复苏，且呈现逐步进入正常状态的迹象。国内经济逐步恢复，企业盈利景气度逐步修复，宽信用政策仍在推进，顺周期板块和高景气度的科技行业仍是配置主线。国内债券收益率已至前期高点，具有长期配置价值。海外疫情反复以及美国大选是近期最大的不确定因素，未来经济复苏是影响市场的核心因素。若美国经济复苏，利率走高，美元指数走强，将会对其他市场造成资金压力，在历史底部的美债收益率可能边际上走高，发达市场利率债相对新兴市场债风险较大。</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本报告期锦程积极成长养老</w:t>
      </w:r>
      <w:r w:rsidRPr="00414345">
        <w:rPr>
          <w:color w:val="000000"/>
          <w:sz w:val="24"/>
          <w:szCs w:val="24"/>
        </w:rPr>
        <w:t>FOF</w:t>
      </w:r>
      <w:r w:rsidRPr="00414345">
        <w:rPr>
          <w:color w:val="000000"/>
          <w:sz w:val="24"/>
          <w:szCs w:val="24"/>
        </w:rPr>
        <w:t>份额净值增长率为</w:t>
      </w:r>
      <w:r w:rsidRPr="00414345">
        <w:rPr>
          <w:color w:val="000000"/>
          <w:sz w:val="24"/>
          <w:szCs w:val="24"/>
        </w:rPr>
        <w:t>:8.12%</w:t>
      </w:r>
      <w:r w:rsidRPr="00414345">
        <w:rPr>
          <w:color w:val="000000"/>
          <w:sz w:val="24"/>
          <w:szCs w:val="24"/>
        </w:rPr>
        <w:t>，同期业绩比较基准收益率为</w:t>
      </w:r>
      <w:r w:rsidRPr="00414345">
        <w:rPr>
          <w:color w:val="000000"/>
          <w:sz w:val="24"/>
          <w:szCs w:val="24"/>
        </w:rPr>
        <w:t>:6.76%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无。</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f2"/>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16,051,253.81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86.24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873,668.00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873,668.00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1,638,087.70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48,990.11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18,611,999.62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791,208.00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82,460.00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0.47</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873,668.00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C37E7">
        <w:trPr>
          <w:jc w:val="center"/>
        </w:trPr>
        <w:tc>
          <w:tcPr>
            <w:tcW w:w="850" w:type="dxa"/>
            <w:vAlign w:val="center"/>
          </w:tcPr>
          <w:p w:rsidR="000C37E7" w:rsidRDefault="00080F7A">
            <w:pPr>
              <w:jc w:val="center"/>
            </w:pPr>
            <w:r>
              <w:rPr>
                <w:color w:val="000000"/>
                <w:sz w:val="24"/>
                <w:szCs w:val="24"/>
              </w:rPr>
              <w:t>1</w:t>
            </w:r>
          </w:p>
        </w:tc>
        <w:tc>
          <w:tcPr>
            <w:tcW w:w="1475" w:type="dxa"/>
            <w:vAlign w:val="center"/>
          </w:tcPr>
          <w:p w:rsidR="000C37E7" w:rsidRDefault="00080F7A">
            <w:pPr>
              <w:jc w:val="center"/>
            </w:pPr>
            <w:r>
              <w:rPr>
                <w:color w:val="000000"/>
                <w:sz w:val="24"/>
                <w:szCs w:val="24"/>
              </w:rPr>
              <w:t>019627</w:t>
            </w:r>
          </w:p>
        </w:tc>
        <w:tc>
          <w:tcPr>
            <w:tcW w:w="1769" w:type="dxa"/>
            <w:vAlign w:val="center"/>
          </w:tcPr>
          <w:p w:rsidR="000C37E7" w:rsidRDefault="00080F7A">
            <w:pPr>
              <w:jc w:val="center"/>
            </w:pPr>
            <w:r>
              <w:rPr>
                <w:color w:val="000000"/>
                <w:sz w:val="24"/>
                <w:szCs w:val="24"/>
              </w:rPr>
              <w:t>20</w:t>
            </w:r>
            <w:r>
              <w:rPr>
                <w:color w:val="000000"/>
                <w:sz w:val="24"/>
                <w:szCs w:val="24"/>
              </w:rPr>
              <w:t>国债</w:t>
            </w:r>
            <w:r>
              <w:rPr>
                <w:color w:val="000000"/>
                <w:sz w:val="24"/>
                <w:szCs w:val="24"/>
              </w:rPr>
              <w:t>01</w:t>
            </w:r>
          </w:p>
        </w:tc>
        <w:tc>
          <w:tcPr>
            <w:tcW w:w="1387" w:type="dxa"/>
            <w:vAlign w:val="center"/>
          </w:tcPr>
          <w:p w:rsidR="000C37E7" w:rsidRDefault="00080F7A">
            <w:pPr>
              <w:jc w:val="right"/>
            </w:pPr>
            <w:r>
              <w:rPr>
                <w:color w:val="000000"/>
                <w:sz w:val="24"/>
                <w:szCs w:val="24"/>
              </w:rPr>
              <w:t>7,920</w:t>
            </w:r>
          </w:p>
        </w:tc>
        <w:tc>
          <w:tcPr>
            <w:tcW w:w="2150" w:type="dxa"/>
            <w:vAlign w:val="center"/>
          </w:tcPr>
          <w:p w:rsidR="000C37E7" w:rsidRDefault="00080F7A">
            <w:pPr>
              <w:jc w:val="right"/>
            </w:pPr>
            <w:r>
              <w:rPr>
                <w:color w:val="000000"/>
                <w:sz w:val="24"/>
                <w:szCs w:val="24"/>
              </w:rPr>
              <w:t>791,208.00</w:t>
            </w:r>
          </w:p>
        </w:tc>
        <w:tc>
          <w:tcPr>
            <w:tcW w:w="1237" w:type="dxa"/>
            <w:vAlign w:val="center"/>
          </w:tcPr>
          <w:p w:rsidR="000C37E7" w:rsidRDefault="00080F7A">
            <w:pPr>
              <w:jc w:val="right"/>
            </w:pPr>
            <w:r>
              <w:rPr>
                <w:color w:val="000000"/>
                <w:sz w:val="24"/>
                <w:szCs w:val="24"/>
              </w:rPr>
              <w:t>4.51</w:t>
            </w:r>
          </w:p>
        </w:tc>
      </w:tr>
      <w:tr w:rsidR="000C37E7">
        <w:trPr>
          <w:jc w:val="center"/>
        </w:trPr>
        <w:tc>
          <w:tcPr>
            <w:tcW w:w="850" w:type="dxa"/>
            <w:vAlign w:val="center"/>
          </w:tcPr>
          <w:p w:rsidR="000C37E7" w:rsidRDefault="00080F7A">
            <w:pPr>
              <w:jc w:val="center"/>
            </w:pPr>
            <w:r>
              <w:rPr>
                <w:color w:val="000000"/>
                <w:sz w:val="24"/>
                <w:szCs w:val="24"/>
              </w:rPr>
              <w:t>2</w:t>
            </w:r>
          </w:p>
        </w:tc>
        <w:tc>
          <w:tcPr>
            <w:tcW w:w="1475" w:type="dxa"/>
            <w:vAlign w:val="center"/>
          </w:tcPr>
          <w:p w:rsidR="000C37E7" w:rsidRDefault="00080F7A">
            <w:pPr>
              <w:jc w:val="center"/>
            </w:pPr>
            <w:r>
              <w:rPr>
                <w:color w:val="000000"/>
                <w:sz w:val="24"/>
                <w:szCs w:val="24"/>
              </w:rPr>
              <w:t>113545</w:t>
            </w:r>
          </w:p>
        </w:tc>
        <w:tc>
          <w:tcPr>
            <w:tcW w:w="1769" w:type="dxa"/>
            <w:vAlign w:val="center"/>
          </w:tcPr>
          <w:p w:rsidR="000C37E7" w:rsidRDefault="00080F7A">
            <w:pPr>
              <w:jc w:val="center"/>
            </w:pPr>
            <w:r>
              <w:rPr>
                <w:color w:val="000000"/>
                <w:sz w:val="24"/>
                <w:szCs w:val="24"/>
              </w:rPr>
              <w:t>金能转债</w:t>
            </w:r>
          </w:p>
        </w:tc>
        <w:tc>
          <w:tcPr>
            <w:tcW w:w="1387" w:type="dxa"/>
            <w:vAlign w:val="center"/>
          </w:tcPr>
          <w:p w:rsidR="000C37E7" w:rsidRDefault="00080F7A">
            <w:pPr>
              <w:jc w:val="right"/>
            </w:pPr>
            <w:r>
              <w:rPr>
                <w:color w:val="000000"/>
                <w:sz w:val="24"/>
                <w:szCs w:val="24"/>
              </w:rPr>
              <w:t>700</w:t>
            </w:r>
          </w:p>
        </w:tc>
        <w:tc>
          <w:tcPr>
            <w:tcW w:w="2150" w:type="dxa"/>
            <w:vAlign w:val="center"/>
          </w:tcPr>
          <w:p w:rsidR="000C37E7" w:rsidRDefault="00080F7A">
            <w:pPr>
              <w:jc w:val="right"/>
            </w:pPr>
            <w:r>
              <w:rPr>
                <w:color w:val="000000"/>
                <w:sz w:val="24"/>
                <w:szCs w:val="24"/>
              </w:rPr>
              <w:t>82,460.00</w:t>
            </w:r>
          </w:p>
        </w:tc>
        <w:tc>
          <w:tcPr>
            <w:tcW w:w="1237" w:type="dxa"/>
            <w:vAlign w:val="center"/>
          </w:tcPr>
          <w:p w:rsidR="000C37E7" w:rsidRDefault="00080F7A">
            <w:pPr>
              <w:jc w:val="right"/>
            </w:pPr>
            <w:r>
              <w:rPr>
                <w:color w:val="000000"/>
                <w:sz w:val="24"/>
                <w:szCs w:val="24"/>
              </w:rPr>
              <w:t>0.47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报告期内本基金投资的前十名证券的发行主体本期没有出现被监管部门立案调查，或在报告编制日前一年内受到公开谴责、处罚的情形。</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5,724.83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13,314.52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29,950.76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48,990.11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0C37E7">
        <w:trPr>
          <w:jc w:val="center"/>
        </w:trPr>
        <w:tc>
          <w:tcPr>
            <w:tcW w:w="1883" w:type="dxa"/>
            <w:vAlign w:val="center"/>
          </w:tcPr>
          <w:p w:rsidR="000C37E7" w:rsidRDefault="00080F7A">
            <w:pPr>
              <w:jc w:val="center"/>
            </w:pPr>
            <w:r>
              <w:rPr>
                <w:color w:val="000000"/>
                <w:sz w:val="24"/>
                <w:szCs w:val="24"/>
              </w:rPr>
              <w:t>1</w:t>
            </w:r>
          </w:p>
        </w:tc>
        <w:tc>
          <w:tcPr>
            <w:tcW w:w="1801" w:type="dxa"/>
            <w:vAlign w:val="center"/>
          </w:tcPr>
          <w:p w:rsidR="000C37E7" w:rsidRDefault="00080F7A">
            <w:pPr>
              <w:jc w:val="center"/>
            </w:pPr>
            <w:r>
              <w:rPr>
                <w:color w:val="000000"/>
                <w:sz w:val="24"/>
                <w:szCs w:val="24"/>
              </w:rPr>
              <w:t>113545</w:t>
            </w:r>
          </w:p>
        </w:tc>
        <w:tc>
          <w:tcPr>
            <w:tcW w:w="1727" w:type="dxa"/>
            <w:vAlign w:val="center"/>
          </w:tcPr>
          <w:p w:rsidR="000C37E7" w:rsidRDefault="00080F7A">
            <w:pPr>
              <w:jc w:val="center"/>
            </w:pPr>
            <w:r>
              <w:rPr>
                <w:color w:val="000000"/>
                <w:sz w:val="24"/>
                <w:szCs w:val="24"/>
              </w:rPr>
              <w:t>金能转债</w:t>
            </w:r>
          </w:p>
        </w:tc>
        <w:tc>
          <w:tcPr>
            <w:tcW w:w="1768" w:type="dxa"/>
            <w:vAlign w:val="center"/>
          </w:tcPr>
          <w:p w:rsidR="000C37E7" w:rsidRDefault="00080F7A">
            <w:pPr>
              <w:jc w:val="right"/>
            </w:pPr>
            <w:r>
              <w:rPr>
                <w:color w:val="000000"/>
                <w:sz w:val="24"/>
                <w:szCs w:val="24"/>
              </w:rPr>
              <w:t>82,460.00</w:t>
            </w:r>
          </w:p>
        </w:tc>
        <w:tc>
          <w:tcPr>
            <w:tcW w:w="1689" w:type="dxa"/>
            <w:vAlign w:val="center"/>
          </w:tcPr>
          <w:p w:rsidR="000C37E7" w:rsidRDefault="00080F7A">
            <w:pPr>
              <w:jc w:val="right"/>
            </w:pPr>
            <w:r>
              <w:rPr>
                <w:color w:val="000000"/>
                <w:sz w:val="24"/>
                <w:szCs w:val="24"/>
              </w:rPr>
              <w:t>0.47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因四舍五入的原因，投资组合报告中分项之和与合计数可能存在尾差。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rsidTr="00CD14C0">
        <w:tc>
          <w:tcPr>
            <w:tcW w:w="452"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lastRenderedPageBreak/>
              <w:t>序号</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0C37E7">
        <w:tc>
          <w:tcPr>
            <w:tcW w:w="835" w:type="dxa"/>
            <w:vAlign w:val="center"/>
          </w:tcPr>
          <w:p w:rsidR="000C37E7" w:rsidRDefault="00080F7A">
            <w:pPr>
              <w:jc w:val="center"/>
            </w:pPr>
            <w:r>
              <w:rPr>
                <w:sz w:val="24"/>
                <w:szCs w:val="24"/>
              </w:rPr>
              <w:t>1</w:t>
            </w:r>
          </w:p>
        </w:tc>
        <w:tc>
          <w:tcPr>
            <w:tcW w:w="1159" w:type="dxa"/>
            <w:vAlign w:val="center"/>
          </w:tcPr>
          <w:p w:rsidR="000C37E7" w:rsidRDefault="00080F7A">
            <w:pPr>
              <w:jc w:val="center"/>
            </w:pPr>
            <w:r>
              <w:rPr>
                <w:sz w:val="24"/>
                <w:szCs w:val="24"/>
              </w:rPr>
              <w:t>000457</w:t>
            </w:r>
          </w:p>
        </w:tc>
        <w:tc>
          <w:tcPr>
            <w:tcW w:w="1161" w:type="dxa"/>
            <w:vAlign w:val="center"/>
          </w:tcPr>
          <w:p w:rsidR="000C37E7" w:rsidRDefault="00080F7A">
            <w:pPr>
              <w:jc w:val="center"/>
            </w:pPr>
            <w:r>
              <w:rPr>
                <w:sz w:val="24"/>
                <w:szCs w:val="24"/>
              </w:rPr>
              <w:t>上投摩根核心成长股票</w:t>
            </w:r>
          </w:p>
        </w:tc>
        <w:tc>
          <w:tcPr>
            <w:tcW w:w="1161" w:type="dxa"/>
            <w:vAlign w:val="center"/>
          </w:tcPr>
          <w:p w:rsidR="000C37E7" w:rsidRDefault="00080F7A">
            <w:pPr>
              <w:jc w:val="center"/>
            </w:pPr>
            <w:r>
              <w:rPr>
                <w:sz w:val="24"/>
                <w:szCs w:val="24"/>
              </w:rPr>
              <w:t>契约型开放式</w:t>
            </w:r>
          </w:p>
        </w:tc>
        <w:tc>
          <w:tcPr>
            <w:tcW w:w="1159" w:type="dxa"/>
            <w:vAlign w:val="center"/>
          </w:tcPr>
          <w:p w:rsidR="000C37E7" w:rsidRDefault="00080F7A">
            <w:pPr>
              <w:jc w:val="center"/>
            </w:pPr>
            <w:r>
              <w:rPr>
                <w:sz w:val="24"/>
                <w:szCs w:val="24"/>
              </w:rPr>
              <w:t>431,211.73</w:t>
            </w:r>
          </w:p>
        </w:tc>
        <w:tc>
          <w:tcPr>
            <w:tcW w:w="1305" w:type="dxa"/>
            <w:vAlign w:val="center"/>
          </w:tcPr>
          <w:p w:rsidR="000C37E7" w:rsidRDefault="00080F7A">
            <w:pPr>
              <w:jc w:val="center"/>
            </w:pPr>
            <w:r>
              <w:rPr>
                <w:sz w:val="24"/>
                <w:szCs w:val="24"/>
              </w:rPr>
              <w:t>1,035,598.09</w:t>
            </w:r>
          </w:p>
        </w:tc>
        <w:tc>
          <w:tcPr>
            <w:tcW w:w="1161" w:type="dxa"/>
            <w:vAlign w:val="center"/>
          </w:tcPr>
          <w:p w:rsidR="000C37E7" w:rsidRDefault="00080F7A">
            <w:pPr>
              <w:jc w:val="center"/>
            </w:pPr>
            <w:r>
              <w:rPr>
                <w:sz w:val="24"/>
                <w:szCs w:val="24"/>
              </w:rPr>
              <w:t>5.90%</w:t>
            </w:r>
          </w:p>
        </w:tc>
        <w:tc>
          <w:tcPr>
            <w:tcW w:w="1301" w:type="dxa"/>
            <w:vAlign w:val="center"/>
          </w:tcPr>
          <w:p w:rsidR="000C37E7" w:rsidRDefault="00080F7A">
            <w:pPr>
              <w:jc w:val="center"/>
            </w:pPr>
            <w:r>
              <w:rPr>
                <w:sz w:val="24"/>
                <w:szCs w:val="24"/>
              </w:rPr>
              <w:t>是</w:t>
            </w:r>
          </w:p>
        </w:tc>
      </w:tr>
      <w:tr w:rsidR="000C37E7">
        <w:tc>
          <w:tcPr>
            <w:tcW w:w="835" w:type="dxa"/>
            <w:vAlign w:val="center"/>
          </w:tcPr>
          <w:p w:rsidR="000C37E7" w:rsidRDefault="00080F7A">
            <w:pPr>
              <w:jc w:val="center"/>
            </w:pPr>
            <w:r>
              <w:rPr>
                <w:sz w:val="24"/>
                <w:szCs w:val="24"/>
              </w:rPr>
              <w:t>2</w:t>
            </w:r>
          </w:p>
        </w:tc>
        <w:tc>
          <w:tcPr>
            <w:tcW w:w="1159" w:type="dxa"/>
            <w:vAlign w:val="center"/>
          </w:tcPr>
          <w:p w:rsidR="000C37E7" w:rsidRDefault="00080F7A">
            <w:pPr>
              <w:jc w:val="center"/>
            </w:pPr>
            <w:r>
              <w:rPr>
                <w:sz w:val="24"/>
                <w:szCs w:val="24"/>
              </w:rPr>
              <w:t>376510</w:t>
            </w:r>
          </w:p>
        </w:tc>
        <w:tc>
          <w:tcPr>
            <w:tcW w:w="1161" w:type="dxa"/>
            <w:vAlign w:val="center"/>
          </w:tcPr>
          <w:p w:rsidR="000C37E7" w:rsidRDefault="00080F7A">
            <w:pPr>
              <w:jc w:val="center"/>
            </w:pPr>
            <w:r>
              <w:rPr>
                <w:sz w:val="24"/>
                <w:szCs w:val="24"/>
              </w:rPr>
              <w:t>上投摩根大盘蓝筹股票</w:t>
            </w:r>
          </w:p>
        </w:tc>
        <w:tc>
          <w:tcPr>
            <w:tcW w:w="1161" w:type="dxa"/>
            <w:vAlign w:val="center"/>
          </w:tcPr>
          <w:p w:rsidR="000C37E7" w:rsidRDefault="00080F7A">
            <w:pPr>
              <w:jc w:val="center"/>
            </w:pPr>
            <w:r>
              <w:rPr>
                <w:sz w:val="24"/>
                <w:szCs w:val="24"/>
              </w:rPr>
              <w:t>契约型开放式</w:t>
            </w:r>
          </w:p>
        </w:tc>
        <w:tc>
          <w:tcPr>
            <w:tcW w:w="1159" w:type="dxa"/>
            <w:vAlign w:val="center"/>
          </w:tcPr>
          <w:p w:rsidR="000C37E7" w:rsidRDefault="00080F7A">
            <w:pPr>
              <w:jc w:val="center"/>
            </w:pPr>
            <w:r>
              <w:rPr>
                <w:sz w:val="24"/>
                <w:szCs w:val="24"/>
              </w:rPr>
              <w:t>370,578.37</w:t>
            </w:r>
          </w:p>
        </w:tc>
        <w:tc>
          <w:tcPr>
            <w:tcW w:w="1305" w:type="dxa"/>
            <w:vAlign w:val="center"/>
          </w:tcPr>
          <w:p w:rsidR="000C37E7" w:rsidRDefault="00080F7A">
            <w:pPr>
              <w:jc w:val="center"/>
            </w:pPr>
            <w:r>
              <w:rPr>
                <w:sz w:val="24"/>
                <w:szCs w:val="24"/>
              </w:rPr>
              <w:t>984,256.15</w:t>
            </w:r>
          </w:p>
        </w:tc>
        <w:tc>
          <w:tcPr>
            <w:tcW w:w="1161" w:type="dxa"/>
            <w:vAlign w:val="center"/>
          </w:tcPr>
          <w:p w:rsidR="000C37E7" w:rsidRDefault="00080F7A">
            <w:pPr>
              <w:jc w:val="center"/>
            </w:pPr>
            <w:r>
              <w:rPr>
                <w:sz w:val="24"/>
                <w:szCs w:val="24"/>
              </w:rPr>
              <w:t>5.61%</w:t>
            </w:r>
          </w:p>
        </w:tc>
        <w:tc>
          <w:tcPr>
            <w:tcW w:w="1301" w:type="dxa"/>
            <w:vAlign w:val="center"/>
          </w:tcPr>
          <w:p w:rsidR="000C37E7" w:rsidRDefault="00080F7A">
            <w:pPr>
              <w:jc w:val="center"/>
            </w:pPr>
            <w:r>
              <w:rPr>
                <w:sz w:val="24"/>
                <w:szCs w:val="24"/>
              </w:rPr>
              <w:t>是</w:t>
            </w:r>
          </w:p>
        </w:tc>
      </w:tr>
      <w:tr w:rsidR="000C37E7">
        <w:tc>
          <w:tcPr>
            <w:tcW w:w="835" w:type="dxa"/>
            <w:vAlign w:val="center"/>
          </w:tcPr>
          <w:p w:rsidR="000C37E7" w:rsidRDefault="00080F7A">
            <w:pPr>
              <w:jc w:val="center"/>
            </w:pPr>
            <w:r>
              <w:rPr>
                <w:sz w:val="24"/>
                <w:szCs w:val="24"/>
              </w:rPr>
              <w:t>3</w:t>
            </w:r>
          </w:p>
        </w:tc>
        <w:tc>
          <w:tcPr>
            <w:tcW w:w="1159" w:type="dxa"/>
            <w:vAlign w:val="center"/>
          </w:tcPr>
          <w:p w:rsidR="000C37E7" w:rsidRDefault="00080F7A">
            <w:pPr>
              <w:jc w:val="center"/>
            </w:pPr>
            <w:r>
              <w:rPr>
                <w:sz w:val="24"/>
                <w:szCs w:val="24"/>
              </w:rPr>
              <w:t>511260</w:t>
            </w:r>
          </w:p>
        </w:tc>
        <w:tc>
          <w:tcPr>
            <w:tcW w:w="1161" w:type="dxa"/>
            <w:vAlign w:val="center"/>
          </w:tcPr>
          <w:p w:rsidR="000C37E7" w:rsidRDefault="00080F7A">
            <w:pPr>
              <w:jc w:val="center"/>
            </w:pPr>
            <w:r>
              <w:rPr>
                <w:sz w:val="24"/>
                <w:szCs w:val="24"/>
              </w:rPr>
              <w:t>上证</w:t>
            </w:r>
            <w:r>
              <w:rPr>
                <w:sz w:val="24"/>
                <w:szCs w:val="24"/>
              </w:rPr>
              <w:t>10</w:t>
            </w:r>
            <w:r>
              <w:rPr>
                <w:sz w:val="24"/>
                <w:szCs w:val="24"/>
              </w:rPr>
              <w:t>年期国债</w:t>
            </w:r>
            <w:r>
              <w:rPr>
                <w:sz w:val="24"/>
                <w:szCs w:val="24"/>
              </w:rPr>
              <w:t>ETF</w:t>
            </w:r>
          </w:p>
        </w:tc>
        <w:tc>
          <w:tcPr>
            <w:tcW w:w="1161" w:type="dxa"/>
            <w:vAlign w:val="center"/>
          </w:tcPr>
          <w:p w:rsidR="000C37E7" w:rsidRDefault="00080F7A">
            <w:pPr>
              <w:jc w:val="center"/>
            </w:pPr>
            <w:r>
              <w:rPr>
                <w:sz w:val="24"/>
                <w:szCs w:val="24"/>
              </w:rPr>
              <w:t>契约型开放式</w:t>
            </w:r>
          </w:p>
        </w:tc>
        <w:tc>
          <w:tcPr>
            <w:tcW w:w="1159" w:type="dxa"/>
            <w:vAlign w:val="center"/>
          </w:tcPr>
          <w:p w:rsidR="000C37E7" w:rsidRDefault="00080F7A">
            <w:pPr>
              <w:jc w:val="center"/>
            </w:pPr>
            <w:r>
              <w:rPr>
                <w:sz w:val="24"/>
                <w:szCs w:val="24"/>
              </w:rPr>
              <w:t>8,300.00</w:t>
            </w:r>
          </w:p>
        </w:tc>
        <w:tc>
          <w:tcPr>
            <w:tcW w:w="1305" w:type="dxa"/>
            <w:vAlign w:val="center"/>
          </w:tcPr>
          <w:p w:rsidR="000C37E7" w:rsidRDefault="00080F7A">
            <w:pPr>
              <w:jc w:val="center"/>
            </w:pPr>
            <w:r>
              <w:rPr>
                <w:sz w:val="24"/>
                <w:szCs w:val="24"/>
              </w:rPr>
              <w:t>914,560.40</w:t>
            </w:r>
          </w:p>
        </w:tc>
        <w:tc>
          <w:tcPr>
            <w:tcW w:w="1161" w:type="dxa"/>
            <w:vAlign w:val="center"/>
          </w:tcPr>
          <w:p w:rsidR="000C37E7" w:rsidRDefault="00080F7A">
            <w:pPr>
              <w:jc w:val="center"/>
            </w:pPr>
            <w:r>
              <w:rPr>
                <w:sz w:val="24"/>
                <w:szCs w:val="24"/>
              </w:rPr>
              <w:t>5.21%</w:t>
            </w:r>
          </w:p>
        </w:tc>
        <w:tc>
          <w:tcPr>
            <w:tcW w:w="1301" w:type="dxa"/>
            <w:vAlign w:val="center"/>
          </w:tcPr>
          <w:p w:rsidR="000C37E7" w:rsidRDefault="00080F7A">
            <w:pPr>
              <w:jc w:val="center"/>
            </w:pPr>
            <w:r>
              <w:rPr>
                <w:sz w:val="24"/>
                <w:szCs w:val="24"/>
              </w:rPr>
              <w:t>否</w:t>
            </w:r>
          </w:p>
        </w:tc>
      </w:tr>
      <w:tr w:rsidR="000C37E7">
        <w:tc>
          <w:tcPr>
            <w:tcW w:w="835" w:type="dxa"/>
            <w:vAlign w:val="center"/>
          </w:tcPr>
          <w:p w:rsidR="000C37E7" w:rsidRDefault="00080F7A">
            <w:pPr>
              <w:jc w:val="center"/>
            </w:pPr>
            <w:r>
              <w:rPr>
                <w:sz w:val="24"/>
                <w:szCs w:val="24"/>
              </w:rPr>
              <w:t>4</w:t>
            </w:r>
          </w:p>
        </w:tc>
        <w:tc>
          <w:tcPr>
            <w:tcW w:w="1159" w:type="dxa"/>
            <w:vAlign w:val="center"/>
          </w:tcPr>
          <w:p w:rsidR="000C37E7" w:rsidRDefault="00080F7A">
            <w:pPr>
              <w:jc w:val="center"/>
            </w:pPr>
            <w:r>
              <w:rPr>
                <w:sz w:val="24"/>
                <w:szCs w:val="24"/>
              </w:rPr>
              <w:t>370027</w:t>
            </w:r>
          </w:p>
        </w:tc>
        <w:tc>
          <w:tcPr>
            <w:tcW w:w="1161" w:type="dxa"/>
            <w:vAlign w:val="center"/>
          </w:tcPr>
          <w:p w:rsidR="000C37E7" w:rsidRDefault="00080F7A">
            <w:pPr>
              <w:jc w:val="center"/>
            </w:pPr>
            <w:r>
              <w:rPr>
                <w:sz w:val="24"/>
                <w:szCs w:val="24"/>
              </w:rPr>
              <w:t>上投摩根智选</w:t>
            </w:r>
            <w:r>
              <w:rPr>
                <w:sz w:val="24"/>
                <w:szCs w:val="24"/>
              </w:rPr>
              <w:t>30</w:t>
            </w:r>
            <w:r>
              <w:rPr>
                <w:sz w:val="24"/>
                <w:szCs w:val="24"/>
              </w:rPr>
              <w:t>混合</w:t>
            </w:r>
          </w:p>
        </w:tc>
        <w:tc>
          <w:tcPr>
            <w:tcW w:w="1161" w:type="dxa"/>
            <w:vAlign w:val="center"/>
          </w:tcPr>
          <w:p w:rsidR="000C37E7" w:rsidRDefault="00080F7A">
            <w:pPr>
              <w:jc w:val="center"/>
            </w:pPr>
            <w:r>
              <w:rPr>
                <w:sz w:val="24"/>
                <w:szCs w:val="24"/>
              </w:rPr>
              <w:t>契约型开放式</w:t>
            </w:r>
          </w:p>
        </w:tc>
        <w:tc>
          <w:tcPr>
            <w:tcW w:w="1159" w:type="dxa"/>
            <w:vAlign w:val="center"/>
          </w:tcPr>
          <w:p w:rsidR="000C37E7" w:rsidRDefault="00080F7A">
            <w:pPr>
              <w:jc w:val="center"/>
            </w:pPr>
            <w:r>
              <w:rPr>
                <w:sz w:val="24"/>
                <w:szCs w:val="24"/>
              </w:rPr>
              <w:t>283,822.14</w:t>
            </w:r>
          </w:p>
        </w:tc>
        <w:tc>
          <w:tcPr>
            <w:tcW w:w="1305" w:type="dxa"/>
            <w:vAlign w:val="center"/>
          </w:tcPr>
          <w:p w:rsidR="000C37E7" w:rsidRDefault="00080F7A">
            <w:pPr>
              <w:jc w:val="center"/>
            </w:pPr>
            <w:r>
              <w:rPr>
                <w:sz w:val="24"/>
                <w:szCs w:val="24"/>
              </w:rPr>
              <w:t>868,495.75</w:t>
            </w:r>
          </w:p>
        </w:tc>
        <w:tc>
          <w:tcPr>
            <w:tcW w:w="1161" w:type="dxa"/>
            <w:vAlign w:val="center"/>
          </w:tcPr>
          <w:p w:rsidR="000C37E7" w:rsidRDefault="00080F7A">
            <w:pPr>
              <w:jc w:val="center"/>
            </w:pPr>
            <w:r>
              <w:rPr>
                <w:sz w:val="24"/>
                <w:szCs w:val="24"/>
              </w:rPr>
              <w:t>4.95%</w:t>
            </w:r>
          </w:p>
        </w:tc>
        <w:tc>
          <w:tcPr>
            <w:tcW w:w="1301" w:type="dxa"/>
            <w:vAlign w:val="center"/>
          </w:tcPr>
          <w:p w:rsidR="000C37E7" w:rsidRDefault="00080F7A">
            <w:pPr>
              <w:jc w:val="center"/>
            </w:pPr>
            <w:r>
              <w:rPr>
                <w:sz w:val="24"/>
                <w:szCs w:val="24"/>
              </w:rPr>
              <w:t>是</w:t>
            </w:r>
          </w:p>
        </w:tc>
      </w:tr>
      <w:tr w:rsidR="000C37E7">
        <w:tc>
          <w:tcPr>
            <w:tcW w:w="835" w:type="dxa"/>
            <w:vAlign w:val="center"/>
          </w:tcPr>
          <w:p w:rsidR="000C37E7" w:rsidRDefault="00080F7A">
            <w:pPr>
              <w:jc w:val="center"/>
            </w:pPr>
            <w:r>
              <w:rPr>
                <w:sz w:val="24"/>
                <w:szCs w:val="24"/>
              </w:rPr>
              <w:t>5</w:t>
            </w:r>
          </w:p>
        </w:tc>
        <w:tc>
          <w:tcPr>
            <w:tcW w:w="1159" w:type="dxa"/>
            <w:vAlign w:val="center"/>
          </w:tcPr>
          <w:p w:rsidR="000C37E7" w:rsidRDefault="00080F7A">
            <w:pPr>
              <w:jc w:val="center"/>
            </w:pPr>
            <w:r>
              <w:rPr>
                <w:sz w:val="24"/>
                <w:szCs w:val="24"/>
              </w:rPr>
              <w:t>377010</w:t>
            </w:r>
          </w:p>
        </w:tc>
        <w:tc>
          <w:tcPr>
            <w:tcW w:w="1161" w:type="dxa"/>
            <w:vAlign w:val="center"/>
          </w:tcPr>
          <w:p w:rsidR="000C37E7" w:rsidRDefault="00080F7A">
            <w:pPr>
              <w:jc w:val="center"/>
            </w:pPr>
            <w:r>
              <w:rPr>
                <w:sz w:val="24"/>
                <w:szCs w:val="24"/>
              </w:rPr>
              <w:t>上投摩根阿尔法混合</w:t>
            </w:r>
          </w:p>
        </w:tc>
        <w:tc>
          <w:tcPr>
            <w:tcW w:w="1161" w:type="dxa"/>
            <w:vAlign w:val="center"/>
          </w:tcPr>
          <w:p w:rsidR="000C37E7" w:rsidRDefault="00080F7A">
            <w:pPr>
              <w:jc w:val="center"/>
            </w:pPr>
            <w:r>
              <w:rPr>
                <w:sz w:val="24"/>
                <w:szCs w:val="24"/>
              </w:rPr>
              <w:t>契约型开放式</w:t>
            </w:r>
          </w:p>
        </w:tc>
        <w:tc>
          <w:tcPr>
            <w:tcW w:w="1159" w:type="dxa"/>
            <w:vAlign w:val="center"/>
          </w:tcPr>
          <w:p w:rsidR="000C37E7" w:rsidRDefault="00080F7A">
            <w:pPr>
              <w:jc w:val="center"/>
            </w:pPr>
            <w:r>
              <w:rPr>
                <w:sz w:val="24"/>
                <w:szCs w:val="24"/>
              </w:rPr>
              <w:t>173,892.92</w:t>
            </w:r>
          </w:p>
        </w:tc>
        <w:tc>
          <w:tcPr>
            <w:tcW w:w="1305" w:type="dxa"/>
            <w:vAlign w:val="center"/>
          </w:tcPr>
          <w:p w:rsidR="000C37E7" w:rsidRDefault="00080F7A">
            <w:pPr>
              <w:jc w:val="center"/>
            </w:pPr>
            <w:r>
              <w:rPr>
                <w:sz w:val="24"/>
                <w:szCs w:val="24"/>
              </w:rPr>
              <w:t>844,128.40</w:t>
            </w:r>
          </w:p>
        </w:tc>
        <w:tc>
          <w:tcPr>
            <w:tcW w:w="1161" w:type="dxa"/>
            <w:vAlign w:val="center"/>
          </w:tcPr>
          <w:p w:rsidR="000C37E7" w:rsidRDefault="00080F7A">
            <w:pPr>
              <w:jc w:val="center"/>
            </w:pPr>
            <w:r>
              <w:rPr>
                <w:sz w:val="24"/>
                <w:szCs w:val="24"/>
              </w:rPr>
              <w:t>4.81%</w:t>
            </w:r>
          </w:p>
        </w:tc>
        <w:tc>
          <w:tcPr>
            <w:tcW w:w="1301" w:type="dxa"/>
            <w:vAlign w:val="center"/>
          </w:tcPr>
          <w:p w:rsidR="000C37E7" w:rsidRDefault="00080F7A">
            <w:pPr>
              <w:jc w:val="center"/>
            </w:pPr>
            <w:r>
              <w:rPr>
                <w:sz w:val="24"/>
                <w:szCs w:val="24"/>
              </w:rPr>
              <w:t>是</w:t>
            </w:r>
          </w:p>
        </w:tc>
      </w:tr>
      <w:tr w:rsidR="000C37E7">
        <w:tc>
          <w:tcPr>
            <w:tcW w:w="835" w:type="dxa"/>
            <w:vAlign w:val="center"/>
          </w:tcPr>
          <w:p w:rsidR="000C37E7" w:rsidRDefault="00080F7A">
            <w:pPr>
              <w:jc w:val="center"/>
            </w:pPr>
            <w:r>
              <w:rPr>
                <w:sz w:val="24"/>
                <w:szCs w:val="24"/>
              </w:rPr>
              <w:t>6</w:t>
            </w:r>
          </w:p>
        </w:tc>
        <w:tc>
          <w:tcPr>
            <w:tcW w:w="1159" w:type="dxa"/>
            <w:vAlign w:val="center"/>
          </w:tcPr>
          <w:p w:rsidR="000C37E7" w:rsidRDefault="00080F7A">
            <w:pPr>
              <w:jc w:val="center"/>
            </w:pPr>
            <w:r>
              <w:rPr>
                <w:sz w:val="24"/>
                <w:szCs w:val="24"/>
              </w:rPr>
              <w:t>512880</w:t>
            </w:r>
          </w:p>
        </w:tc>
        <w:tc>
          <w:tcPr>
            <w:tcW w:w="1161" w:type="dxa"/>
            <w:vAlign w:val="center"/>
          </w:tcPr>
          <w:p w:rsidR="000C37E7" w:rsidRDefault="00080F7A">
            <w:pPr>
              <w:jc w:val="center"/>
            </w:pPr>
            <w:r>
              <w:rPr>
                <w:sz w:val="24"/>
                <w:szCs w:val="24"/>
              </w:rPr>
              <w:t>国泰中证全指证券公司</w:t>
            </w:r>
            <w:r>
              <w:rPr>
                <w:sz w:val="24"/>
                <w:szCs w:val="24"/>
              </w:rPr>
              <w:t>ETF</w:t>
            </w:r>
          </w:p>
        </w:tc>
        <w:tc>
          <w:tcPr>
            <w:tcW w:w="1161" w:type="dxa"/>
            <w:vAlign w:val="center"/>
          </w:tcPr>
          <w:p w:rsidR="000C37E7" w:rsidRDefault="00080F7A">
            <w:pPr>
              <w:jc w:val="center"/>
            </w:pPr>
            <w:r>
              <w:rPr>
                <w:sz w:val="24"/>
                <w:szCs w:val="24"/>
              </w:rPr>
              <w:t>契约型开放式</w:t>
            </w:r>
          </w:p>
        </w:tc>
        <w:tc>
          <w:tcPr>
            <w:tcW w:w="1159" w:type="dxa"/>
            <w:vAlign w:val="center"/>
          </w:tcPr>
          <w:p w:rsidR="000C37E7" w:rsidRDefault="00080F7A">
            <w:pPr>
              <w:jc w:val="center"/>
            </w:pPr>
            <w:r>
              <w:rPr>
                <w:sz w:val="24"/>
                <w:szCs w:val="24"/>
              </w:rPr>
              <w:t>622,400.00</w:t>
            </w:r>
          </w:p>
        </w:tc>
        <w:tc>
          <w:tcPr>
            <w:tcW w:w="1305" w:type="dxa"/>
            <w:vAlign w:val="center"/>
          </w:tcPr>
          <w:p w:rsidR="000C37E7" w:rsidRDefault="00080F7A">
            <w:pPr>
              <w:jc w:val="center"/>
            </w:pPr>
            <w:r>
              <w:rPr>
                <w:sz w:val="24"/>
                <w:szCs w:val="24"/>
              </w:rPr>
              <w:t>751,859.20</w:t>
            </w:r>
          </w:p>
        </w:tc>
        <w:tc>
          <w:tcPr>
            <w:tcW w:w="1161" w:type="dxa"/>
            <w:vAlign w:val="center"/>
          </w:tcPr>
          <w:p w:rsidR="000C37E7" w:rsidRDefault="00080F7A">
            <w:pPr>
              <w:jc w:val="center"/>
            </w:pPr>
            <w:r>
              <w:rPr>
                <w:sz w:val="24"/>
                <w:szCs w:val="24"/>
              </w:rPr>
              <w:t>4.29%</w:t>
            </w:r>
          </w:p>
        </w:tc>
        <w:tc>
          <w:tcPr>
            <w:tcW w:w="1301" w:type="dxa"/>
            <w:vAlign w:val="center"/>
          </w:tcPr>
          <w:p w:rsidR="000C37E7" w:rsidRDefault="00080F7A">
            <w:pPr>
              <w:jc w:val="center"/>
            </w:pPr>
            <w:r>
              <w:rPr>
                <w:sz w:val="24"/>
                <w:szCs w:val="24"/>
              </w:rPr>
              <w:t>否</w:t>
            </w:r>
          </w:p>
        </w:tc>
      </w:tr>
      <w:tr w:rsidR="000C37E7">
        <w:tc>
          <w:tcPr>
            <w:tcW w:w="835" w:type="dxa"/>
            <w:vAlign w:val="center"/>
          </w:tcPr>
          <w:p w:rsidR="000C37E7" w:rsidRDefault="00080F7A">
            <w:pPr>
              <w:jc w:val="center"/>
            </w:pPr>
            <w:r>
              <w:rPr>
                <w:sz w:val="24"/>
                <w:szCs w:val="24"/>
              </w:rPr>
              <w:t>7</w:t>
            </w:r>
          </w:p>
        </w:tc>
        <w:tc>
          <w:tcPr>
            <w:tcW w:w="1159" w:type="dxa"/>
            <w:vAlign w:val="center"/>
          </w:tcPr>
          <w:p w:rsidR="000C37E7" w:rsidRDefault="00080F7A">
            <w:pPr>
              <w:jc w:val="center"/>
            </w:pPr>
            <w:r>
              <w:rPr>
                <w:sz w:val="24"/>
                <w:szCs w:val="24"/>
              </w:rPr>
              <w:t>159939</w:t>
            </w:r>
          </w:p>
        </w:tc>
        <w:tc>
          <w:tcPr>
            <w:tcW w:w="1161" w:type="dxa"/>
            <w:vAlign w:val="center"/>
          </w:tcPr>
          <w:p w:rsidR="000C37E7" w:rsidRDefault="00080F7A">
            <w:pPr>
              <w:jc w:val="center"/>
            </w:pPr>
            <w:r>
              <w:rPr>
                <w:sz w:val="24"/>
                <w:szCs w:val="24"/>
              </w:rPr>
              <w:t>广发中证全指信息技术</w:t>
            </w:r>
            <w:r>
              <w:rPr>
                <w:sz w:val="24"/>
                <w:szCs w:val="24"/>
              </w:rPr>
              <w:t>ETF</w:t>
            </w:r>
          </w:p>
        </w:tc>
        <w:tc>
          <w:tcPr>
            <w:tcW w:w="1161" w:type="dxa"/>
            <w:vAlign w:val="center"/>
          </w:tcPr>
          <w:p w:rsidR="000C37E7" w:rsidRDefault="00080F7A">
            <w:pPr>
              <w:jc w:val="center"/>
            </w:pPr>
            <w:r>
              <w:rPr>
                <w:sz w:val="24"/>
                <w:szCs w:val="24"/>
              </w:rPr>
              <w:t>契约型开放式</w:t>
            </w:r>
          </w:p>
        </w:tc>
        <w:tc>
          <w:tcPr>
            <w:tcW w:w="1159" w:type="dxa"/>
            <w:vAlign w:val="center"/>
          </w:tcPr>
          <w:p w:rsidR="000C37E7" w:rsidRDefault="00080F7A">
            <w:pPr>
              <w:jc w:val="center"/>
            </w:pPr>
            <w:r>
              <w:rPr>
                <w:sz w:val="24"/>
                <w:szCs w:val="24"/>
              </w:rPr>
              <w:t>521,424.00</w:t>
            </w:r>
          </w:p>
        </w:tc>
        <w:tc>
          <w:tcPr>
            <w:tcW w:w="1305" w:type="dxa"/>
            <w:vAlign w:val="center"/>
          </w:tcPr>
          <w:p w:rsidR="000C37E7" w:rsidRDefault="00080F7A">
            <w:pPr>
              <w:jc w:val="center"/>
            </w:pPr>
            <w:r>
              <w:rPr>
                <w:sz w:val="24"/>
                <w:szCs w:val="24"/>
              </w:rPr>
              <w:t>736,250.69</w:t>
            </w:r>
          </w:p>
        </w:tc>
        <w:tc>
          <w:tcPr>
            <w:tcW w:w="1161" w:type="dxa"/>
            <w:vAlign w:val="center"/>
          </w:tcPr>
          <w:p w:rsidR="000C37E7" w:rsidRDefault="00080F7A">
            <w:pPr>
              <w:jc w:val="center"/>
            </w:pPr>
            <w:r>
              <w:rPr>
                <w:sz w:val="24"/>
                <w:szCs w:val="24"/>
              </w:rPr>
              <w:t>4.20%</w:t>
            </w:r>
          </w:p>
        </w:tc>
        <w:tc>
          <w:tcPr>
            <w:tcW w:w="1301" w:type="dxa"/>
            <w:vAlign w:val="center"/>
          </w:tcPr>
          <w:p w:rsidR="000C37E7" w:rsidRDefault="00080F7A">
            <w:pPr>
              <w:jc w:val="center"/>
            </w:pPr>
            <w:r>
              <w:rPr>
                <w:sz w:val="24"/>
                <w:szCs w:val="24"/>
              </w:rPr>
              <w:t>否</w:t>
            </w:r>
          </w:p>
        </w:tc>
      </w:tr>
      <w:tr w:rsidR="000C37E7">
        <w:tc>
          <w:tcPr>
            <w:tcW w:w="835" w:type="dxa"/>
            <w:vAlign w:val="center"/>
          </w:tcPr>
          <w:p w:rsidR="000C37E7" w:rsidRDefault="00080F7A">
            <w:pPr>
              <w:jc w:val="center"/>
            </w:pPr>
            <w:r>
              <w:rPr>
                <w:sz w:val="24"/>
                <w:szCs w:val="24"/>
              </w:rPr>
              <w:t>8</w:t>
            </w:r>
          </w:p>
        </w:tc>
        <w:tc>
          <w:tcPr>
            <w:tcW w:w="1159" w:type="dxa"/>
            <w:vAlign w:val="center"/>
          </w:tcPr>
          <w:p w:rsidR="000C37E7" w:rsidRDefault="00080F7A">
            <w:pPr>
              <w:jc w:val="center"/>
            </w:pPr>
            <w:r>
              <w:rPr>
                <w:sz w:val="24"/>
                <w:szCs w:val="24"/>
              </w:rPr>
              <w:t>512910</w:t>
            </w:r>
          </w:p>
        </w:tc>
        <w:tc>
          <w:tcPr>
            <w:tcW w:w="1161" w:type="dxa"/>
            <w:vAlign w:val="center"/>
          </w:tcPr>
          <w:p w:rsidR="000C37E7" w:rsidRDefault="00080F7A">
            <w:pPr>
              <w:jc w:val="center"/>
            </w:pPr>
            <w:r>
              <w:rPr>
                <w:sz w:val="24"/>
                <w:szCs w:val="24"/>
              </w:rPr>
              <w:t>广发中证</w:t>
            </w:r>
            <w:r>
              <w:rPr>
                <w:sz w:val="24"/>
                <w:szCs w:val="24"/>
              </w:rPr>
              <w:t>100ETF</w:t>
            </w:r>
          </w:p>
        </w:tc>
        <w:tc>
          <w:tcPr>
            <w:tcW w:w="1161" w:type="dxa"/>
            <w:vAlign w:val="center"/>
          </w:tcPr>
          <w:p w:rsidR="000C37E7" w:rsidRDefault="00080F7A">
            <w:pPr>
              <w:jc w:val="center"/>
            </w:pPr>
            <w:r>
              <w:rPr>
                <w:sz w:val="24"/>
                <w:szCs w:val="24"/>
              </w:rPr>
              <w:t>契约型开放式</w:t>
            </w:r>
          </w:p>
        </w:tc>
        <w:tc>
          <w:tcPr>
            <w:tcW w:w="1159" w:type="dxa"/>
            <w:vAlign w:val="center"/>
          </w:tcPr>
          <w:p w:rsidR="000C37E7" w:rsidRDefault="00080F7A">
            <w:pPr>
              <w:jc w:val="center"/>
            </w:pPr>
            <w:r>
              <w:rPr>
                <w:sz w:val="24"/>
                <w:szCs w:val="24"/>
              </w:rPr>
              <w:t>569,000.00</w:t>
            </w:r>
          </w:p>
        </w:tc>
        <w:tc>
          <w:tcPr>
            <w:tcW w:w="1305" w:type="dxa"/>
            <w:vAlign w:val="center"/>
          </w:tcPr>
          <w:p w:rsidR="000C37E7" w:rsidRDefault="00080F7A">
            <w:pPr>
              <w:jc w:val="center"/>
            </w:pPr>
            <w:r>
              <w:rPr>
                <w:sz w:val="24"/>
                <w:szCs w:val="24"/>
              </w:rPr>
              <w:t>735,148.00</w:t>
            </w:r>
          </w:p>
        </w:tc>
        <w:tc>
          <w:tcPr>
            <w:tcW w:w="1161" w:type="dxa"/>
            <w:vAlign w:val="center"/>
          </w:tcPr>
          <w:p w:rsidR="000C37E7" w:rsidRDefault="00080F7A">
            <w:pPr>
              <w:jc w:val="center"/>
            </w:pPr>
            <w:r>
              <w:rPr>
                <w:sz w:val="24"/>
                <w:szCs w:val="24"/>
              </w:rPr>
              <w:t>4.19%</w:t>
            </w:r>
          </w:p>
        </w:tc>
        <w:tc>
          <w:tcPr>
            <w:tcW w:w="1301" w:type="dxa"/>
            <w:vAlign w:val="center"/>
          </w:tcPr>
          <w:p w:rsidR="000C37E7" w:rsidRDefault="00080F7A">
            <w:pPr>
              <w:jc w:val="center"/>
            </w:pPr>
            <w:r>
              <w:rPr>
                <w:sz w:val="24"/>
                <w:szCs w:val="24"/>
              </w:rPr>
              <w:t>否</w:t>
            </w:r>
          </w:p>
        </w:tc>
      </w:tr>
      <w:tr w:rsidR="000C37E7">
        <w:tc>
          <w:tcPr>
            <w:tcW w:w="835" w:type="dxa"/>
            <w:vAlign w:val="center"/>
          </w:tcPr>
          <w:p w:rsidR="000C37E7" w:rsidRDefault="00080F7A">
            <w:pPr>
              <w:jc w:val="center"/>
            </w:pPr>
            <w:r>
              <w:rPr>
                <w:sz w:val="24"/>
                <w:szCs w:val="24"/>
              </w:rPr>
              <w:t>9</w:t>
            </w:r>
          </w:p>
        </w:tc>
        <w:tc>
          <w:tcPr>
            <w:tcW w:w="1159" w:type="dxa"/>
            <w:vAlign w:val="center"/>
          </w:tcPr>
          <w:p w:rsidR="000C37E7" w:rsidRDefault="00080F7A">
            <w:pPr>
              <w:jc w:val="center"/>
            </w:pPr>
            <w:r>
              <w:rPr>
                <w:sz w:val="24"/>
                <w:szCs w:val="24"/>
              </w:rPr>
              <w:t>377016</w:t>
            </w:r>
          </w:p>
        </w:tc>
        <w:tc>
          <w:tcPr>
            <w:tcW w:w="1161" w:type="dxa"/>
            <w:vAlign w:val="center"/>
          </w:tcPr>
          <w:p w:rsidR="000C37E7" w:rsidRDefault="00080F7A">
            <w:pPr>
              <w:jc w:val="center"/>
            </w:pPr>
            <w:r>
              <w:rPr>
                <w:sz w:val="24"/>
                <w:szCs w:val="24"/>
              </w:rPr>
              <w:t>上投摩根亚太优势</w:t>
            </w:r>
          </w:p>
        </w:tc>
        <w:tc>
          <w:tcPr>
            <w:tcW w:w="1161" w:type="dxa"/>
            <w:vAlign w:val="center"/>
          </w:tcPr>
          <w:p w:rsidR="000C37E7" w:rsidRDefault="00080F7A">
            <w:pPr>
              <w:jc w:val="center"/>
            </w:pPr>
            <w:r>
              <w:rPr>
                <w:sz w:val="24"/>
                <w:szCs w:val="24"/>
              </w:rPr>
              <w:t>契约型开放式</w:t>
            </w:r>
          </w:p>
        </w:tc>
        <w:tc>
          <w:tcPr>
            <w:tcW w:w="1159" w:type="dxa"/>
            <w:vAlign w:val="center"/>
          </w:tcPr>
          <w:p w:rsidR="000C37E7" w:rsidRDefault="00080F7A">
            <w:pPr>
              <w:jc w:val="center"/>
            </w:pPr>
            <w:r>
              <w:rPr>
                <w:sz w:val="24"/>
                <w:szCs w:val="24"/>
              </w:rPr>
              <w:t>785,082.82</w:t>
            </w:r>
          </w:p>
        </w:tc>
        <w:tc>
          <w:tcPr>
            <w:tcW w:w="1305" w:type="dxa"/>
            <w:vAlign w:val="center"/>
          </w:tcPr>
          <w:p w:rsidR="000C37E7" w:rsidRDefault="00080F7A">
            <w:pPr>
              <w:jc w:val="center"/>
            </w:pPr>
            <w:r>
              <w:rPr>
                <w:sz w:val="24"/>
                <w:szCs w:val="24"/>
              </w:rPr>
              <w:t>726,201.61</w:t>
            </w:r>
          </w:p>
        </w:tc>
        <w:tc>
          <w:tcPr>
            <w:tcW w:w="1161" w:type="dxa"/>
            <w:vAlign w:val="center"/>
          </w:tcPr>
          <w:p w:rsidR="000C37E7" w:rsidRDefault="00080F7A">
            <w:pPr>
              <w:jc w:val="center"/>
            </w:pPr>
            <w:r>
              <w:rPr>
                <w:sz w:val="24"/>
                <w:szCs w:val="24"/>
              </w:rPr>
              <w:t>4.14%</w:t>
            </w:r>
          </w:p>
        </w:tc>
        <w:tc>
          <w:tcPr>
            <w:tcW w:w="1301" w:type="dxa"/>
            <w:vAlign w:val="center"/>
          </w:tcPr>
          <w:p w:rsidR="000C37E7" w:rsidRDefault="00080F7A">
            <w:pPr>
              <w:jc w:val="center"/>
            </w:pPr>
            <w:r>
              <w:rPr>
                <w:sz w:val="24"/>
                <w:szCs w:val="24"/>
              </w:rPr>
              <w:t>是</w:t>
            </w:r>
          </w:p>
        </w:tc>
      </w:tr>
      <w:tr w:rsidR="000C37E7">
        <w:tc>
          <w:tcPr>
            <w:tcW w:w="835" w:type="dxa"/>
            <w:vAlign w:val="center"/>
          </w:tcPr>
          <w:p w:rsidR="000C37E7" w:rsidRDefault="00080F7A">
            <w:pPr>
              <w:jc w:val="center"/>
            </w:pPr>
            <w:r>
              <w:rPr>
                <w:sz w:val="24"/>
                <w:szCs w:val="24"/>
              </w:rPr>
              <w:t>10</w:t>
            </w:r>
          </w:p>
        </w:tc>
        <w:tc>
          <w:tcPr>
            <w:tcW w:w="1159" w:type="dxa"/>
            <w:vAlign w:val="center"/>
          </w:tcPr>
          <w:p w:rsidR="000C37E7" w:rsidRDefault="00080F7A">
            <w:pPr>
              <w:jc w:val="center"/>
            </w:pPr>
            <w:r>
              <w:rPr>
                <w:sz w:val="24"/>
                <w:szCs w:val="24"/>
              </w:rPr>
              <w:t>159928</w:t>
            </w:r>
          </w:p>
        </w:tc>
        <w:tc>
          <w:tcPr>
            <w:tcW w:w="1161" w:type="dxa"/>
            <w:vAlign w:val="center"/>
          </w:tcPr>
          <w:p w:rsidR="000C37E7" w:rsidRDefault="00080F7A">
            <w:pPr>
              <w:jc w:val="center"/>
            </w:pPr>
            <w:r>
              <w:rPr>
                <w:sz w:val="24"/>
                <w:szCs w:val="24"/>
              </w:rPr>
              <w:t>汇添富中证主要消费</w:t>
            </w:r>
            <w:r>
              <w:rPr>
                <w:sz w:val="24"/>
                <w:szCs w:val="24"/>
              </w:rPr>
              <w:t>ETF</w:t>
            </w:r>
          </w:p>
        </w:tc>
        <w:tc>
          <w:tcPr>
            <w:tcW w:w="1161" w:type="dxa"/>
            <w:vAlign w:val="center"/>
          </w:tcPr>
          <w:p w:rsidR="000C37E7" w:rsidRDefault="00080F7A">
            <w:pPr>
              <w:jc w:val="center"/>
            </w:pPr>
            <w:r>
              <w:rPr>
                <w:sz w:val="24"/>
                <w:szCs w:val="24"/>
              </w:rPr>
              <w:t>契约型开放式</w:t>
            </w:r>
          </w:p>
        </w:tc>
        <w:tc>
          <w:tcPr>
            <w:tcW w:w="1159" w:type="dxa"/>
            <w:vAlign w:val="center"/>
          </w:tcPr>
          <w:p w:rsidR="000C37E7" w:rsidRDefault="00080F7A">
            <w:pPr>
              <w:jc w:val="center"/>
            </w:pPr>
            <w:r>
              <w:rPr>
                <w:sz w:val="24"/>
                <w:szCs w:val="24"/>
              </w:rPr>
              <w:t>164,400.00</w:t>
            </w:r>
          </w:p>
        </w:tc>
        <w:tc>
          <w:tcPr>
            <w:tcW w:w="1305" w:type="dxa"/>
            <w:vAlign w:val="center"/>
          </w:tcPr>
          <w:p w:rsidR="000C37E7" w:rsidRDefault="00080F7A">
            <w:pPr>
              <w:jc w:val="center"/>
            </w:pPr>
            <w:r>
              <w:rPr>
                <w:sz w:val="24"/>
                <w:szCs w:val="24"/>
              </w:rPr>
              <w:t>716,948.40</w:t>
            </w:r>
          </w:p>
        </w:tc>
        <w:tc>
          <w:tcPr>
            <w:tcW w:w="1161" w:type="dxa"/>
            <w:vAlign w:val="center"/>
          </w:tcPr>
          <w:p w:rsidR="000C37E7" w:rsidRDefault="00080F7A">
            <w:pPr>
              <w:jc w:val="center"/>
            </w:pPr>
            <w:r>
              <w:rPr>
                <w:sz w:val="24"/>
                <w:szCs w:val="24"/>
              </w:rPr>
              <w:t>4.09%</w:t>
            </w:r>
          </w:p>
        </w:tc>
        <w:tc>
          <w:tcPr>
            <w:tcW w:w="1301" w:type="dxa"/>
            <w:vAlign w:val="center"/>
          </w:tcPr>
          <w:p w:rsidR="000C37E7" w:rsidRDefault="00080F7A">
            <w:pPr>
              <w:jc w:val="center"/>
            </w:pPr>
            <w:r>
              <w:rPr>
                <w:sz w:val="24"/>
                <w:szCs w:val="24"/>
              </w:rPr>
              <w:t>否</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3012"/>
        <w:gridCol w:w="3012"/>
        <w:gridCol w:w="3012"/>
      </w:tblGrid>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lastRenderedPageBreak/>
              <w:t>项目</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本期费用</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其中：交易及持有基金管理人以及管理人关联方所管理基金产生的费用</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2,732.33</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2,732.33</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37,072.17</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27,520.57</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6,922.63</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4,738.38</w:t>
            </w:r>
          </w:p>
        </w:tc>
      </w:tr>
      <w:tr w:rsidR="000C37E7">
        <w:tc>
          <w:tcPr>
            <w:tcW w:w="3012" w:type="dxa"/>
            <w:vAlign w:val="center"/>
          </w:tcPr>
          <w:p w:rsidR="000C37E7" w:rsidRDefault="00080F7A">
            <w:pPr>
              <w:jc w:val="left"/>
            </w:pPr>
            <w:r>
              <w:rPr>
                <w:rFonts w:eastAsiaTheme="minorEastAsia"/>
                <w:color w:val="000000" w:themeColor="text1"/>
                <w:sz w:val="24"/>
                <w:szCs w:val="24"/>
              </w:rPr>
              <w:t>当期交易基金产生的交易费（元）</w:t>
            </w:r>
          </w:p>
        </w:tc>
        <w:tc>
          <w:tcPr>
            <w:tcW w:w="3012" w:type="dxa"/>
            <w:vAlign w:val="center"/>
          </w:tcPr>
          <w:p w:rsidR="000C37E7" w:rsidRDefault="00080F7A">
            <w:pPr>
              <w:jc w:val="right"/>
            </w:pPr>
            <w:r>
              <w:rPr>
                <w:rFonts w:eastAsiaTheme="minorEastAsia"/>
                <w:color w:val="000000" w:themeColor="text1"/>
                <w:sz w:val="24"/>
                <w:szCs w:val="24"/>
              </w:rPr>
              <w:t>11,237.88</w:t>
            </w:r>
          </w:p>
        </w:tc>
        <w:tc>
          <w:tcPr>
            <w:tcW w:w="3012" w:type="dxa"/>
            <w:vAlign w:val="center"/>
          </w:tcPr>
          <w:p w:rsidR="000C37E7" w:rsidRDefault="00080F7A">
            <w:pPr>
              <w:jc w:val="right"/>
            </w:pPr>
            <w:r>
              <w:rPr>
                <w:rFonts w:eastAsiaTheme="minorEastAsia"/>
                <w:color w:val="000000" w:themeColor="text1"/>
                <w:sz w:val="24"/>
                <w:szCs w:val="24"/>
              </w:rPr>
              <w:t>0.00</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13,585,550.33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1,303,082.67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14,888,633.00</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f2"/>
              <w:adjustRightInd w:val="0"/>
              <w:snapToGrid w:val="0"/>
              <w:spacing w:line="288" w:lineRule="auto"/>
              <w:rPr>
                <w:rFonts w:eastAsia="方正仿宋简体"/>
                <w:color w:val="000000"/>
              </w:rPr>
            </w:pPr>
            <w:r w:rsidRPr="00ED2620">
              <w:rPr>
                <w:color w:val="000000"/>
              </w:rPr>
              <w:lastRenderedPageBreak/>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10,000,450.00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10,000,450.00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67.17</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080F7A" w:rsidRPr="00BB5E0E" w:rsidRDefault="00080F7A" w:rsidP="00080F7A">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480B35" w:rsidRDefault="00080F7A" w:rsidP="00C15CAC">
      <w:pPr>
        <w:autoSpaceDE w:val="0"/>
        <w:autoSpaceDN w:val="0"/>
        <w:adjustRightInd w:val="0"/>
        <w:spacing w:before="29" w:line="288" w:lineRule="auto"/>
        <w:jc w:val="left"/>
        <w:rPr>
          <w:color w:val="000000"/>
          <w:sz w:val="24"/>
        </w:rPr>
      </w:pPr>
      <w:r w:rsidRPr="00414345">
        <w:rPr>
          <w:color w:val="000000"/>
          <w:sz w:val="24"/>
        </w:rPr>
        <w:t>无。</w:t>
      </w:r>
    </w:p>
    <w:p w:rsidR="00080F7A" w:rsidRPr="00414345" w:rsidRDefault="00080F7A" w:rsidP="00C15CAC">
      <w:pPr>
        <w:autoSpaceDE w:val="0"/>
        <w:autoSpaceDN w:val="0"/>
        <w:adjustRightInd w:val="0"/>
        <w:spacing w:before="29" w:line="288" w:lineRule="auto"/>
        <w:jc w:val="left"/>
        <w:rPr>
          <w:color w:val="000000"/>
          <w:sz w:val="24"/>
        </w:rPr>
      </w:pPr>
    </w:p>
    <w:p w:rsidR="00D21FFF" w:rsidRPr="00414345" w:rsidRDefault="00D21FFF"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423B9" w:rsidRPr="00414345">
        <w:rPr>
          <w:color w:val="000000"/>
          <w:kern w:val="0"/>
          <w:sz w:val="24"/>
          <w:szCs w:val="24"/>
        </w:rPr>
        <w:t>9</w:t>
      </w:r>
      <w:r w:rsidR="00834E74">
        <w:rPr>
          <w:color w:val="000000"/>
          <w:kern w:val="0"/>
          <w:sz w:val="24"/>
          <w:szCs w:val="24"/>
        </w:rPr>
        <w:t xml:space="preserve">  </w:t>
      </w:r>
      <w:r w:rsidR="003307FE" w:rsidRPr="00414345">
        <w:rPr>
          <w:color w:val="000000"/>
          <w:kern w:val="0"/>
          <w:sz w:val="24"/>
          <w:szCs w:val="24"/>
        </w:rPr>
        <w:t>报告期末</w:t>
      </w:r>
      <w:r w:rsidRPr="00414345">
        <w:rPr>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2387"/>
        <w:gridCol w:w="1156"/>
        <w:gridCol w:w="1312"/>
        <w:gridCol w:w="1064"/>
        <w:gridCol w:w="1456"/>
        <w:gridCol w:w="1493"/>
      </w:tblGrid>
      <w:tr w:rsidR="00E16B55" w:rsidRPr="00414345" w:rsidTr="00C4321E">
        <w:trPr>
          <w:trHeight w:val="543"/>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widowControl/>
              <w:spacing w:before="29" w:line="288" w:lineRule="auto"/>
              <w:jc w:val="center"/>
              <w:rPr>
                <w:color w:val="000000"/>
                <w:sz w:val="24"/>
                <w:szCs w:val="24"/>
              </w:rPr>
            </w:pPr>
            <w:r w:rsidRPr="00414345">
              <w:rPr>
                <w:color w:val="000000"/>
                <w:sz w:val="24"/>
                <w:szCs w:val="24"/>
              </w:rPr>
              <w:t>项目</w:t>
            </w:r>
          </w:p>
        </w:tc>
        <w:tc>
          <w:tcPr>
            <w:tcW w:w="1156"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adjustRightInd w:val="0"/>
              <w:snapToGrid w:val="0"/>
              <w:spacing w:before="29" w:line="288" w:lineRule="auto"/>
              <w:jc w:val="center"/>
              <w:rPr>
                <w:color w:val="000000"/>
                <w:sz w:val="24"/>
                <w:szCs w:val="24"/>
              </w:rPr>
            </w:pPr>
            <w:r w:rsidRPr="00414345">
              <w:rPr>
                <w:color w:val="000000"/>
                <w:sz w:val="24"/>
                <w:szCs w:val="24"/>
              </w:rPr>
              <w:t>持有份额总数</w:t>
            </w:r>
          </w:p>
        </w:tc>
        <w:tc>
          <w:tcPr>
            <w:tcW w:w="1312"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adjustRightInd w:val="0"/>
              <w:snapToGrid w:val="0"/>
              <w:spacing w:before="29" w:line="288" w:lineRule="auto"/>
              <w:jc w:val="center"/>
              <w:rPr>
                <w:color w:val="000000"/>
                <w:sz w:val="24"/>
                <w:szCs w:val="24"/>
              </w:rPr>
            </w:pPr>
            <w:r w:rsidRPr="00414345">
              <w:rPr>
                <w:color w:val="000000"/>
                <w:sz w:val="24"/>
                <w:szCs w:val="24"/>
              </w:rPr>
              <w:t>持有份额占基金总份额比例</w:t>
            </w:r>
          </w:p>
        </w:tc>
        <w:tc>
          <w:tcPr>
            <w:tcW w:w="1064"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adjustRightInd w:val="0"/>
              <w:snapToGrid w:val="0"/>
              <w:spacing w:before="29" w:line="288" w:lineRule="auto"/>
              <w:jc w:val="center"/>
              <w:rPr>
                <w:color w:val="000000"/>
                <w:sz w:val="24"/>
                <w:szCs w:val="24"/>
              </w:rPr>
            </w:pPr>
            <w:r w:rsidRPr="00414345">
              <w:rPr>
                <w:color w:val="000000"/>
                <w:sz w:val="24"/>
                <w:szCs w:val="24"/>
              </w:rPr>
              <w:t>发起份额总数</w:t>
            </w:r>
          </w:p>
        </w:tc>
        <w:tc>
          <w:tcPr>
            <w:tcW w:w="1456"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adjustRightInd w:val="0"/>
              <w:snapToGrid w:val="0"/>
              <w:spacing w:before="29" w:line="288" w:lineRule="auto"/>
              <w:jc w:val="center"/>
              <w:rPr>
                <w:color w:val="000000"/>
                <w:sz w:val="24"/>
                <w:szCs w:val="24"/>
              </w:rPr>
            </w:pPr>
            <w:r w:rsidRPr="00414345">
              <w:rPr>
                <w:color w:val="000000"/>
                <w:sz w:val="24"/>
                <w:szCs w:val="24"/>
              </w:rPr>
              <w:t>发起份额占基金总份额比例</w:t>
            </w:r>
          </w:p>
        </w:tc>
        <w:tc>
          <w:tcPr>
            <w:tcW w:w="1493"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widowControl/>
              <w:spacing w:before="29" w:line="288" w:lineRule="auto"/>
              <w:jc w:val="center"/>
              <w:rPr>
                <w:color w:val="000000"/>
                <w:sz w:val="24"/>
                <w:szCs w:val="24"/>
              </w:rPr>
            </w:pPr>
            <w:r w:rsidRPr="00414345">
              <w:rPr>
                <w:color w:val="000000"/>
                <w:sz w:val="24"/>
                <w:szCs w:val="24"/>
              </w:rPr>
              <w:t>发起份额承诺持有期限</w:t>
            </w:r>
          </w:p>
        </w:tc>
      </w:tr>
      <w:tr w:rsidR="00E16B55" w:rsidRPr="00414345" w:rsidTr="00C4321E">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adjustRightInd w:val="0"/>
              <w:snapToGrid w:val="0"/>
              <w:spacing w:before="29" w:line="288" w:lineRule="auto"/>
              <w:rPr>
                <w:color w:val="000000"/>
                <w:sz w:val="24"/>
                <w:szCs w:val="24"/>
              </w:rPr>
            </w:pPr>
            <w:r w:rsidRPr="00414345">
              <w:rPr>
                <w:color w:val="000000"/>
                <w:sz w:val="24"/>
                <w:szCs w:val="24"/>
              </w:rPr>
              <w:t>基金管理人固有资金</w:t>
            </w:r>
          </w:p>
        </w:tc>
        <w:tc>
          <w:tcPr>
            <w:tcW w:w="1156"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adjustRightInd w:val="0"/>
              <w:snapToGrid w:val="0"/>
              <w:spacing w:before="29" w:line="288" w:lineRule="auto"/>
              <w:jc w:val="right"/>
              <w:rPr>
                <w:kern w:val="0"/>
                <w:sz w:val="24"/>
                <w:szCs w:val="24"/>
              </w:rPr>
            </w:pPr>
            <w:r w:rsidRPr="00414345">
              <w:rPr>
                <w:kern w:val="0"/>
                <w:sz w:val="24"/>
                <w:szCs w:val="24"/>
              </w:rPr>
              <w:t>10,000,450.00</w:t>
            </w:r>
          </w:p>
        </w:tc>
        <w:tc>
          <w:tcPr>
            <w:tcW w:w="1312"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adjustRightInd w:val="0"/>
              <w:snapToGrid w:val="0"/>
              <w:spacing w:before="29" w:line="288" w:lineRule="auto"/>
              <w:jc w:val="right"/>
              <w:rPr>
                <w:kern w:val="0"/>
                <w:sz w:val="24"/>
                <w:szCs w:val="24"/>
              </w:rPr>
            </w:pPr>
            <w:r w:rsidRPr="00414345">
              <w:rPr>
                <w:kern w:val="0"/>
                <w:sz w:val="24"/>
                <w:szCs w:val="24"/>
              </w:rPr>
              <w:t>67.17%</w:t>
            </w:r>
          </w:p>
        </w:tc>
        <w:tc>
          <w:tcPr>
            <w:tcW w:w="1064"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adjustRightInd w:val="0"/>
              <w:snapToGrid w:val="0"/>
              <w:spacing w:before="29" w:line="288" w:lineRule="auto"/>
              <w:jc w:val="right"/>
              <w:rPr>
                <w:kern w:val="0"/>
                <w:sz w:val="24"/>
                <w:szCs w:val="24"/>
              </w:rPr>
            </w:pPr>
            <w:r w:rsidRPr="00414345">
              <w:rPr>
                <w:kern w:val="0"/>
                <w:sz w:val="24"/>
                <w:szCs w:val="24"/>
              </w:rPr>
              <w:t>10,000,450.00</w:t>
            </w:r>
          </w:p>
        </w:tc>
        <w:tc>
          <w:tcPr>
            <w:tcW w:w="1456"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adjustRightInd w:val="0"/>
              <w:snapToGrid w:val="0"/>
              <w:spacing w:before="29" w:line="288" w:lineRule="auto"/>
              <w:jc w:val="right"/>
              <w:rPr>
                <w:kern w:val="0"/>
                <w:sz w:val="24"/>
                <w:szCs w:val="24"/>
              </w:rPr>
            </w:pPr>
            <w:r w:rsidRPr="00414345">
              <w:rPr>
                <w:kern w:val="0"/>
                <w:sz w:val="24"/>
                <w:szCs w:val="24"/>
              </w:rPr>
              <w:t>67.17%</w:t>
            </w:r>
          </w:p>
        </w:tc>
        <w:tc>
          <w:tcPr>
            <w:tcW w:w="1493"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r w:rsidR="00E16B55" w:rsidRPr="00414345" w:rsidTr="00C4321E">
        <w:trPr>
          <w:trHeight w:val="790"/>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adjustRightInd w:val="0"/>
              <w:snapToGrid w:val="0"/>
              <w:spacing w:before="29" w:line="288" w:lineRule="auto"/>
              <w:rPr>
                <w:color w:val="000000"/>
                <w:sz w:val="24"/>
                <w:szCs w:val="24"/>
              </w:rPr>
            </w:pPr>
            <w:r w:rsidRPr="00414345">
              <w:rPr>
                <w:color w:val="000000"/>
                <w:sz w:val="24"/>
                <w:szCs w:val="24"/>
              </w:rPr>
              <w:t>基金管理人高级管理人员</w:t>
            </w:r>
          </w:p>
        </w:tc>
        <w:tc>
          <w:tcPr>
            <w:tcW w:w="1156"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adjustRightInd w:val="0"/>
              <w:snapToGrid w:val="0"/>
              <w:spacing w:before="29" w:line="288" w:lineRule="auto"/>
              <w:jc w:val="right"/>
              <w:rPr>
                <w:kern w:val="0"/>
                <w:sz w:val="24"/>
                <w:szCs w:val="24"/>
              </w:rPr>
            </w:pPr>
            <w:r w:rsidRPr="00414345">
              <w:rPr>
                <w:kern w:val="0"/>
                <w:sz w:val="24"/>
                <w:szCs w:val="24"/>
              </w:rPr>
              <w:t>-</w:t>
            </w:r>
          </w:p>
        </w:tc>
        <w:tc>
          <w:tcPr>
            <w:tcW w:w="1312"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adjustRightInd w:val="0"/>
              <w:snapToGrid w:val="0"/>
              <w:spacing w:before="29" w:line="288" w:lineRule="auto"/>
              <w:jc w:val="right"/>
              <w:rPr>
                <w:kern w:val="0"/>
                <w:sz w:val="24"/>
                <w:szCs w:val="24"/>
              </w:rPr>
            </w:pPr>
            <w:r w:rsidRPr="00414345">
              <w:rPr>
                <w:kern w:val="0"/>
                <w:sz w:val="24"/>
                <w:szCs w:val="24"/>
              </w:rPr>
              <w:t>-</w:t>
            </w:r>
          </w:p>
        </w:tc>
        <w:tc>
          <w:tcPr>
            <w:tcW w:w="1064"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adjustRightInd w:val="0"/>
              <w:snapToGrid w:val="0"/>
              <w:spacing w:before="29" w:line="288" w:lineRule="auto"/>
              <w:jc w:val="right"/>
              <w:rPr>
                <w:kern w:val="0"/>
                <w:sz w:val="24"/>
                <w:szCs w:val="24"/>
              </w:rPr>
            </w:pPr>
            <w:r w:rsidRPr="00414345">
              <w:rPr>
                <w:kern w:val="0"/>
                <w:sz w:val="24"/>
                <w:szCs w:val="24"/>
              </w:rPr>
              <w:t>-</w:t>
            </w:r>
          </w:p>
        </w:tc>
        <w:tc>
          <w:tcPr>
            <w:tcW w:w="1456"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adjustRightInd w:val="0"/>
              <w:snapToGrid w:val="0"/>
              <w:spacing w:before="29" w:line="288" w:lineRule="auto"/>
              <w:jc w:val="right"/>
              <w:rPr>
                <w:kern w:val="0"/>
                <w:sz w:val="24"/>
                <w:szCs w:val="24"/>
              </w:rPr>
            </w:pPr>
            <w:r w:rsidRPr="00414345">
              <w:rPr>
                <w:kern w:val="0"/>
                <w:sz w:val="24"/>
                <w:szCs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rsidR="00E16B55" w:rsidRPr="00414345" w:rsidRDefault="00E16B55" w:rsidP="006E6ABF">
            <w:pPr>
              <w:adjustRightInd w:val="0"/>
              <w:snapToGrid w:val="0"/>
              <w:spacing w:before="29" w:line="288" w:lineRule="auto"/>
              <w:jc w:val="right"/>
              <w:rPr>
                <w:kern w:val="0"/>
                <w:sz w:val="24"/>
                <w:szCs w:val="24"/>
              </w:rPr>
            </w:pPr>
            <w:r w:rsidRPr="00414345">
              <w:rPr>
                <w:kern w:val="0"/>
                <w:sz w:val="24"/>
                <w:szCs w:val="24"/>
              </w:rPr>
              <w:t>-</w:t>
            </w:r>
          </w:p>
        </w:tc>
      </w:tr>
      <w:tr w:rsidR="00C4321E" w:rsidRPr="00414345" w:rsidTr="00C4321E">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left"/>
              <w:rPr>
                <w:color w:val="000000"/>
                <w:sz w:val="24"/>
                <w:szCs w:val="24"/>
              </w:rPr>
            </w:pPr>
            <w:r w:rsidRPr="00414345">
              <w:rPr>
                <w:color w:val="000000"/>
                <w:sz w:val="24"/>
                <w:szCs w:val="24"/>
              </w:rPr>
              <w:t>基金经理等人员</w:t>
            </w:r>
          </w:p>
        </w:tc>
        <w:tc>
          <w:tcPr>
            <w:tcW w:w="1156"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10,095.57</w:t>
            </w:r>
          </w:p>
        </w:tc>
        <w:tc>
          <w:tcPr>
            <w:tcW w:w="1312"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0.07%</w:t>
            </w:r>
          </w:p>
        </w:tc>
        <w:tc>
          <w:tcPr>
            <w:tcW w:w="1064"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10,095.57</w:t>
            </w:r>
          </w:p>
        </w:tc>
        <w:tc>
          <w:tcPr>
            <w:tcW w:w="1456"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0.07%</w:t>
            </w:r>
          </w:p>
        </w:tc>
        <w:tc>
          <w:tcPr>
            <w:tcW w:w="1493"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r w:rsidR="00C4321E" w:rsidRPr="00414345" w:rsidTr="00C4321E">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left"/>
              <w:rPr>
                <w:color w:val="000000"/>
                <w:sz w:val="24"/>
                <w:szCs w:val="24"/>
              </w:rPr>
            </w:pPr>
            <w:r w:rsidRPr="00414345">
              <w:rPr>
                <w:color w:val="000000"/>
                <w:sz w:val="24"/>
                <w:szCs w:val="24"/>
              </w:rPr>
              <w:t>基金管理人股东</w:t>
            </w:r>
          </w:p>
        </w:tc>
        <w:tc>
          <w:tcPr>
            <w:tcW w:w="1156"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w:t>
            </w:r>
          </w:p>
        </w:tc>
        <w:tc>
          <w:tcPr>
            <w:tcW w:w="1312"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w:t>
            </w:r>
          </w:p>
        </w:tc>
        <w:tc>
          <w:tcPr>
            <w:tcW w:w="1064"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w:t>
            </w:r>
          </w:p>
        </w:tc>
        <w:tc>
          <w:tcPr>
            <w:tcW w:w="1456"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bookmarkStart w:id="0" w:name="_GoBack"/>
            <w:bookmarkEnd w:id="0"/>
            <w:r w:rsidRPr="00414345">
              <w:rPr>
                <w:kern w:val="0"/>
                <w:sz w:val="24"/>
                <w:szCs w:val="24"/>
              </w:rPr>
              <w:t>-</w:t>
            </w:r>
          </w:p>
        </w:tc>
      </w:tr>
      <w:tr w:rsidR="00C4321E" w:rsidRPr="00414345" w:rsidTr="00C4321E">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left"/>
              <w:rPr>
                <w:color w:val="000000"/>
                <w:sz w:val="24"/>
                <w:szCs w:val="24"/>
              </w:rPr>
            </w:pPr>
            <w:r w:rsidRPr="00414345">
              <w:rPr>
                <w:color w:val="000000"/>
                <w:sz w:val="24"/>
                <w:szCs w:val="24"/>
              </w:rPr>
              <w:t>其他</w:t>
            </w:r>
          </w:p>
        </w:tc>
        <w:tc>
          <w:tcPr>
            <w:tcW w:w="1156"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w:t>
            </w:r>
          </w:p>
        </w:tc>
        <w:tc>
          <w:tcPr>
            <w:tcW w:w="1312"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w:t>
            </w:r>
          </w:p>
        </w:tc>
        <w:tc>
          <w:tcPr>
            <w:tcW w:w="1064"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w:t>
            </w:r>
          </w:p>
        </w:tc>
        <w:tc>
          <w:tcPr>
            <w:tcW w:w="1456"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w:t>
            </w:r>
          </w:p>
        </w:tc>
      </w:tr>
      <w:tr w:rsidR="00C4321E" w:rsidRPr="00414345" w:rsidTr="00C4321E">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left"/>
              <w:rPr>
                <w:color w:val="000000"/>
                <w:sz w:val="24"/>
                <w:szCs w:val="24"/>
              </w:rPr>
            </w:pPr>
            <w:r w:rsidRPr="00414345">
              <w:rPr>
                <w:color w:val="000000"/>
                <w:sz w:val="24"/>
                <w:szCs w:val="24"/>
              </w:rPr>
              <w:t>合计</w:t>
            </w:r>
          </w:p>
        </w:tc>
        <w:tc>
          <w:tcPr>
            <w:tcW w:w="1156"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10,010,545.57</w:t>
            </w:r>
          </w:p>
        </w:tc>
        <w:tc>
          <w:tcPr>
            <w:tcW w:w="1312"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67.24%</w:t>
            </w:r>
          </w:p>
        </w:tc>
        <w:tc>
          <w:tcPr>
            <w:tcW w:w="1064"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10,010,545.57</w:t>
            </w:r>
          </w:p>
        </w:tc>
        <w:tc>
          <w:tcPr>
            <w:tcW w:w="1456"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67.24%</w:t>
            </w:r>
          </w:p>
        </w:tc>
        <w:tc>
          <w:tcPr>
            <w:tcW w:w="1493" w:type="dxa"/>
            <w:tcBorders>
              <w:top w:val="single" w:sz="4" w:space="0" w:color="auto"/>
              <w:left w:val="single" w:sz="4" w:space="0" w:color="auto"/>
              <w:bottom w:val="single" w:sz="4" w:space="0" w:color="auto"/>
              <w:right w:val="single" w:sz="4" w:space="0" w:color="auto"/>
            </w:tcBorders>
            <w:vAlign w:val="center"/>
            <w:hideMark/>
          </w:tcPr>
          <w:p w:rsidR="00C4321E" w:rsidRPr="00414345" w:rsidRDefault="00C4321E" w:rsidP="00C4321E">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bl>
    <w:p w:rsidR="005B09FA" w:rsidRPr="00414345" w:rsidRDefault="005B09FA" w:rsidP="00C15CAC">
      <w:pPr>
        <w:autoSpaceDE w:val="0"/>
        <w:autoSpaceDN w:val="0"/>
        <w:adjustRightInd w:val="0"/>
        <w:spacing w:before="29" w:line="288" w:lineRule="auto"/>
        <w:jc w:val="left"/>
        <w:rPr>
          <w:color w:val="000000"/>
          <w:sz w:val="24"/>
          <w:szCs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§10</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10.</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0C37E7">
        <w:tc>
          <w:tcPr>
            <w:tcW w:w="993" w:type="dxa"/>
            <w:vMerge w:val="restart"/>
            <w:vAlign w:val="center"/>
          </w:tcPr>
          <w:p w:rsidR="000C37E7" w:rsidRDefault="00080F7A">
            <w:r>
              <w:rPr>
                <w:rFonts w:ascii="宋体" w:hAnsi="宋体" w:hint="eastAsia"/>
                <w:bCs/>
                <w:color w:val="000000"/>
                <w:kern w:val="0"/>
              </w:rPr>
              <w:t>机构</w:t>
            </w:r>
          </w:p>
        </w:tc>
        <w:tc>
          <w:tcPr>
            <w:tcW w:w="992" w:type="dxa"/>
            <w:vAlign w:val="center"/>
          </w:tcPr>
          <w:p w:rsidR="000C37E7" w:rsidRDefault="00080F7A">
            <w:pPr>
              <w:jc w:val="center"/>
            </w:pPr>
            <w:r>
              <w:rPr>
                <w:rFonts w:ascii="宋体" w:hAnsi="宋体"/>
                <w:color w:val="000000"/>
                <w:kern w:val="0"/>
              </w:rPr>
              <w:t>1</w:t>
            </w:r>
          </w:p>
        </w:tc>
        <w:tc>
          <w:tcPr>
            <w:tcW w:w="1843" w:type="dxa"/>
            <w:vAlign w:val="center"/>
          </w:tcPr>
          <w:p w:rsidR="000C37E7" w:rsidRDefault="00080F7A">
            <w:pPr>
              <w:jc w:val="center"/>
            </w:pPr>
            <w:r>
              <w:rPr>
                <w:rFonts w:ascii="宋体" w:hAnsi="宋体"/>
                <w:color w:val="000000"/>
                <w:kern w:val="0"/>
              </w:rPr>
              <w:t>20200701-20200930</w:t>
            </w:r>
          </w:p>
        </w:tc>
        <w:tc>
          <w:tcPr>
            <w:tcW w:w="851" w:type="dxa"/>
            <w:vAlign w:val="center"/>
          </w:tcPr>
          <w:p w:rsidR="000C37E7" w:rsidRDefault="00080F7A">
            <w:pPr>
              <w:jc w:val="center"/>
            </w:pPr>
            <w:r>
              <w:rPr>
                <w:rFonts w:ascii="宋体" w:hAnsi="宋体"/>
                <w:color w:val="000000"/>
                <w:kern w:val="0"/>
              </w:rPr>
              <w:t>10,000,450.0</w:t>
            </w:r>
            <w:r>
              <w:rPr>
                <w:rFonts w:ascii="宋体" w:hAnsi="宋体"/>
                <w:color w:val="000000"/>
                <w:kern w:val="0"/>
              </w:rPr>
              <w:lastRenderedPageBreak/>
              <w:t>0</w:t>
            </w:r>
          </w:p>
        </w:tc>
        <w:tc>
          <w:tcPr>
            <w:tcW w:w="850" w:type="dxa"/>
            <w:vAlign w:val="center"/>
          </w:tcPr>
          <w:p w:rsidR="000C37E7" w:rsidRDefault="00080F7A">
            <w:pPr>
              <w:jc w:val="center"/>
            </w:pPr>
            <w:r>
              <w:rPr>
                <w:rFonts w:ascii="宋体" w:hAnsi="宋体"/>
                <w:color w:val="000000"/>
                <w:kern w:val="0"/>
              </w:rPr>
              <w:lastRenderedPageBreak/>
              <w:t>0.00</w:t>
            </w:r>
          </w:p>
        </w:tc>
        <w:tc>
          <w:tcPr>
            <w:tcW w:w="1134" w:type="dxa"/>
            <w:vAlign w:val="center"/>
          </w:tcPr>
          <w:p w:rsidR="000C37E7" w:rsidRDefault="00080F7A">
            <w:pPr>
              <w:jc w:val="center"/>
            </w:pPr>
            <w:r>
              <w:rPr>
                <w:rFonts w:ascii="宋体" w:hAnsi="宋体"/>
                <w:color w:val="000000"/>
                <w:kern w:val="0"/>
              </w:rPr>
              <w:t>0.00</w:t>
            </w:r>
          </w:p>
        </w:tc>
        <w:tc>
          <w:tcPr>
            <w:tcW w:w="1419" w:type="dxa"/>
            <w:vAlign w:val="center"/>
          </w:tcPr>
          <w:p w:rsidR="000C37E7" w:rsidRDefault="00080F7A">
            <w:pPr>
              <w:jc w:val="center"/>
            </w:pPr>
            <w:r>
              <w:rPr>
                <w:rFonts w:ascii="宋体" w:hAnsi="宋体"/>
                <w:color w:val="000000"/>
                <w:kern w:val="0"/>
              </w:rPr>
              <w:t>10,000,450.00</w:t>
            </w:r>
          </w:p>
        </w:tc>
        <w:tc>
          <w:tcPr>
            <w:tcW w:w="1130" w:type="dxa"/>
            <w:vAlign w:val="center"/>
          </w:tcPr>
          <w:p w:rsidR="000C37E7" w:rsidRDefault="00080F7A">
            <w:pPr>
              <w:jc w:val="center"/>
            </w:pPr>
            <w:r>
              <w:rPr>
                <w:rFonts w:ascii="宋体" w:hAnsi="宋体"/>
                <w:color w:val="000000"/>
                <w:kern w:val="0"/>
              </w:rPr>
              <w:t>67.17%</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11</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C37E7" w:rsidRDefault="00080F7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、中国证监会准予上投摩根锦程积极成长养老目标五年持有期混合型发起式基金中基金</w:t>
      </w:r>
      <w:r>
        <w:rPr>
          <w:color w:val="000000"/>
          <w:sz w:val="24"/>
          <w:szCs w:val="24"/>
        </w:rPr>
        <w:t>(FOF)</w:t>
      </w:r>
      <w:r>
        <w:rPr>
          <w:color w:val="000000"/>
          <w:sz w:val="24"/>
          <w:szCs w:val="24"/>
        </w:rPr>
        <w:t>注册的文件</w:t>
      </w:r>
    </w:p>
    <w:p w:rsidR="000C37E7" w:rsidRDefault="00080F7A">
      <w:pPr>
        <w:spacing w:before="29" w:line="288" w:lineRule="auto"/>
        <w:ind w:firstLineChars="200" w:firstLine="480"/>
        <w:rPr>
          <w:color w:val="000000"/>
          <w:sz w:val="24"/>
          <w:szCs w:val="24"/>
        </w:rPr>
      </w:pPr>
      <w:r>
        <w:rPr>
          <w:color w:val="000000"/>
          <w:sz w:val="24"/>
          <w:szCs w:val="24"/>
        </w:rPr>
        <w:t>2</w:t>
      </w:r>
      <w:r>
        <w:rPr>
          <w:color w:val="000000"/>
          <w:sz w:val="24"/>
          <w:szCs w:val="24"/>
        </w:rPr>
        <w:t>、上投摩根锦程积极成长养老目标五年持有期混合型发起式基金中基金</w:t>
      </w:r>
      <w:r>
        <w:rPr>
          <w:color w:val="000000"/>
          <w:sz w:val="24"/>
          <w:szCs w:val="24"/>
        </w:rPr>
        <w:t>(FOF)</w:t>
      </w:r>
      <w:r>
        <w:rPr>
          <w:color w:val="000000"/>
          <w:sz w:val="24"/>
          <w:szCs w:val="24"/>
        </w:rPr>
        <w:t>基金合同</w:t>
      </w:r>
    </w:p>
    <w:p w:rsidR="000C37E7" w:rsidRDefault="00080F7A">
      <w:pPr>
        <w:spacing w:before="29" w:line="288" w:lineRule="auto"/>
        <w:ind w:firstLineChars="200" w:firstLine="480"/>
        <w:rPr>
          <w:color w:val="000000"/>
          <w:sz w:val="24"/>
          <w:szCs w:val="24"/>
        </w:rPr>
      </w:pPr>
      <w:r>
        <w:rPr>
          <w:color w:val="000000"/>
          <w:sz w:val="24"/>
          <w:szCs w:val="24"/>
        </w:rPr>
        <w:t>3</w:t>
      </w:r>
      <w:r>
        <w:rPr>
          <w:color w:val="000000"/>
          <w:sz w:val="24"/>
          <w:szCs w:val="24"/>
        </w:rPr>
        <w:t>、上投摩根锦程积极成长养老目标五年持有期混合型发起式基金中基金</w:t>
      </w:r>
      <w:r>
        <w:rPr>
          <w:color w:val="000000"/>
          <w:sz w:val="24"/>
          <w:szCs w:val="24"/>
        </w:rPr>
        <w:t>(FOF)</w:t>
      </w:r>
      <w:r>
        <w:rPr>
          <w:color w:val="000000"/>
          <w:sz w:val="24"/>
          <w:szCs w:val="24"/>
        </w:rPr>
        <w:t>托管协议</w:t>
      </w:r>
    </w:p>
    <w:p w:rsidR="000C37E7" w:rsidRDefault="00080F7A">
      <w:pPr>
        <w:spacing w:before="29" w:line="288" w:lineRule="auto"/>
        <w:ind w:firstLineChars="200" w:firstLine="480"/>
        <w:rPr>
          <w:color w:val="000000"/>
          <w:sz w:val="24"/>
          <w:szCs w:val="24"/>
        </w:rPr>
      </w:pPr>
      <w:r>
        <w:rPr>
          <w:color w:val="000000"/>
          <w:sz w:val="24"/>
          <w:szCs w:val="24"/>
        </w:rPr>
        <w:t>4</w:t>
      </w:r>
      <w:r>
        <w:rPr>
          <w:color w:val="000000"/>
          <w:sz w:val="24"/>
          <w:szCs w:val="24"/>
        </w:rPr>
        <w:t>、基金管理人业务资格批件、营业执照</w:t>
      </w:r>
    </w:p>
    <w:p w:rsidR="000C37E7" w:rsidRDefault="00080F7A">
      <w:pPr>
        <w:spacing w:before="29" w:line="288" w:lineRule="auto"/>
        <w:ind w:firstLineChars="200" w:firstLine="480"/>
        <w:rPr>
          <w:color w:val="000000"/>
          <w:sz w:val="24"/>
          <w:szCs w:val="24"/>
        </w:rPr>
      </w:pPr>
      <w:r>
        <w:rPr>
          <w:color w:val="000000"/>
          <w:sz w:val="24"/>
          <w:szCs w:val="24"/>
        </w:rPr>
        <w:t>5</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6</w:t>
      </w:r>
      <w:r w:rsidRPr="00414345">
        <w:rPr>
          <w:color w:val="000000"/>
          <w:sz w:val="24"/>
          <w:szCs w:val="24"/>
        </w:rPr>
        <w:t>、上投摩根基金管理有限公司开放式基金业务规则</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基金管理人或基金托管人住所。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7AE" w:rsidRDefault="00D817AE" w:rsidP="00876D65">
      <w:r>
        <w:separator/>
      </w:r>
    </w:p>
  </w:endnote>
  <w:endnote w:type="continuationSeparator" w:id="0">
    <w:p w:rsidR="00D817AE" w:rsidRDefault="00D817A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C4321E">
      <w:rPr>
        <w:noProof/>
        <w:kern w:val="0"/>
        <w:szCs w:val="21"/>
      </w:rPr>
      <w:t>13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C4321E">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7AE" w:rsidRDefault="00D817AE" w:rsidP="00876D65">
      <w:r>
        <w:separator/>
      </w:r>
    </w:p>
  </w:footnote>
  <w:footnote w:type="continuationSeparator" w:id="0">
    <w:p w:rsidR="00D817AE" w:rsidRDefault="00D817AE"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F0" w:rsidRPr="00DC456F" w:rsidRDefault="00DC456F" w:rsidP="00090A26">
    <w:pPr>
      <w:pStyle w:val="ac"/>
      <w:pBdr>
        <w:bottom w:val="single" w:sz="6" w:space="0" w:color="auto"/>
      </w:pBdr>
      <w:jc w:val="right"/>
      <w:rPr>
        <w:sz w:val="24"/>
        <w:szCs w:val="24"/>
      </w:rPr>
    </w:pPr>
    <w:r w:rsidRPr="003E676C">
      <w:rPr>
        <w:sz w:val="24"/>
        <w:szCs w:val="24"/>
      </w:rPr>
      <w:t>上投摩根锦程积极成长养老目标五年持有期混合型发起式基金中基金</w:t>
    </w:r>
    <w:r w:rsidRPr="003E676C">
      <w:rPr>
        <w:sz w:val="24"/>
        <w:szCs w:val="24"/>
      </w:rPr>
      <w:t>(FOF)2020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0F7A"/>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37E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5FC0"/>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321E"/>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17AE"/>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16B55"/>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A0A46-BEE2-44CF-A705-663FFDD0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14</Pages>
  <Words>1233</Words>
  <Characters>7034</Characters>
  <Application>Microsoft Office Word</Application>
  <DocSecurity>0</DocSecurity>
  <Lines>58</Lines>
  <Paragraphs>16</Paragraphs>
  <ScaleCrop>false</ScaleCrop>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583</cp:revision>
  <dcterms:created xsi:type="dcterms:W3CDTF">2012-10-16T06:07:00Z</dcterms:created>
  <dcterms:modified xsi:type="dcterms:W3CDTF">2020-10-26T09:17:00Z</dcterms:modified>
</cp:coreProperties>
</file>