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摩根锦程稳健养老目标一年持有期混合型基金中基金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摩根锦程稳健养老一年持有混合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009143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40,062,135.08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D75D54" w:rsidRDefault="006D07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rsidR="00D75D54" w:rsidRDefault="006D07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rsidR="00D75D54" w:rsidRDefault="006D07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20%:80%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rsidR="00D75D54" w:rsidRDefault="006D07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D75D54" w:rsidRDefault="006D07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rsidR="00D75D54" w:rsidRDefault="006D07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、其他投资策略：包括股票投资策略、债券投资策略、证券公司短期公司债投资策略、资产支持证券投资策略、存托凭证投资策略。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D75D54" w:rsidRDefault="006D07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基金管理人将养老目标风险基金根据不同风险程度进行划分。本基金的高风险类资产和其他资产的基准配置比例为</w:t>
            </w:r>
            <w:r>
              <w:rPr>
                <w:rFonts w:eastAsiaTheme="minorEastAsia"/>
                <w:color w:val="000000" w:themeColor="text1"/>
                <w:kern w:val="0"/>
                <w:szCs w:val="21"/>
              </w:rPr>
              <w:t>20%</w:t>
            </w:r>
            <w:r>
              <w:rPr>
                <w:rFonts w:eastAsiaTheme="minorEastAsia"/>
                <w:color w:val="000000" w:themeColor="text1"/>
                <w:kern w:val="0"/>
                <w:szCs w:val="21"/>
              </w:rPr>
              <w:t>：</w:t>
            </w:r>
            <w:r>
              <w:rPr>
                <w:rFonts w:eastAsiaTheme="minorEastAsia"/>
                <w:color w:val="000000" w:themeColor="text1"/>
                <w:kern w:val="0"/>
                <w:szCs w:val="21"/>
              </w:rPr>
              <w:t>80%</w:t>
            </w:r>
            <w:r>
              <w:rPr>
                <w:rFonts w:eastAsiaTheme="minorEastAsia"/>
                <w:color w:val="000000" w:themeColor="text1"/>
                <w:kern w:val="0"/>
                <w:szCs w:val="21"/>
              </w:rPr>
              <w:t>，在基金管理人管理的养老目标风险基金中，属于高风险类资产的配置比例较低的产品。</w:t>
            </w:r>
          </w:p>
          <w:p w:rsidR="00D75D54" w:rsidRDefault="006D07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本基金属于混合型基金中基金，预期风险和收益水平低于股票型基金中基金，高于债券型基金中基金和货币型基金中基金。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009143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33,448,312.59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6,613,822.49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-241,188.38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-39,949.14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46,428.96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21,768.84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33,945,394.57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6,744,798.25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1.0198</w:t>
            </w:r>
          </w:p>
        </w:tc>
      </w:tr>
    </w:tbl>
    <w:p w:rsidR="00D75D54" w:rsidRDefault="006D0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D5349">
        <w:tc>
          <w:tcPr>
            <w:tcW w:w="1290" w:type="dxa"/>
            <w:vAlign w:val="center"/>
          </w:tcPr>
          <w:p w:rsidR="005D5349" w:rsidRDefault="005D5349" w:rsidP="005D5349">
            <w:pPr>
              <w:jc w:val="left"/>
            </w:pPr>
            <w:r>
              <w:rPr>
                <w:rFonts w:eastAsiaTheme="minorEastAsia"/>
                <w:color w:val="000000" w:themeColor="text1"/>
                <w:szCs w:val="21"/>
              </w:rPr>
              <w:t>过去三个月</w:t>
            </w:r>
          </w:p>
        </w:tc>
        <w:tc>
          <w:tcPr>
            <w:tcW w:w="1291" w:type="dxa"/>
            <w:vAlign w:val="center"/>
          </w:tcPr>
          <w:p w:rsidR="005D5349" w:rsidRDefault="005D5349" w:rsidP="005D5349">
            <w:pPr>
              <w:jc w:val="right"/>
            </w:pPr>
            <w:r>
              <w:rPr>
                <w:rFonts w:eastAsiaTheme="minorEastAsia"/>
                <w:color w:val="000000" w:themeColor="text1"/>
                <w:szCs w:val="21"/>
              </w:rPr>
              <w:t>0.18%</w:t>
            </w:r>
          </w:p>
        </w:tc>
        <w:tc>
          <w:tcPr>
            <w:tcW w:w="1291" w:type="dxa"/>
            <w:vAlign w:val="center"/>
          </w:tcPr>
          <w:p w:rsidR="005D5349" w:rsidRDefault="005D5349" w:rsidP="005D5349">
            <w:pPr>
              <w:jc w:val="right"/>
            </w:pPr>
            <w:r>
              <w:rPr>
                <w:rFonts w:eastAsiaTheme="minorEastAsia"/>
                <w:color w:val="000000" w:themeColor="text1"/>
                <w:szCs w:val="21"/>
              </w:rPr>
              <w:t>0.43%</w:t>
            </w:r>
          </w:p>
        </w:tc>
        <w:tc>
          <w:tcPr>
            <w:tcW w:w="1291" w:type="dxa"/>
            <w:vAlign w:val="center"/>
          </w:tcPr>
          <w:p w:rsidR="005D5349" w:rsidRDefault="005D5349" w:rsidP="005D5349">
            <w:pPr>
              <w:jc w:val="right"/>
            </w:pPr>
            <w:r>
              <w:rPr>
                <w:rFonts w:eastAsiaTheme="minorEastAsia"/>
                <w:color w:val="000000" w:themeColor="text1"/>
                <w:szCs w:val="21"/>
              </w:rPr>
              <w:t>1.93%</w:t>
            </w:r>
          </w:p>
        </w:tc>
        <w:tc>
          <w:tcPr>
            <w:tcW w:w="1291" w:type="dxa"/>
            <w:vAlign w:val="center"/>
          </w:tcPr>
          <w:p w:rsidR="005D5349" w:rsidRDefault="005D5349" w:rsidP="005D5349">
            <w:pPr>
              <w:jc w:val="right"/>
            </w:pPr>
            <w:r>
              <w:rPr>
                <w:rFonts w:eastAsiaTheme="minorEastAsia"/>
                <w:color w:val="000000" w:themeColor="text1"/>
                <w:szCs w:val="21"/>
              </w:rPr>
              <w:t>0.23%</w:t>
            </w:r>
          </w:p>
        </w:tc>
        <w:tc>
          <w:tcPr>
            <w:tcW w:w="1291" w:type="dxa"/>
            <w:vAlign w:val="center"/>
          </w:tcPr>
          <w:p w:rsidR="005D5349" w:rsidRDefault="005D5349" w:rsidP="005D5349">
            <w:pPr>
              <w:jc w:val="right"/>
            </w:pPr>
            <w:r>
              <w:rPr>
                <w:rFonts w:eastAsiaTheme="minorEastAsia"/>
                <w:color w:val="000000" w:themeColor="text1"/>
                <w:szCs w:val="21"/>
              </w:rPr>
              <w:t>-1.75%</w:t>
            </w:r>
          </w:p>
        </w:tc>
        <w:tc>
          <w:tcPr>
            <w:tcW w:w="1291" w:type="dxa"/>
            <w:vAlign w:val="center"/>
          </w:tcPr>
          <w:p w:rsidR="005D5349" w:rsidRDefault="005D5349" w:rsidP="005D5349">
            <w:pPr>
              <w:jc w:val="right"/>
            </w:pPr>
            <w:r>
              <w:rPr>
                <w:rFonts w:eastAsiaTheme="minorEastAsia"/>
                <w:color w:val="000000" w:themeColor="text1"/>
                <w:szCs w:val="21"/>
              </w:rPr>
              <w:t>0.20%</w:t>
            </w:r>
          </w:p>
        </w:tc>
      </w:tr>
      <w:tr w:rsidR="005D5349">
        <w:tc>
          <w:tcPr>
            <w:tcW w:w="1290" w:type="dxa"/>
            <w:vAlign w:val="center"/>
          </w:tcPr>
          <w:p w:rsidR="005D5349" w:rsidRDefault="005D5349" w:rsidP="005D5349">
            <w:pPr>
              <w:jc w:val="left"/>
            </w:pPr>
            <w:r>
              <w:rPr>
                <w:rFonts w:eastAsiaTheme="minorEastAsia"/>
                <w:color w:val="000000" w:themeColor="text1"/>
                <w:szCs w:val="21"/>
              </w:rPr>
              <w:t>过去六个月</w:t>
            </w:r>
          </w:p>
        </w:tc>
        <w:tc>
          <w:tcPr>
            <w:tcW w:w="1291" w:type="dxa"/>
            <w:vAlign w:val="center"/>
          </w:tcPr>
          <w:p w:rsidR="005D5349" w:rsidRDefault="005D5349" w:rsidP="005D5349">
            <w:pPr>
              <w:jc w:val="right"/>
            </w:pPr>
            <w:r>
              <w:rPr>
                <w:rFonts w:eastAsiaTheme="minorEastAsia"/>
                <w:color w:val="000000" w:themeColor="text1"/>
                <w:szCs w:val="21"/>
              </w:rPr>
              <w:t>-1.44%</w:t>
            </w:r>
          </w:p>
        </w:tc>
        <w:tc>
          <w:tcPr>
            <w:tcW w:w="1291" w:type="dxa"/>
            <w:vAlign w:val="center"/>
          </w:tcPr>
          <w:p w:rsidR="005D5349" w:rsidRDefault="005D5349" w:rsidP="005D5349">
            <w:pPr>
              <w:jc w:val="right"/>
            </w:pPr>
            <w:r>
              <w:rPr>
                <w:rFonts w:eastAsiaTheme="minorEastAsia"/>
                <w:color w:val="000000" w:themeColor="text1"/>
                <w:szCs w:val="21"/>
              </w:rPr>
              <w:t>0.35%</w:t>
            </w:r>
          </w:p>
        </w:tc>
        <w:tc>
          <w:tcPr>
            <w:tcW w:w="1291" w:type="dxa"/>
            <w:vAlign w:val="center"/>
          </w:tcPr>
          <w:p w:rsidR="005D5349" w:rsidRDefault="005D5349" w:rsidP="005D5349">
            <w:pPr>
              <w:jc w:val="right"/>
            </w:pPr>
            <w:r>
              <w:rPr>
                <w:rFonts w:eastAsiaTheme="minorEastAsia"/>
                <w:color w:val="000000" w:themeColor="text1"/>
                <w:szCs w:val="21"/>
              </w:rPr>
              <w:t>1.55%</w:t>
            </w:r>
          </w:p>
        </w:tc>
        <w:tc>
          <w:tcPr>
            <w:tcW w:w="1291" w:type="dxa"/>
            <w:vAlign w:val="center"/>
          </w:tcPr>
          <w:p w:rsidR="005D5349" w:rsidRDefault="005D5349" w:rsidP="005D5349">
            <w:pPr>
              <w:jc w:val="right"/>
            </w:pPr>
            <w:r>
              <w:rPr>
                <w:rFonts w:eastAsiaTheme="minorEastAsia"/>
                <w:color w:val="000000" w:themeColor="text1"/>
                <w:szCs w:val="21"/>
              </w:rPr>
              <w:t>0.20%</w:t>
            </w:r>
          </w:p>
        </w:tc>
        <w:tc>
          <w:tcPr>
            <w:tcW w:w="1291" w:type="dxa"/>
            <w:vAlign w:val="center"/>
          </w:tcPr>
          <w:p w:rsidR="005D5349" w:rsidRDefault="005D5349" w:rsidP="005D5349">
            <w:pPr>
              <w:jc w:val="right"/>
            </w:pPr>
            <w:r>
              <w:rPr>
                <w:rFonts w:eastAsiaTheme="minorEastAsia"/>
                <w:color w:val="000000" w:themeColor="text1"/>
                <w:szCs w:val="21"/>
              </w:rPr>
              <w:t>-2.99%</w:t>
            </w:r>
          </w:p>
        </w:tc>
        <w:tc>
          <w:tcPr>
            <w:tcW w:w="1291" w:type="dxa"/>
            <w:vAlign w:val="center"/>
          </w:tcPr>
          <w:p w:rsidR="005D5349" w:rsidRDefault="005D5349" w:rsidP="005D5349">
            <w:pPr>
              <w:jc w:val="right"/>
            </w:pPr>
            <w:r>
              <w:rPr>
                <w:rFonts w:eastAsiaTheme="minorEastAsia"/>
                <w:color w:val="000000" w:themeColor="text1"/>
                <w:szCs w:val="21"/>
              </w:rPr>
              <w:t>0.15%</w:t>
            </w:r>
          </w:p>
        </w:tc>
      </w:tr>
      <w:tr w:rsidR="005D5349">
        <w:tc>
          <w:tcPr>
            <w:tcW w:w="1290" w:type="dxa"/>
            <w:vAlign w:val="center"/>
          </w:tcPr>
          <w:p w:rsidR="005D5349" w:rsidRDefault="005D5349" w:rsidP="005D5349">
            <w:pPr>
              <w:jc w:val="left"/>
            </w:pPr>
            <w:r>
              <w:rPr>
                <w:rFonts w:eastAsiaTheme="minorEastAsia"/>
                <w:color w:val="000000" w:themeColor="text1"/>
                <w:szCs w:val="21"/>
              </w:rPr>
              <w:t>过去一年</w:t>
            </w:r>
          </w:p>
        </w:tc>
        <w:tc>
          <w:tcPr>
            <w:tcW w:w="1291" w:type="dxa"/>
            <w:vAlign w:val="center"/>
          </w:tcPr>
          <w:p w:rsidR="005D5349" w:rsidRDefault="005D5349" w:rsidP="005D5349">
            <w:pPr>
              <w:jc w:val="right"/>
            </w:pPr>
            <w:r>
              <w:rPr>
                <w:rFonts w:eastAsiaTheme="minorEastAsia"/>
                <w:color w:val="000000" w:themeColor="text1"/>
                <w:szCs w:val="21"/>
              </w:rPr>
              <w:t>-4.05%</w:t>
            </w:r>
          </w:p>
        </w:tc>
        <w:tc>
          <w:tcPr>
            <w:tcW w:w="1291" w:type="dxa"/>
            <w:vAlign w:val="center"/>
          </w:tcPr>
          <w:p w:rsidR="005D5349" w:rsidRDefault="005D5349" w:rsidP="005D5349">
            <w:pPr>
              <w:jc w:val="right"/>
            </w:pPr>
            <w:r>
              <w:rPr>
                <w:rFonts w:eastAsiaTheme="minorEastAsia"/>
                <w:color w:val="000000" w:themeColor="text1"/>
                <w:szCs w:val="21"/>
              </w:rPr>
              <w:t>0.31%</w:t>
            </w:r>
          </w:p>
        </w:tc>
        <w:tc>
          <w:tcPr>
            <w:tcW w:w="1291" w:type="dxa"/>
            <w:vAlign w:val="center"/>
          </w:tcPr>
          <w:p w:rsidR="005D5349" w:rsidRDefault="005D5349" w:rsidP="005D5349">
            <w:pPr>
              <w:jc w:val="right"/>
            </w:pPr>
            <w:r>
              <w:rPr>
                <w:rFonts w:eastAsiaTheme="minorEastAsia"/>
                <w:color w:val="000000" w:themeColor="text1"/>
                <w:szCs w:val="21"/>
              </w:rPr>
              <w:t>1.42%</w:t>
            </w:r>
          </w:p>
        </w:tc>
        <w:tc>
          <w:tcPr>
            <w:tcW w:w="1291" w:type="dxa"/>
            <w:vAlign w:val="center"/>
          </w:tcPr>
          <w:p w:rsidR="005D5349" w:rsidRDefault="005D5349" w:rsidP="005D5349">
            <w:pPr>
              <w:jc w:val="right"/>
            </w:pPr>
            <w:r>
              <w:rPr>
                <w:rFonts w:eastAsiaTheme="minorEastAsia"/>
                <w:color w:val="000000" w:themeColor="text1"/>
                <w:szCs w:val="21"/>
              </w:rPr>
              <w:t>0.18%</w:t>
            </w:r>
          </w:p>
        </w:tc>
        <w:tc>
          <w:tcPr>
            <w:tcW w:w="1291" w:type="dxa"/>
            <w:vAlign w:val="center"/>
          </w:tcPr>
          <w:p w:rsidR="005D5349" w:rsidRDefault="005D5349" w:rsidP="005D5349">
            <w:pPr>
              <w:jc w:val="right"/>
            </w:pPr>
            <w:r>
              <w:rPr>
                <w:rFonts w:eastAsiaTheme="minorEastAsia"/>
                <w:color w:val="000000" w:themeColor="text1"/>
                <w:szCs w:val="21"/>
              </w:rPr>
              <w:t>-5.47%</w:t>
            </w:r>
          </w:p>
        </w:tc>
        <w:tc>
          <w:tcPr>
            <w:tcW w:w="1291" w:type="dxa"/>
            <w:vAlign w:val="center"/>
          </w:tcPr>
          <w:p w:rsidR="005D5349" w:rsidRDefault="005D5349" w:rsidP="005D5349">
            <w:pPr>
              <w:jc w:val="right"/>
            </w:pPr>
            <w:r>
              <w:rPr>
                <w:rFonts w:eastAsiaTheme="minorEastAsia"/>
                <w:color w:val="000000" w:themeColor="text1"/>
                <w:szCs w:val="21"/>
              </w:rPr>
              <w:t>0.13%</w:t>
            </w:r>
          </w:p>
        </w:tc>
      </w:tr>
      <w:tr w:rsidR="005D5349">
        <w:tc>
          <w:tcPr>
            <w:tcW w:w="1290" w:type="dxa"/>
            <w:vAlign w:val="center"/>
          </w:tcPr>
          <w:p w:rsidR="005D5349" w:rsidRDefault="005D5349" w:rsidP="005D5349">
            <w:pPr>
              <w:jc w:val="left"/>
            </w:pPr>
            <w:r>
              <w:rPr>
                <w:rFonts w:eastAsiaTheme="minorEastAsia"/>
                <w:color w:val="000000" w:themeColor="text1"/>
                <w:szCs w:val="21"/>
              </w:rPr>
              <w:t>过去三年</w:t>
            </w:r>
          </w:p>
        </w:tc>
        <w:tc>
          <w:tcPr>
            <w:tcW w:w="1291" w:type="dxa"/>
            <w:vAlign w:val="center"/>
          </w:tcPr>
          <w:p w:rsidR="005D5349" w:rsidRDefault="005D5349" w:rsidP="005D5349">
            <w:pPr>
              <w:jc w:val="right"/>
            </w:pPr>
            <w:r>
              <w:rPr>
                <w:rFonts w:eastAsiaTheme="minorEastAsia"/>
                <w:color w:val="000000" w:themeColor="text1"/>
                <w:szCs w:val="21"/>
              </w:rPr>
              <w:t>-5.71%</w:t>
            </w:r>
          </w:p>
        </w:tc>
        <w:tc>
          <w:tcPr>
            <w:tcW w:w="1291" w:type="dxa"/>
            <w:vAlign w:val="center"/>
          </w:tcPr>
          <w:p w:rsidR="005D5349" w:rsidRDefault="005D5349" w:rsidP="005D5349">
            <w:pPr>
              <w:jc w:val="right"/>
            </w:pPr>
            <w:r>
              <w:rPr>
                <w:rFonts w:eastAsiaTheme="minorEastAsia"/>
                <w:color w:val="000000" w:themeColor="text1"/>
                <w:szCs w:val="21"/>
              </w:rPr>
              <w:t>0.25%</w:t>
            </w:r>
          </w:p>
        </w:tc>
        <w:tc>
          <w:tcPr>
            <w:tcW w:w="1291" w:type="dxa"/>
            <w:vAlign w:val="center"/>
          </w:tcPr>
          <w:p w:rsidR="005D5349" w:rsidRDefault="005D5349" w:rsidP="005D5349">
            <w:pPr>
              <w:jc w:val="right"/>
            </w:pPr>
            <w:r>
              <w:rPr>
                <w:rFonts w:eastAsiaTheme="minorEastAsia"/>
                <w:color w:val="000000" w:themeColor="text1"/>
                <w:szCs w:val="21"/>
              </w:rPr>
              <w:t>4.64%</w:t>
            </w:r>
          </w:p>
        </w:tc>
        <w:tc>
          <w:tcPr>
            <w:tcW w:w="1291" w:type="dxa"/>
            <w:vAlign w:val="center"/>
          </w:tcPr>
          <w:p w:rsidR="005D5349" w:rsidRDefault="005D5349" w:rsidP="005D5349">
            <w:pPr>
              <w:jc w:val="right"/>
            </w:pPr>
            <w:r>
              <w:rPr>
                <w:rFonts w:eastAsiaTheme="minorEastAsia"/>
                <w:color w:val="000000" w:themeColor="text1"/>
                <w:szCs w:val="21"/>
              </w:rPr>
              <w:t>0.20%</w:t>
            </w:r>
          </w:p>
        </w:tc>
        <w:tc>
          <w:tcPr>
            <w:tcW w:w="1291" w:type="dxa"/>
            <w:vAlign w:val="center"/>
          </w:tcPr>
          <w:p w:rsidR="005D5349" w:rsidRDefault="005D5349" w:rsidP="005D5349">
            <w:pPr>
              <w:jc w:val="right"/>
            </w:pPr>
            <w:r>
              <w:rPr>
                <w:rFonts w:eastAsiaTheme="minorEastAsia"/>
                <w:color w:val="000000" w:themeColor="text1"/>
                <w:szCs w:val="21"/>
              </w:rPr>
              <w:t>-10.35%</w:t>
            </w:r>
          </w:p>
        </w:tc>
        <w:tc>
          <w:tcPr>
            <w:tcW w:w="1291" w:type="dxa"/>
            <w:vAlign w:val="center"/>
          </w:tcPr>
          <w:p w:rsidR="005D5349" w:rsidRDefault="005D5349" w:rsidP="005D5349">
            <w:pPr>
              <w:jc w:val="right"/>
            </w:pPr>
            <w:r>
              <w:rPr>
                <w:rFonts w:eastAsiaTheme="minorEastAsia"/>
                <w:color w:val="000000" w:themeColor="text1"/>
                <w:szCs w:val="21"/>
              </w:rPr>
              <w:t>0.05%</w:t>
            </w:r>
          </w:p>
        </w:tc>
      </w:tr>
      <w:tr w:rsidR="005D5349">
        <w:tc>
          <w:tcPr>
            <w:tcW w:w="1290" w:type="dxa"/>
            <w:vAlign w:val="center"/>
          </w:tcPr>
          <w:p w:rsidR="005D5349" w:rsidRDefault="005D5349" w:rsidP="005D5349">
            <w:pPr>
              <w:jc w:val="left"/>
            </w:pPr>
            <w:r>
              <w:rPr>
                <w:rFonts w:eastAsiaTheme="minorEastAsia"/>
                <w:color w:val="000000" w:themeColor="text1"/>
                <w:szCs w:val="21"/>
              </w:rPr>
              <w:t>过去五年</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r>
      <w:tr w:rsidR="005D5349">
        <w:tc>
          <w:tcPr>
            <w:tcW w:w="1290" w:type="dxa"/>
            <w:vAlign w:val="center"/>
          </w:tcPr>
          <w:p w:rsidR="005D5349" w:rsidRDefault="005D5349" w:rsidP="005D5349">
            <w:pPr>
              <w:jc w:val="left"/>
            </w:pPr>
            <w:r>
              <w:rPr>
                <w:rFonts w:eastAsiaTheme="minorEastAsia"/>
                <w:color w:val="000000" w:themeColor="text1"/>
                <w:szCs w:val="21"/>
              </w:rPr>
              <w:t>自基金合同生效起至今</w:t>
            </w:r>
          </w:p>
        </w:tc>
        <w:tc>
          <w:tcPr>
            <w:tcW w:w="1291" w:type="dxa"/>
            <w:vAlign w:val="center"/>
          </w:tcPr>
          <w:p w:rsidR="005D5349" w:rsidRDefault="005D5349" w:rsidP="005D5349">
            <w:pPr>
              <w:jc w:val="right"/>
            </w:pPr>
            <w:r>
              <w:rPr>
                <w:rFonts w:eastAsiaTheme="minorEastAsia"/>
                <w:color w:val="000000" w:themeColor="text1"/>
                <w:szCs w:val="21"/>
              </w:rPr>
              <w:t>1.49%</w:t>
            </w:r>
          </w:p>
        </w:tc>
        <w:tc>
          <w:tcPr>
            <w:tcW w:w="1291" w:type="dxa"/>
            <w:vAlign w:val="center"/>
          </w:tcPr>
          <w:p w:rsidR="005D5349" w:rsidRDefault="005D5349" w:rsidP="005D5349">
            <w:pPr>
              <w:jc w:val="right"/>
            </w:pPr>
            <w:r>
              <w:rPr>
                <w:rFonts w:eastAsiaTheme="minorEastAsia"/>
                <w:color w:val="000000" w:themeColor="text1"/>
                <w:szCs w:val="21"/>
              </w:rPr>
              <w:t>0.26%</w:t>
            </w:r>
          </w:p>
        </w:tc>
        <w:tc>
          <w:tcPr>
            <w:tcW w:w="1291" w:type="dxa"/>
            <w:vAlign w:val="center"/>
          </w:tcPr>
          <w:p w:rsidR="005D5349" w:rsidRDefault="005D5349" w:rsidP="005D5349">
            <w:pPr>
              <w:jc w:val="right"/>
            </w:pPr>
            <w:r>
              <w:rPr>
                <w:rFonts w:eastAsiaTheme="minorEastAsia"/>
                <w:color w:val="000000" w:themeColor="text1"/>
                <w:szCs w:val="21"/>
              </w:rPr>
              <w:t>10.35%</w:t>
            </w:r>
          </w:p>
        </w:tc>
        <w:tc>
          <w:tcPr>
            <w:tcW w:w="1291" w:type="dxa"/>
            <w:vAlign w:val="center"/>
          </w:tcPr>
          <w:p w:rsidR="005D5349" w:rsidRDefault="005D5349" w:rsidP="005D5349">
            <w:pPr>
              <w:jc w:val="right"/>
            </w:pPr>
            <w:r>
              <w:rPr>
                <w:rFonts w:eastAsiaTheme="minorEastAsia"/>
                <w:color w:val="000000" w:themeColor="text1"/>
                <w:szCs w:val="21"/>
              </w:rPr>
              <w:t>0.22%</w:t>
            </w:r>
          </w:p>
        </w:tc>
        <w:tc>
          <w:tcPr>
            <w:tcW w:w="1291" w:type="dxa"/>
            <w:vAlign w:val="center"/>
          </w:tcPr>
          <w:p w:rsidR="005D5349" w:rsidRDefault="005D5349" w:rsidP="005D5349">
            <w:pPr>
              <w:jc w:val="right"/>
            </w:pPr>
            <w:r>
              <w:rPr>
                <w:rFonts w:eastAsiaTheme="minorEastAsia"/>
                <w:color w:val="000000" w:themeColor="text1"/>
                <w:szCs w:val="21"/>
              </w:rPr>
              <w:t>-8.86%</w:t>
            </w:r>
          </w:p>
        </w:tc>
        <w:tc>
          <w:tcPr>
            <w:tcW w:w="1291" w:type="dxa"/>
            <w:vAlign w:val="center"/>
          </w:tcPr>
          <w:p w:rsidR="005D5349" w:rsidRDefault="005D5349" w:rsidP="005D5349">
            <w:pPr>
              <w:jc w:val="right"/>
            </w:pPr>
            <w:r>
              <w:rPr>
                <w:rFonts w:eastAsiaTheme="minorEastAsia"/>
                <w:color w:val="000000" w:themeColor="text1"/>
                <w:szCs w:val="21"/>
              </w:rPr>
              <w:t>0.04%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D5349">
        <w:tc>
          <w:tcPr>
            <w:tcW w:w="1290" w:type="dxa"/>
            <w:vAlign w:val="center"/>
          </w:tcPr>
          <w:p w:rsidR="005D5349" w:rsidRDefault="005D5349" w:rsidP="005D5349">
            <w:pPr>
              <w:jc w:val="left"/>
            </w:pPr>
            <w:r>
              <w:rPr>
                <w:rFonts w:eastAsiaTheme="minorEastAsia"/>
                <w:color w:val="000000" w:themeColor="text1"/>
                <w:szCs w:val="21"/>
              </w:rPr>
              <w:t>过去三个月</w:t>
            </w:r>
          </w:p>
        </w:tc>
        <w:tc>
          <w:tcPr>
            <w:tcW w:w="1291" w:type="dxa"/>
            <w:vAlign w:val="center"/>
          </w:tcPr>
          <w:p w:rsidR="005D5349" w:rsidRDefault="005D5349" w:rsidP="005D5349">
            <w:pPr>
              <w:jc w:val="right"/>
            </w:pPr>
            <w:r>
              <w:rPr>
                <w:rFonts w:eastAsiaTheme="minorEastAsia"/>
                <w:color w:val="000000" w:themeColor="text1"/>
                <w:szCs w:val="21"/>
              </w:rPr>
              <w:t>0.28%</w:t>
            </w:r>
          </w:p>
        </w:tc>
        <w:tc>
          <w:tcPr>
            <w:tcW w:w="1291" w:type="dxa"/>
            <w:vAlign w:val="center"/>
          </w:tcPr>
          <w:p w:rsidR="005D5349" w:rsidRDefault="005D5349" w:rsidP="005D5349">
            <w:pPr>
              <w:jc w:val="right"/>
            </w:pPr>
            <w:r>
              <w:rPr>
                <w:rFonts w:eastAsiaTheme="minorEastAsia"/>
                <w:color w:val="000000" w:themeColor="text1"/>
                <w:szCs w:val="21"/>
              </w:rPr>
              <w:t>0.43%</w:t>
            </w:r>
          </w:p>
        </w:tc>
        <w:tc>
          <w:tcPr>
            <w:tcW w:w="1291" w:type="dxa"/>
            <w:vAlign w:val="center"/>
          </w:tcPr>
          <w:p w:rsidR="005D5349" w:rsidRDefault="005D5349" w:rsidP="005D5349">
            <w:pPr>
              <w:jc w:val="right"/>
            </w:pPr>
            <w:r>
              <w:rPr>
                <w:rFonts w:eastAsiaTheme="minorEastAsia"/>
                <w:color w:val="000000" w:themeColor="text1"/>
                <w:szCs w:val="21"/>
              </w:rPr>
              <w:t>1.93%</w:t>
            </w:r>
          </w:p>
        </w:tc>
        <w:tc>
          <w:tcPr>
            <w:tcW w:w="1291" w:type="dxa"/>
            <w:vAlign w:val="center"/>
          </w:tcPr>
          <w:p w:rsidR="005D5349" w:rsidRDefault="005D5349" w:rsidP="005D5349">
            <w:pPr>
              <w:jc w:val="right"/>
            </w:pPr>
            <w:r>
              <w:rPr>
                <w:rFonts w:eastAsiaTheme="minorEastAsia"/>
                <w:color w:val="000000" w:themeColor="text1"/>
                <w:szCs w:val="21"/>
              </w:rPr>
              <w:t>0.23%</w:t>
            </w:r>
          </w:p>
        </w:tc>
        <w:tc>
          <w:tcPr>
            <w:tcW w:w="1291" w:type="dxa"/>
            <w:vAlign w:val="center"/>
          </w:tcPr>
          <w:p w:rsidR="005D5349" w:rsidRDefault="005D5349" w:rsidP="005D5349">
            <w:pPr>
              <w:jc w:val="right"/>
            </w:pPr>
            <w:r>
              <w:rPr>
                <w:rFonts w:eastAsiaTheme="minorEastAsia"/>
                <w:color w:val="000000" w:themeColor="text1"/>
                <w:szCs w:val="21"/>
              </w:rPr>
              <w:t>-1.65%</w:t>
            </w:r>
          </w:p>
        </w:tc>
        <w:tc>
          <w:tcPr>
            <w:tcW w:w="1291" w:type="dxa"/>
            <w:vAlign w:val="center"/>
          </w:tcPr>
          <w:p w:rsidR="005D5349" w:rsidRDefault="005D5349" w:rsidP="005D5349">
            <w:pPr>
              <w:jc w:val="right"/>
            </w:pPr>
            <w:r>
              <w:rPr>
                <w:rFonts w:eastAsiaTheme="minorEastAsia"/>
                <w:color w:val="000000" w:themeColor="text1"/>
                <w:szCs w:val="21"/>
              </w:rPr>
              <w:t>0.20%</w:t>
            </w:r>
          </w:p>
        </w:tc>
      </w:tr>
      <w:tr w:rsidR="005D5349">
        <w:tc>
          <w:tcPr>
            <w:tcW w:w="1290" w:type="dxa"/>
            <w:vAlign w:val="center"/>
          </w:tcPr>
          <w:p w:rsidR="005D5349" w:rsidRDefault="005D5349" w:rsidP="005D5349">
            <w:pPr>
              <w:jc w:val="left"/>
            </w:pPr>
            <w:r>
              <w:rPr>
                <w:rFonts w:eastAsiaTheme="minorEastAsia"/>
                <w:color w:val="000000" w:themeColor="text1"/>
                <w:szCs w:val="21"/>
              </w:rPr>
              <w:t>过去六个月</w:t>
            </w:r>
          </w:p>
        </w:tc>
        <w:tc>
          <w:tcPr>
            <w:tcW w:w="1291" w:type="dxa"/>
            <w:vAlign w:val="center"/>
          </w:tcPr>
          <w:p w:rsidR="005D5349" w:rsidRDefault="005D5349" w:rsidP="005D5349">
            <w:pPr>
              <w:jc w:val="right"/>
            </w:pPr>
            <w:r>
              <w:rPr>
                <w:rFonts w:eastAsiaTheme="minorEastAsia"/>
                <w:color w:val="000000" w:themeColor="text1"/>
                <w:szCs w:val="21"/>
              </w:rPr>
              <w:t>-1.26%</w:t>
            </w:r>
          </w:p>
        </w:tc>
        <w:tc>
          <w:tcPr>
            <w:tcW w:w="1291" w:type="dxa"/>
            <w:vAlign w:val="center"/>
          </w:tcPr>
          <w:p w:rsidR="005D5349" w:rsidRDefault="005D5349" w:rsidP="005D5349">
            <w:pPr>
              <w:jc w:val="right"/>
            </w:pPr>
            <w:r>
              <w:rPr>
                <w:rFonts w:eastAsiaTheme="minorEastAsia"/>
                <w:color w:val="000000" w:themeColor="text1"/>
                <w:szCs w:val="21"/>
              </w:rPr>
              <w:t>0.35%</w:t>
            </w:r>
          </w:p>
        </w:tc>
        <w:tc>
          <w:tcPr>
            <w:tcW w:w="1291" w:type="dxa"/>
            <w:vAlign w:val="center"/>
          </w:tcPr>
          <w:p w:rsidR="005D5349" w:rsidRDefault="005D5349" w:rsidP="005D5349">
            <w:pPr>
              <w:jc w:val="right"/>
            </w:pPr>
            <w:r>
              <w:rPr>
                <w:rFonts w:eastAsiaTheme="minorEastAsia"/>
                <w:color w:val="000000" w:themeColor="text1"/>
                <w:szCs w:val="21"/>
              </w:rPr>
              <w:t>1.55%</w:t>
            </w:r>
          </w:p>
        </w:tc>
        <w:tc>
          <w:tcPr>
            <w:tcW w:w="1291" w:type="dxa"/>
            <w:vAlign w:val="center"/>
          </w:tcPr>
          <w:p w:rsidR="005D5349" w:rsidRDefault="005D5349" w:rsidP="005D5349">
            <w:pPr>
              <w:jc w:val="right"/>
            </w:pPr>
            <w:r>
              <w:rPr>
                <w:rFonts w:eastAsiaTheme="minorEastAsia"/>
                <w:color w:val="000000" w:themeColor="text1"/>
                <w:szCs w:val="21"/>
              </w:rPr>
              <w:t>0.20%</w:t>
            </w:r>
          </w:p>
        </w:tc>
        <w:tc>
          <w:tcPr>
            <w:tcW w:w="1291" w:type="dxa"/>
            <w:vAlign w:val="center"/>
          </w:tcPr>
          <w:p w:rsidR="005D5349" w:rsidRDefault="005D5349" w:rsidP="005D5349">
            <w:pPr>
              <w:jc w:val="right"/>
            </w:pPr>
            <w:r>
              <w:rPr>
                <w:rFonts w:eastAsiaTheme="minorEastAsia"/>
                <w:color w:val="000000" w:themeColor="text1"/>
                <w:szCs w:val="21"/>
              </w:rPr>
              <w:t>-2.81%</w:t>
            </w:r>
          </w:p>
        </w:tc>
        <w:tc>
          <w:tcPr>
            <w:tcW w:w="1291" w:type="dxa"/>
            <w:vAlign w:val="center"/>
          </w:tcPr>
          <w:p w:rsidR="005D5349" w:rsidRDefault="005D5349" w:rsidP="005D5349">
            <w:pPr>
              <w:jc w:val="right"/>
            </w:pPr>
            <w:r>
              <w:rPr>
                <w:rFonts w:eastAsiaTheme="minorEastAsia"/>
                <w:color w:val="000000" w:themeColor="text1"/>
                <w:szCs w:val="21"/>
              </w:rPr>
              <w:t>0.15%</w:t>
            </w:r>
          </w:p>
        </w:tc>
      </w:tr>
      <w:tr w:rsidR="005D5349">
        <w:tc>
          <w:tcPr>
            <w:tcW w:w="1290" w:type="dxa"/>
            <w:vAlign w:val="center"/>
          </w:tcPr>
          <w:p w:rsidR="005D5349" w:rsidRDefault="005D5349" w:rsidP="005D5349">
            <w:pPr>
              <w:jc w:val="left"/>
            </w:pPr>
            <w:r>
              <w:rPr>
                <w:rFonts w:eastAsiaTheme="minorEastAsia"/>
                <w:color w:val="000000" w:themeColor="text1"/>
                <w:szCs w:val="21"/>
              </w:rPr>
              <w:t>过去一年</w:t>
            </w:r>
          </w:p>
        </w:tc>
        <w:tc>
          <w:tcPr>
            <w:tcW w:w="1291" w:type="dxa"/>
            <w:vAlign w:val="center"/>
          </w:tcPr>
          <w:p w:rsidR="005D5349" w:rsidRDefault="005D5349" w:rsidP="005D5349">
            <w:pPr>
              <w:jc w:val="right"/>
            </w:pPr>
            <w:r>
              <w:rPr>
                <w:rFonts w:eastAsiaTheme="minorEastAsia"/>
                <w:color w:val="000000" w:themeColor="text1"/>
                <w:szCs w:val="21"/>
              </w:rPr>
              <w:t>-3.70%</w:t>
            </w:r>
          </w:p>
        </w:tc>
        <w:tc>
          <w:tcPr>
            <w:tcW w:w="1291" w:type="dxa"/>
            <w:vAlign w:val="center"/>
          </w:tcPr>
          <w:p w:rsidR="005D5349" w:rsidRDefault="005D5349" w:rsidP="005D5349">
            <w:pPr>
              <w:jc w:val="right"/>
            </w:pPr>
            <w:r>
              <w:rPr>
                <w:rFonts w:eastAsiaTheme="minorEastAsia"/>
                <w:color w:val="000000" w:themeColor="text1"/>
                <w:szCs w:val="21"/>
              </w:rPr>
              <w:t>0.31%</w:t>
            </w:r>
          </w:p>
        </w:tc>
        <w:tc>
          <w:tcPr>
            <w:tcW w:w="1291" w:type="dxa"/>
            <w:vAlign w:val="center"/>
          </w:tcPr>
          <w:p w:rsidR="005D5349" w:rsidRDefault="005D5349" w:rsidP="005D5349">
            <w:pPr>
              <w:jc w:val="right"/>
            </w:pPr>
            <w:r>
              <w:rPr>
                <w:rFonts w:eastAsiaTheme="minorEastAsia"/>
                <w:color w:val="000000" w:themeColor="text1"/>
                <w:szCs w:val="21"/>
              </w:rPr>
              <w:t>1.42%</w:t>
            </w:r>
          </w:p>
        </w:tc>
        <w:tc>
          <w:tcPr>
            <w:tcW w:w="1291" w:type="dxa"/>
            <w:vAlign w:val="center"/>
          </w:tcPr>
          <w:p w:rsidR="005D5349" w:rsidRDefault="005D5349" w:rsidP="005D5349">
            <w:pPr>
              <w:jc w:val="right"/>
            </w:pPr>
            <w:r>
              <w:rPr>
                <w:rFonts w:eastAsiaTheme="minorEastAsia"/>
                <w:color w:val="000000" w:themeColor="text1"/>
                <w:szCs w:val="21"/>
              </w:rPr>
              <w:t>0.18%</w:t>
            </w:r>
          </w:p>
        </w:tc>
        <w:tc>
          <w:tcPr>
            <w:tcW w:w="1291" w:type="dxa"/>
            <w:vAlign w:val="center"/>
          </w:tcPr>
          <w:p w:rsidR="005D5349" w:rsidRDefault="005D5349" w:rsidP="005D5349">
            <w:pPr>
              <w:jc w:val="right"/>
            </w:pPr>
            <w:r>
              <w:rPr>
                <w:rFonts w:eastAsiaTheme="minorEastAsia"/>
                <w:color w:val="000000" w:themeColor="text1"/>
                <w:szCs w:val="21"/>
              </w:rPr>
              <w:t>-5.12%</w:t>
            </w:r>
          </w:p>
        </w:tc>
        <w:tc>
          <w:tcPr>
            <w:tcW w:w="1291" w:type="dxa"/>
            <w:vAlign w:val="center"/>
          </w:tcPr>
          <w:p w:rsidR="005D5349" w:rsidRDefault="005D5349" w:rsidP="005D5349">
            <w:pPr>
              <w:jc w:val="right"/>
            </w:pPr>
            <w:r>
              <w:rPr>
                <w:rFonts w:eastAsiaTheme="minorEastAsia"/>
                <w:color w:val="000000" w:themeColor="text1"/>
                <w:szCs w:val="21"/>
              </w:rPr>
              <w:t>0.13%</w:t>
            </w:r>
          </w:p>
        </w:tc>
      </w:tr>
      <w:tr w:rsidR="005D5349">
        <w:tc>
          <w:tcPr>
            <w:tcW w:w="1290" w:type="dxa"/>
            <w:vAlign w:val="center"/>
          </w:tcPr>
          <w:p w:rsidR="005D5349" w:rsidRDefault="005D5349" w:rsidP="005D5349">
            <w:pPr>
              <w:jc w:val="left"/>
            </w:pPr>
            <w:r>
              <w:rPr>
                <w:rFonts w:eastAsiaTheme="minorEastAsia"/>
                <w:color w:val="000000" w:themeColor="text1"/>
                <w:szCs w:val="21"/>
              </w:rPr>
              <w:t>过去三年</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r>
      <w:tr w:rsidR="005D5349">
        <w:tc>
          <w:tcPr>
            <w:tcW w:w="1290" w:type="dxa"/>
            <w:vAlign w:val="center"/>
          </w:tcPr>
          <w:p w:rsidR="005D5349" w:rsidRDefault="005D5349" w:rsidP="005D5349">
            <w:pPr>
              <w:jc w:val="left"/>
            </w:pPr>
            <w:r>
              <w:rPr>
                <w:rFonts w:eastAsiaTheme="minorEastAsia"/>
                <w:color w:val="000000" w:themeColor="text1"/>
                <w:szCs w:val="21"/>
              </w:rPr>
              <w:t>过去五年</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c>
          <w:tcPr>
            <w:tcW w:w="1291" w:type="dxa"/>
            <w:vAlign w:val="center"/>
          </w:tcPr>
          <w:p w:rsidR="005D5349" w:rsidRDefault="005D5349" w:rsidP="005D5349">
            <w:pPr>
              <w:jc w:val="right"/>
            </w:pPr>
            <w:r>
              <w:rPr>
                <w:rFonts w:eastAsiaTheme="minorEastAsia"/>
                <w:color w:val="000000" w:themeColor="text1"/>
                <w:szCs w:val="21"/>
              </w:rPr>
              <w:t>-</w:t>
            </w:r>
          </w:p>
        </w:tc>
      </w:tr>
      <w:tr w:rsidR="005D5349">
        <w:tc>
          <w:tcPr>
            <w:tcW w:w="1290" w:type="dxa"/>
            <w:vAlign w:val="center"/>
          </w:tcPr>
          <w:p w:rsidR="005D5349" w:rsidRDefault="005D5349" w:rsidP="005D5349">
            <w:pPr>
              <w:jc w:val="left"/>
            </w:pPr>
            <w:r>
              <w:rPr>
                <w:rFonts w:eastAsiaTheme="minorEastAsia"/>
                <w:color w:val="000000" w:themeColor="text1"/>
                <w:szCs w:val="21"/>
              </w:rPr>
              <w:t>自基金合同生效起至今</w:t>
            </w:r>
          </w:p>
        </w:tc>
        <w:tc>
          <w:tcPr>
            <w:tcW w:w="1291" w:type="dxa"/>
            <w:vAlign w:val="center"/>
          </w:tcPr>
          <w:p w:rsidR="005D5349" w:rsidRDefault="005D5349" w:rsidP="005D5349">
            <w:pPr>
              <w:jc w:val="right"/>
            </w:pPr>
            <w:r>
              <w:rPr>
                <w:rFonts w:eastAsiaTheme="minorEastAsia"/>
                <w:color w:val="000000" w:themeColor="text1"/>
                <w:szCs w:val="21"/>
              </w:rPr>
              <w:t>-2.60%</w:t>
            </w:r>
          </w:p>
        </w:tc>
        <w:tc>
          <w:tcPr>
            <w:tcW w:w="1291" w:type="dxa"/>
            <w:vAlign w:val="center"/>
          </w:tcPr>
          <w:p w:rsidR="005D5349" w:rsidRDefault="005D5349" w:rsidP="005D5349">
            <w:pPr>
              <w:jc w:val="right"/>
            </w:pPr>
            <w:r>
              <w:rPr>
                <w:rFonts w:eastAsiaTheme="minorEastAsia"/>
                <w:color w:val="000000" w:themeColor="text1"/>
                <w:szCs w:val="21"/>
              </w:rPr>
              <w:t>0.28%</w:t>
            </w:r>
          </w:p>
        </w:tc>
        <w:tc>
          <w:tcPr>
            <w:tcW w:w="1291" w:type="dxa"/>
            <w:vAlign w:val="center"/>
          </w:tcPr>
          <w:p w:rsidR="005D5349" w:rsidRDefault="005D5349" w:rsidP="005D5349">
            <w:pPr>
              <w:jc w:val="right"/>
            </w:pPr>
            <w:r>
              <w:rPr>
                <w:rFonts w:eastAsiaTheme="minorEastAsia"/>
                <w:color w:val="000000" w:themeColor="text1"/>
                <w:szCs w:val="21"/>
              </w:rPr>
              <w:t>3.17%</w:t>
            </w:r>
          </w:p>
        </w:tc>
        <w:tc>
          <w:tcPr>
            <w:tcW w:w="1291" w:type="dxa"/>
            <w:vAlign w:val="center"/>
          </w:tcPr>
          <w:p w:rsidR="005D5349" w:rsidRDefault="005D5349" w:rsidP="005D5349">
            <w:pPr>
              <w:jc w:val="right"/>
            </w:pPr>
            <w:r>
              <w:rPr>
                <w:rFonts w:eastAsiaTheme="minorEastAsia"/>
                <w:color w:val="000000" w:themeColor="text1"/>
                <w:szCs w:val="21"/>
              </w:rPr>
              <w:t>0.17%</w:t>
            </w:r>
          </w:p>
        </w:tc>
        <w:tc>
          <w:tcPr>
            <w:tcW w:w="1291" w:type="dxa"/>
            <w:vAlign w:val="center"/>
          </w:tcPr>
          <w:p w:rsidR="005D5349" w:rsidRDefault="005D5349" w:rsidP="005D5349">
            <w:pPr>
              <w:jc w:val="right"/>
            </w:pPr>
            <w:r>
              <w:rPr>
                <w:rFonts w:eastAsiaTheme="minorEastAsia"/>
                <w:color w:val="000000" w:themeColor="text1"/>
                <w:szCs w:val="21"/>
              </w:rPr>
              <w:t>-5.77%</w:t>
            </w:r>
          </w:p>
        </w:tc>
        <w:tc>
          <w:tcPr>
            <w:tcW w:w="1291" w:type="dxa"/>
            <w:vAlign w:val="center"/>
          </w:tcPr>
          <w:p w:rsidR="005D5349" w:rsidRDefault="005D5349" w:rsidP="005D5349">
            <w:pPr>
              <w:jc w:val="right"/>
            </w:pPr>
            <w:r>
              <w:rPr>
                <w:rFonts w:eastAsiaTheme="minorEastAsia"/>
                <w:color w:val="000000" w:themeColor="text1"/>
                <w:szCs w:val="21"/>
              </w:rPr>
              <w:t>0.11%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摩根锦程稳健养老目标一年持有期混合型基金中基金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75D54">
        <w:tc>
          <w:tcPr>
            <w:tcW w:w="952" w:type="dxa"/>
            <w:vAlign w:val="center"/>
          </w:tcPr>
          <w:p w:rsidR="00D75D54" w:rsidRDefault="006D0704">
            <w:pPr>
              <w:jc w:val="center"/>
            </w:pPr>
            <w:r>
              <w:rPr>
                <w:rFonts w:eastAsiaTheme="minorEastAsia"/>
                <w:color w:val="000000" w:themeColor="text1"/>
                <w:szCs w:val="21"/>
              </w:rPr>
              <w:t>杜习杰</w:t>
            </w:r>
          </w:p>
        </w:tc>
        <w:tc>
          <w:tcPr>
            <w:tcW w:w="930" w:type="dxa"/>
            <w:vAlign w:val="center"/>
          </w:tcPr>
          <w:p w:rsidR="00D75D54" w:rsidRDefault="006D0704">
            <w:pPr>
              <w:jc w:val="center"/>
            </w:pPr>
            <w:r>
              <w:rPr>
                <w:rFonts w:eastAsiaTheme="minorEastAsia"/>
                <w:color w:val="000000" w:themeColor="text1"/>
                <w:szCs w:val="21"/>
              </w:rPr>
              <w:t>本基金基金经理</w:t>
            </w:r>
          </w:p>
        </w:tc>
        <w:tc>
          <w:tcPr>
            <w:tcW w:w="1210" w:type="dxa"/>
            <w:vAlign w:val="center"/>
          </w:tcPr>
          <w:p w:rsidR="00D75D54" w:rsidRDefault="006D0704">
            <w:pPr>
              <w:jc w:val="center"/>
            </w:pPr>
            <w:r>
              <w:rPr>
                <w:rFonts w:eastAsiaTheme="minorEastAsia"/>
                <w:color w:val="000000" w:themeColor="text1"/>
                <w:szCs w:val="21"/>
              </w:rPr>
              <w:t>2020-04-23</w:t>
            </w:r>
          </w:p>
        </w:tc>
        <w:tc>
          <w:tcPr>
            <w:tcW w:w="1309" w:type="dxa"/>
            <w:vAlign w:val="center"/>
          </w:tcPr>
          <w:p w:rsidR="00D75D54" w:rsidRDefault="006D0704">
            <w:pPr>
              <w:jc w:val="center"/>
            </w:pPr>
            <w:r>
              <w:rPr>
                <w:rFonts w:eastAsiaTheme="minorEastAsia"/>
                <w:color w:val="000000" w:themeColor="text1"/>
                <w:szCs w:val="21"/>
              </w:rPr>
              <w:t>-</w:t>
            </w:r>
          </w:p>
        </w:tc>
        <w:tc>
          <w:tcPr>
            <w:tcW w:w="1254" w:type="dxa"/>
            <w:vAlign w:val="center"/>
          </w:tcPr>
          <w:p w:rsidR="00D75D54" w:rsidRDefault="006D0704">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D75D54" w:rsidRDefault="006D0704">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D75D54">
        <w:tc>
          <w:tcPr>
            <w:tcW w:w="952" w:type="dxa"/>
            <w:vAlign w:val="center"/>
          </w:tcPr>
          <w:p w:rsidR="00D75D54" w:rsidRDefault="006D0704">
            <w:pPr>
              <w:jc w:val="center"/>
            </w:pPr>
            <w:r>
              <w:rPr>
                <w:rFonts w:eastAsiaTheme="minorEastAsia"/>
                <w:color w:val="000000" w:themeColor="text1"/>
                <w:szCs w:val="21"/>
              </w:rPr>
              <w:t>吴春杰</w:t>
            </w:r>
          </w:p>
        </w:tc>
        <w:tc>
          <w:tcPr>
            <w:tcW w:w="930" w:type="dxa"/>
            <w:vAlign w:val="center"/>
          </w:tcPr>
          <w:p w:rsidR="00D75D54" w:rsidRDefault="006D0704">
            <w:pPr>
              <w:jc w:val="center"/>
            </w:pPr>
            <w:r>
              <w:rPr>
                <w:rFonts w:eastAsiaTheme="minorEastAsia"/>
                <w:color w:val="000000" w:themeColor="text1"/>
                <w:szCs w:val="21"/>
              </w:rPr>
              <w:t>本基金基金经理</w:t>
            </w:r>
          </w:p>
        </w:tc>
        <w:tc>
          <w:tcPr>
            <w:tcW w:w="1210" w:type="dxa"/>
            <w:vAlign w:val="center"/>
          </w:tcPr>
          <w:p w:rsidR="00D75D54" w:rsidRDefault="006D0704">
            <w:pPr>
              <w:jc w:val="center"/>
            </w:pPr>
            <w:r>
              <w:rPr>
                <w:rFonts w:eastAsiaTheme="minorEastAsia"/>
                <w:color w:val="000000" w:themeColor="text1"/>
                <w:szCs w:val="21"/>
              </w:rPr>
              <w:t>2022-11-18</w:t>
            </w:r>
          </w:p>
        </w:tc>
        <w:tc>
          <w:tcPr>
            <w:tcW w:w="1309" w:type="dxa"/>
            <w:vAlign w:val="center"/>
          </w:tcPr>
          <w:p w:rsidR="00D75D54" w:rsidRDefault="006D0704">
            <w:pPr>
              <w:jc w:val="center"/>
            </w:pPr>
            <w:r>
              <w:rPr>
                <w:rFonts w:eastAsiaTheme="minorEastAsia"/>
                <w:color w:val="000000" w:themeColor="text1"/>
                <w:szCs w:val="21"/>
              </w:rPr>
              <w:t>-</w:t>
            </w:r>
          </w:p>
        </w:tc>
        <w:tc>
          <w:tcPr>
            <w:tcW w:w="1254" w:type="dxa"/>
            <w:vAlign w:val="center"/>
          </w:tcPr>
          <w:p w:rsidR="00D75D54" w:rsidRDefault="006D0704">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D75D54" w:rsidRDefault="006D0704">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D75D54" w:rsidRDefault="006D0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75D54" w:rsidRDefault="006D0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杜习杰先生为本基金首任基金经理，其任职日期为本基金基金合同生效之日；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 xml:space="preserve">4.3.1 </w:t>
      </w:r>
      <w:r w:rsidRPr="00B27A29">
        <w:rPr>
          <w:rFonts w:eastAsiaTheme="minorEastAsia"/>
          <w:color w:val="000000" w:themeColor="text1"/>
          <w:szCs w:val="21"/>
        </w:rPr>
        <w:t>公平交易制度的执行情况</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年一季度，国内权益市场经历了较大的波动。一季度为经济数据相对空窗的阶段，叠加春节错位使得经济数据受基数的影响较大，因此，相较经济基本面而言，流动性与情绪成为放大价格波动主要因素。进入</w:t>
      </w:r>
      <w:r>
        <w:rPr>
          <w:rFonts w:eastAsiaTheme="minorEastAsia"/>
          <w:color w:val="000000" w:themeColor="text1"/>
          <w:szCs w:val="21"/>
        </w:rPr>
        <w:t>2</w:t>
      </w:r>
      <w:r>
        <w:rPr>
          <w:rFonts w:eastAsiaTheme="minorEastAsia"/>
          <w:color w:val="000000" w:themeColor="text1"/>
          <w:szCs w:val="21"/>
        </w:rPr>
        <w:t>月份，多项政策呵护下，市场流动性逐步恢复，前期调整幅度较大的高贝塔行业反弹居前，主要指数亦在一季度小幅收涨。两会期间，央行表示后续在降准上仍有空间，国内债券收益率在一季度整体下行，</w:t>
      </w:r>
      <w:r>
        <w:rPr>
          <w:rFonts w:eastAsiaTheme="minorEastAsia"/>
          <w:color w:val="000000" w:themeColor="text1"/>
          <w:szCs w:val="21"/>
        </w:rPr>
        <w:t>10</w:t>
      </w:r>
      <w:r>
        <w:rPr>
          <w:rFonts w:eastAsiaTheme="minorEastAsia"/>
          <w:color w:val="000000" w:themeColor="text1"/>
          <w:szCs w:val="21"/>
        </w:rPr>
        <w:t>年国债收益率降至</w:t>
      </w:r>
      <w:r>
        <w:rPr>
          <w:rFonts w:eastAsiaTheme="minorEastAsia"/>
          <w:color w:val="000000" w:themeColor="text1"/>
          <w:szCs w:val="21"/>
        </w:rPr>
        <w:t>2.29%</w:t>
      </w:r>
      <w:r>
        <w:rPr>
          <w:rFonts w:eastAsiaTheme="minorEastAsia"/>
          <w:color w:val="000000" w:themeColor="text1"/>
          <w:szCs w:val="21"/>
        </w:rPr>
        <w:t>。</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海外方面，美国经济韧性强于预期，美股在一季度表现较好。美债收益率反弹至</w:t>
      </w:r>
      <w:r>
        <w:rPr>
          <w:rFonts w:eastAsiaTheme="minorEastAsia"/>
          <w:color w:val="000000" w:themeColor="text1"/>
          <w:szCs w:val="21"/>
        </w:rPr>
        <w:t>4.2%</w:t>
      </w:r>
      <w:r>
        <w:rPr>
          <w:rFonts w:eastAsiaTheme="minorEastAsia"/>
          <w:color w:val="000000" w:themeColor="text1"/>
          <w:szCs w:val="21"/>
        </w:rPr>
        <w:t>左右，</w:t>
      </w:r>
      <w:r>
        <w:rPr>
          <w:rFonts w:eastAsiaTheme="minorEastAsia"/>
          <w:color w:val="000000" w:themeColor="text1"/>
          <w:szCs w:val="21"/>
        </w:rPr>
        <w:t>2</w:t>
      </w:r>
      <w:r>
        <w:rPr>
          <w:rFonts w:eastAsiaTheme="minorEastAsia"/>
          <w:color w:val="000000" w:themeColor="text1"/>
          <w:szCs w:val="21"/>
        </w:rPr>
        <w:t>月通胀数据高于预期，对通胀顽固性的担忧有所上升。</w:t>
      </w:r>
      <w:r>
        <w:rPr>
          <w:rFonts w:eastAsiaTheme="minorEastAsia"/>
          <w:color w:val="000000" w:themeColor="text1"/>
          <w:szCs w:val="21"/>
        </w:rPr>
        <w:t xml:space="preserve">                                                                               </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前期总量政策的积极调整为</w:t>
      </w:r>
      <w:r>
        <w:rPr>
          <w:rFonts w:eastAsiaTheme="minorEastAsia"/>
          <w:color w:val="000000" w:themeColor="text1"/>
          <w:szCs w:val="21"/>
        </w:rPr>
        <w:t>2024</w:t>
      </w:r>
      <w:r>
        <w:rPr>
          <w:rFonts w:eastAsiaTheme="minorEastAsia"/>
          <w:color w:val="000000" w:themeColor="text1"/>
          <w:szCs w:val="21"/>
        </w:rPr>
        <w:t>年经济增长的修复积蓄了动能。两会制定的主要经济目标符合市场预期，就业目标高于往年体现对年内经济稳定运行的诉求，对新质生产力的强调也体现了</w:t>
      </w:r>
      <w:r>
        <w:rPr>
          <w:rFonts w:eastAsiaTheme="minorEastAsia"/>
          <w:color w:val="000000" w:themeColor="text1"/>
          <w:szCs w:val="21"/>
        </w:rPr>
        <w:lastRenderedPageBreak/>
        <w:t>中长期目标中对经济质量提升的关注。结构上，过去两年承压的传统行业面临的环境趋于改善；适应国内需求变化的科技创新、消费服务等领域在政策支持下也有望迎来较好的增长。同时，外需对出口的拉动也在逐步改善。整体供需格局的平衡，也将有利于价格从偏弱的预期中恢复，进而反映在企业的盈利水平的提升上。</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维持相对看好。当前历史绝对估值分位、相对债券资产的估值均处在较高吸引力的水平，具备长期配置价值。去年底以来，企业盈利预期指标有所企稳，并有望逐步修复。一季度市场资金流波动较大，近期以恢复平稳，后续关注市场增量资金流入的稳定性与负债属性。对于国内债券来讲，托底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股配置价值处在偏低的位置。但考虑到当前处在地方政府化债进程中、实际利率高位下，货币政策仍有进一步宽松的空间，国内债券的下行风险相对可控。同时，需关注二季度政府债券发行节奏的阶段性影响。</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市场预期美国经济软着陆，尽管短期通胀回落有所曲折，但美联储维持年内降息的前瞻指引。如随年内降息落地，美债在货币政策宽松周期中将受益，收益率下行也有利于美股估值的维持。对于港股，来自国内经济基本面、海外高利率环境的压力均有望逐步缓和。</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 </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35622" w:rsidRDefault="00935622" w:rsidP="0093562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本报告期摩根锦程稳健养老一年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:0.18%</w:t>
      </w:r>
      <w:r>
        <w:rPr>
          <w:rFonts w:eastAsiaTheme="minorEastAsia"/>
          <w:color w:val="000000" w:themeColor="text1"/>
          <w:szCs w:val="21"/>
        </w:rPr>
        <w:t>，同期业绩比较基准收益率为</w:t>
      </w:r>
      <w:r>
        <w:rPr>
          <w:rFonts w:eastAsiaTheme="minorEastAsia"/>
          <w:color w:val="000000" w:themeColor="text1"/>
          <w:szCs w:val="21"/>
        </w:rPr>
        <w:t>:1.93%</w:t>
      </w:r>
    </w:p>
    <w:p w:rsidR="005E6DF3" w:rsidRPr="00B27A29" w:rsidRDefault="00935622">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摩根锦程稳健养老一年</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:0.28%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:1.93%</w:t>
      </w:r>
      <w:r w:rsidRPr="00B27A29">
        <w:rPr>
          <w:rFonts w:eastAsiaTheme="minorEastAsia"/>
          <w:color w:val="000000" w:themeColor="text1"/>
          <w:szCs w:val="21"/>
        </w:rPr>
        <w:t>。</w:t>
      </w: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D75D54" w:rsidRDefault="006D0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37,877,639.86</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92.67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1,525,877.81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3.73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1,525,877.81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3.73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1,023,251.21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2.50</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446,293.06</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1.09</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40,873,061.94</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1,525,877.81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1,525,877.81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75D54">
        <w:tc>
          <w:tcPr>
            <w:tcW w:w="1504" w:type="dxa"/>
            <w:vAlign w:val="center"/>
          </w:tcPr>
          <w:p w:rsidR="00D75D54" w:rsidRDefault="006D0704">
            <w:pPr>
              <w:jc w:val="center"/>
            </w:pPr>
            <w:r>
              <w:rPr>
                <w:rFonts w:eastAsiaTheme="minorEastAsia"/>
                <w:color w:val="000000" w:themeColor="text1"/>
                <w:szCs w:val="21"/>
              </w:rPr>
              <w:t>1</w:t>
            </w:r>
          </w:p>
        </w:tc>
        <w:tc>
          <w:tcPr>
            <w:tcW w:w="1504" w:type="dxa"/>
            <w:vAlign w:val="center"/>
          </w:tcPr>
          <w:p w:rsidR="00D75D54" w:rsidRDefault="006D0704">
            <w:pPr>
              <w:jc w:val="center"/>
            </w:pPr>
            <w:r>
              <w:rPr>
                <w:rFonts w:eastAsiaTheme="minorEastAsia"/>
                <w:color w:val="000000" w:themeColor="text1"/>
                <w:szCs w:val="21"/>
              </w:rPr>
              <w:t>019703</w:t>
            </w:r>
          </w:p>
        </w:tc>
        <w:tc>
          <w:tcPr>
            <w:tcW w:w="1504" w:type="dxa"/>
            <w:vAlign w:val="center"/>
          </w:tcPr>
          <w:p w:rsidR="00D75D54" w:rsidRDefault="006D0704">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10</w:t>
            </w:r>
          </w:p>
        </w:tc>
        <w:tc>
          <w:tcPr>
            <w:tcW w:w="1503" w:type="dxa"/>
            <w:vAlign w:val="center"/>
          </w:tcPr>
          <w:p w:rsidR="00D75D54" w:rsidRDefault="006D0704">
            <w:pPr>
              <w:jc w:val="right"/>
            </w:pPr>
            <w:r>
              <w:rPr>
                <w:rFonts w:eastAsiaTheme="minorEastAsia"/>
                <w:color w:val="000000" w:themeColor="text1"/>
                <w:szCs w:val="21"/>
              </w:rPr>
              <w:t>11,000</w:t>
            </w:r>
          </w:p>
        </w:tc>
        <w:tc>
          <w:tcPr>
            <w:tcW w:w="1503" w:type="dxa"/>
            <w:vAlign w:val="center"/>
          </w:tcPr>
          <w:p w:rsidR="00D75D54" w:rsidRDefault="006D0704">
            <w:pPr>
              <w:jc w:val="right"/>
            </w:pPr>
            <w:r>
              <w:rPr>
                <w:rFonts w:eastAsiaTheme="minorEastAsia"/>
                <w:color w:val="000000" w:themeColor="text1"/>
                <w:szCs w:val="21"/>
              </w:rPr>
              <w:t>1,121,397.26</w:t>
            </w:r>
          </w:p>
        </w:tc>
        <w:tc>
          <w:tcPr>
            <w:tcW w:w="1503" w:type="dxa"/>
            <w:vAlign w:val="center"/>
          </w:tcPr>
          <w:p w:rsidR="00D75D54" w:rsidRDefault="006D0704">
            <w:pPr>
              <w:jc w:val="right"/>
            </w:pPr>
            <w:r>
              <w:rPr>
                <w:rFonts w:eastAsiaTheme="minorEastAsia"/>
                <w:color w:val="000000" w:themeColor="text1"/>
                <w:szCs w:val="21"/>
              </w:rPr>
              <w:t>2.76</w:t>
            </w:r>
          </w:p>
        </w:tc>
      </w:tr>
      <w:tr w:rsidR="00D75D54">
        <w:tc>
          <w:tcPr>
            <w:tcW w:w="1504" w:type="dxa"/>
            <w:vAlign w:val="center"/>
          </w:tcPr>
          <w:p w:rsidR="00D75D54" w:rsidRDefault="006D0704">
            <w:pPr>
              <w:jc w:val="center"/>
            </w:pPr>
            <w:r>
              <w:rPr>
                <w:rFonts w:eastAsiaTheme="minorEastAsia"/>
                <w:color w:val="000000" w:themeColor="text1"/>
                <w:szCs w:val="21"/>
              </w:rPr>
              <w:t>2</w:t>
            </w:r>
          </w:p>
        </w:tc>
        <w:tc>
          <w:tcPr>
            <w:tcW w:w="1504" w:type="dxa"/>
            <w:vAlign w:val="center"/>
          </w:tcPr>
          <w:p w:rsidR="00D75D54" w:rsidRDefault="006D0704">
            <w:pPr>
              <w:jc w:val="center"/>
            </w:pPr>
            <w:r>
              <w:rPr>
                <w:rFonts w:eastAsiaTheme="minorEastAsia"/>
                <w:color w:val="000000" w:themeColor="text1"/>
                <w:szCs w:val="21"/>
              </w:rPr>
              <w:t>019709</w:t>
            </w:r>
          </w:p>
        </w:tc>
        <w:tc>
          <w:tcPr>
            <w:tcW w:w="1504" w:type="dxa"/>
            <w:vAlign w:val="center"/>
          </w:tcPr>
          <w:p w:rsidR="00D75D54" w:rsidRDefault="006D0704">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16</w:t>
            </w:r>
          </w:p>
        </w:tc>
        <w:tc>
          <w:tcPr>
            <w:tcW w:w="1503" w:type="dxa"/>
            <w:vAlign w:val="center"/>
          </w:tcPr>
          <w:p w:rsidR="00D75D54" w:rsidRDefault="006D0704">
            <w:pPr>
              <w:jc w:val="right"/>
            </w:pPr>
            <w:r>
              <w:rPr>
                <w:rFonts w:eastAsiaTheme="minorEastAsia"/>
                <w:color w:val="000000" w:themeColor="text1"/>
                <w:szCs w:val="21"/>
              </w:rPr>
              <w:t>4,000</w:t>
            </w:r>
          </w:p>
        </w:tc>
        <w:tc>
          <w:tcPr>
            <w:tcW w:w="1503" w:type="dxa"/>
            <w:vAlign w:val="center"/>
          </w:tcPr>
          <w:p w:rsidR="00D75D54" w:rsidRDefault="006D0704">
            <w:pPr>
              <w:jc w:val="right"/>
            </w:pPr>
            <w:r>
              <w:rPr>
                <w:rFonts w:eastAsiaTheme="minorEastAsia"/>
                <w:color w:val="000000" w:themeColor="text1"/>
                <w:szCs w:val="21"/>
              </w:rPr>
              <w:t>404,480.55</w:t>
            </w:r>
          </w:p>
        </w:tc>
        <w:tc>
          <w:tcPr>
            <w:tcW w:w="1503" w:type="dxa"/>
            <w:vAlign w:val="center"/>
          </w:tcPr>
          <w:p w:rsidR="00D75D54" w:rsidRDefault="006D0704">
            <w:pPr>
              <w:jc w:val="right"/>
            </w:pPr>
            <w:r>
              <w:rPr>
                <w:rFonts w:eastAsiaTheme="minorEastAsia"/>
                <w:color w:val="000000" w:themeColor="text1"/>
                <w:szCs w:val="21"/>
              </w:rPr>
              <w:t>0.99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772.69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396,527.20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48,976.84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5.46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446,293.06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w:t>
            </w:r>
            <w:r w:rsidRPr="00575270">
              <w:rPr>
                <w:rFonts w:ascii="Times New Roman" w:hAnsi="Times New Roman" w:cs="Times New Roman"/>
              </w:rPr>
              <w:lastRenderedPageBreak/>
              <w:t>基金</w:t>
            </w:r>
          </w:p>
        </w:tc>
      </w:tr>
      <w:tr w:rsidR="00D75D54">
        <w:tc>
          <w:tcPr>
            <w:tcW w:w="817" w:type="dxa"/>
            <w:vAlign w:val="center"/>
          </w:tcPr>
          <w:p w:rsidR="00D75D54" w:rsidRDefault="006D0704">
            <w:pPr>
              <w:jc w:val="center"/>
            </w:pPr>
            <w:r>
              <w:rPr>
                <w:sz w:val="24"/>
              </w:rPr>
              <w:lastRenderedPageBreak/>
              <w:t>1</w:t>
            </w:r>
          </w:p>
        </w:tc>
        <w:tc>
          <w:tcPr>
            <w:tcW w:w="1133" w:type="dxa"/>
            <w:vAlign w:val="center"/>
          </w:tcPr>
          <w:p w:rsidR="00D75D54" w:rsidRDefault="006D0704">
            <w:pPr>
              <w:jc w:val="center"/>
            </w:pPr>
            <w:r>
              <w:rPr>
                <w:sz w:val="24"/>
              </w:rPr>
              <w:t>968050</w:t>
            </w:r>
          </w:p>
        </w:tc>
        <w:tc>
          <w:tcPr>
            <w:tcW w:w="1135" w:type="dxa"/>
            <w:vAlign w:val="center"/>
          </w:tcPr>
          <w:p w:rsidR="00D75D54" w:rsidRDefault="006D0704">
            <w:pPr>
              <w:jc w:val="center"/>
            </w:pPr>
            <w:r>
              <w:rPr>
                <w:sz w:val="24"/>
              </w:rPr>
              <w:t>摩根国际债券人民币对冲累计</w:t>
            </w:r>
          </w:p>
        </w:tc>
        <w:tc>
          <w:tcPr>
            <w:tcW w:w="1135" w:type="dxa"/>
            <w:vAlign w:val="center"/>
          </w:tcPr>
          <w:p w:rsidR="00D75D54" w:rsidRDefault="006D0704">
            <w:pPr>
              <w:jc w:val="center"/>
            </w:pPr>
            <w:r>
              <w:rPr>
                <w:sz w:val="24"/>
              </w:rPr>
              <w:t>契约型开放式</w:t>
            </w:r>
          </w:p>
        </w:tc>
        <w:tc>
          <w:tcPr>
            <w:tcW w:w="1133" w:type="dxa"/>
            <w:vAlign w:val="center"/>
          </w:tcPr>
          <w:p w:rsidR="00D75D54" w:rsidRDefault="006D0704">
            <w:pPr>
              <w:jc w:val="center"/>
            </w:pPr>
            <w:r>
              <w:rPr>
                <w:sz w:val="24"/>
              </w:rPr>
              <w:t>278,089.88</w:t>
            </w:r>
          </w:p>
        </w:tc>
        <w:tc>
          <w:tcPr>
            <w:tcW w:w="1276" w:type="dxa"/>
            <w:vAlign w:val="center"/>
          </w:tcPr>
          <w:p w:rsidR="00D75D54" w:rsidRDefault="006D0704">
            <w:pPr>
              <w:jc w:val="center"/>
            </w:pPr>
            <w:r>
              <w:rPr>
                <w:sz w:val="24"/>
              </w:rPr>
              <w:t>2,950,533.63</w:t>
            </w:r>
          </w:p>
        </w:tc>
        <w:tc>
          <w:tcPr>
            <w:tcW w:w="1135" w:type="dxa"/>
            <w:vAlign w:val="center"/>
          </w:tcPr>
          <w:p w:rsidR="00D75D54" w:rsidRDefault="006D0704">
            <w:pPr>
              <w:jc w:val="center"/>
            </w:pPr>
            <w:r>
              <w:rPr>
                <w:sz w:val="24"/>
              </w:rPr>
              <w:t>7.25%</w:t>
            </w:r>
          </w:p>
        </w:tc>
        <w:tc>
          <w:tcPr>
            <w:tcW w:w="1272" w:type="dxa"/>
            <w:vAlign w:val="center"/>
          </w:tcPr>
          <w:p w:rsidR="00D75D54" w:rsidRDefault="006D0704">
            <w:pPr>
              <w:jc w:val="center"/>
            </w:pPr>
            <w:r>
              <w:rPr>
                <w:sz w:val="24"/>
              </w:rPr>
              <w:t>是</w:t>
            </w:r>
          </w:p>
        </w:tc>
      </w:tr>
      <w:tr w:rsidR="00D75D54">
        <w:tc>
          <w:tcPr>
            <w:tcW w:w="817" w:type="dxa"/>
            <w:vAlign w:val="center"/>
          </w:tcPr>
          <w:p w:rsidR="00D75D54" w:rsidRDefault="006D0704">
            <w:pPr>
              <w:jc w:val="center"/>
            </w:pPr>
            <w:r>
              <w:rPr>
                <w:sz w:val="24"/>
              </w:rPr>
              <w:t>2</w:t>
            </w:r>
          </w:p>
        </w:tc>
        <w:tc>
          <w:tcPr>
            <w:tcW w:w="1133" w:type="dxa"/>
            <w:vAlign w:val="center"/>
          </w:tcPr>
          <w:p w:rsidR="00D75D54" w:rsidRDefault="006D0704">
            <w:pPr>
              <w:jc w:val="center"/>
            </w:pPr>
            <w:r>
              <w:rPr>
                <w:sz w:val="24"/>
              </w:rPr>
              <w:t>000107</w:t>
            </w:r>
          </w:p>
        </w:tc>
        <w:tc>
          <w:tcPr>
            <w:tcW w:w="1135" w:type="dxa"/>
            <w:vAlign w:val="center"/>
          </w:tcPr>
          <w:p w:rsidR="00D75D54" w:rsidRDefault="006D0704">
            <w:pPr>
              <w:jc w:val="center"/>
            </w:pPr>
            <w:r>
              <w:rPr>
                <w:sz w:val="24"/>
              </w:rPr>
              <w:t>富国稳健增强债券</w:t>
            </w:r>
            <w:r>
              <w:rPr>
                <w:sz w:val="24"/>
              </w:rPr>
              <w:t>A/B</w:t>
            </w:r>
          </w:p>
        </w:tc>
        <w:tc>
          <w:tcPr>
            <w:tcW w:w="1135" w:type="dxa"/>
            <w:vAlign w:val="center"/>
          </w:tcPr>
          <w:p w:rsidR="00D75D54" w:rsidRDefault="006D0704">
            <w:pPr>
              <w:jc w:val="center"/>
            </w:pPr>
            <w:r>
              <w:rPr>
                <w:sz w:val="24"/>
              </w:rPr>
              <w:t>契约型开放式</w:t>
            </w:r>
          </w:p>
        </w:tc>
        <w:tc>
          <w:tcPr>
            <w:tcW w:w="1133" w:type="dxa"/>
            <w:vAlign w:val="center"/>
          </w:tcPr>
          <w:p w:rsidR="00D75D54" w:rsidRDefault="006D0704">
            <w:pPr>
              <w:jc w:val="center"/>
            </w:pPr>
            <w:r>
              <w:rPr>
                <w:sz w:val="24"/>
              </w:rPr>
              <w:t>2,254,949.61</w:t>
            </w:r>
          </w:p>
        </w:tc>
        <w:tc>
          <w:tcPr>
            <w:tcW w:w="1276" w:type="dxa"/>
            <w:vAlign w:val="center"/>
          </w:tcPr>
          <w:p w:rsidR="00D75D54" w:rsidRDefault="006D0704">
            <w:pPr>
              <w:jc w:val="center"/>
            </w:pPr>
            <w:r>
              <w:rPr>
                <w:sz w:val="24"/>
              </w:rPr>
              <w:t>2,775,842.97</w:t>
            </w:r>
          </w:p>
        </w:tc>
        <w:tc>
          <w:tcPr>
            <w:tcW w:w="1135" w:type="dxa"/>
            <w:vAlign w:val="center"/>
          </w:tcPr>
          <w:p w:rsidR="00D75D54" w:rsidRDefault="006D0704">
            <w:pPr>
              <w:jc w:val="center"/>
            </w:pPr>
            <w:r>
              <w:rPr>
                <w:sz w:val="24"/>
              </w:rPr>
              <w:t>6.82%</w:t>
            </w:r>
          </w:p>
        </w:tc>
        <w:tc>
          <w:tcPr>
            <w:tcW w:w="1272" w:type="dxa"/>
            <w:vAlign w:val="center"/>
          </w:tcPr>
          <w:p w:rsidR="00D75D54" w:rsidRDefault="006D0704">
            <w:pPr>
              <w:jc w:val="center"/>
            </w:pPr>
            <w:r>
              <w:rPr>
                <w:sz w:val="24"/>
              </w:rPr>
              <w:t>否</w:t>
            </w:r>
          </w:p>
        </w:tc>
      </w:tr>
      <w:tr w:rsidR="00D75D54">
        <w:tc>
          <w:tcPr>
            <w:tcW w:w="817" w:type="dxa"/>
            <w:vAlign w:val="center"/>
          </w:tcPr>
          <w:p w:rsidR="00D75D54" w:rsidRDefault="006D0704">
            <w:pPr>
              <w:jc w:val="center"/>
            </w:pPr>
            <w:r>
              <w:rPr>
                <w:sz w:val="24"/>
              </w:rPr>
              <w:t>3</w:t>
            </w:r>
          </w:p>
        </w:tc>
        <w:tc>
          <w:tcPr>
            <w:tcW w:w="1133" w:type="dxa"/>
            <w:vAlign w:val="center"/>
          </w:tcPr>
          <w:p w:rsidR="00D75D54" w:rsidRDefault="006D0704">
            <w:pPr>
              <w:jc w:val="center"/>
            </w:pPr>
            <w:r>
              <w:rPr>
                <w:sz w:val="24"/>
              </w:rPr>
              <w:t>002702</w:t>
            </w:r>
          </w:p>
        </w:tc>
        <w:tc>
          <w:tcPr>
            <w:tcW w:w="1135" w:type="dxa"/>
            <w:vAlign w:val="center"/>
          </w:tcPr>
          <w:p w:rsidR="00D75D54" w:rsidRDefault="006D0704">
            <w:pPr>
              <w:jc w:val="center"/>
            </w:pPr>
            <w:r>
              <w:rPr>
                <w:sz w:val="24"/>
              </w:rPr>
              <w:t>东方红汇阳债券</w:t>
            </w:r>
            <w:r>
              <w:rPr>
                <w:sz w:val="24"/>
              </w:rPr>
              <w:t>C</w:t>
            </w:r>
          </w:p>
        </w:tc>
        <w:tc>
          <w:tcPr>
            <w:tcW w:w="1135" w:type="dxa"/>
            <w:vAlign w:val="center"/>
          </w:tcPr>
          <w:p w:rsidR="00D75D54" w:rsidRDefault="006D0704">
            <w:pPr>
              <w:jc w:val="center"/>
            </w:pPr>
            <w:r>
              <w:rPr>
                <w:sz w:val="24"/>
              </w:rPr>
              <w:t>契约型开放式</w:t>
            </w:r>
          </w:p>
        </w:tc>
        <w:tc>
          <w:tcPr>
            <w:tcW w:w="1133" w:type="dxa"/>
            <w:vAlign w:val="center"/>
          </w:tcPr>
          <w:p w:rsidR="00D75D54" w:rsidRDefault="006D0704">
            <w:pPr>
              <w:jc w:val="center"/>
            </w:pPr>
            <w:r>
              <w:rPr>
                <w:sz w:val="24"/>
              </w:rPr>
              <w:t>2,438,402.20</w:t>
            </w:r>
          </w:p>
        </w:tc>
        <w:tc>
          <w:tcPr>
            <w:tcW w:w="1276" w:type="dxa"/>
            <w:vAlign w:val="center"/>
          </w:tcPr>
          <w:p w:rsidR="00D75D54" w:rsidRDefault="006D0704">
            <w:pPr>
              <w:jc w:val="center"/>
            </w:pPr>
            <w:r>
              <w:rPr>
                <w:sz w:val="24"/>
              </w:rPr>
              <w:t>2,607,383.47</w:t>
            </w:r>
          </w:p>
        </w:tc>
        <w:tc>
          <w:tcPr>
            <w:tcW w:w="1135" w:type="dxa"/>
            <w:vAlign w:val="center"/>
          </w:tcPr>
          <w:p w:rsidR="00D75D54" w:rsidRDefault="006D0704">
            <w:pPr>
              <w:jc w:val="center"/>
            </w:pPr>
            <w:r>
              <w:rPr>
                <w:sz w:val="24"/>
              </w:rPr>
              <w:t>6.41%</w:t>
            </w:r>
          </w:p>
        </w:tc>
        <w:tc>
          <w:tcPr>
            <w:tcW w:w="1272" w:type="dxa"/>
            <w:vAlign w:val="center"/>
          </w:tcPr>
          <w:p w:rsidR="00D75D54" w:rsidRDefault="006D0704">
            <w:pPr>
              <w:jc w:val="center"/>
            </w:pPr>
            <w:r>
              <w:rPr>
                <w:sz w:val="24"/>
              </w:rPr>
              <w:t>否</w:t>
            </w:r>
          </w:p>
        </w:tc>
      </w:tr>
      <w:tr w:rsidR="00D75D54">
        <w:tc>
          <w:tcPr>
            <w:tcW w:w="817" w:type="dxa"/>
            <w:vAlign w:val="center"/>
          </w:tcPr>
          <w:p w:rsidR="00D75D54" w:rsidRDefault="006D0704">
            <w:pPr>
              <w:jc w:val="center"/>
            </w:pPr>
            <w:r>
              <w:rPr>
                <w:sz w:val="24"/>
              </w:rPr>
              <w:t>4</w:t>
            </w:r>
          </w:p>
        </w:tc>
        <w:tc>
          <w:tcPr>
            <w:tcW w:w="1133" w:type="dxa"/>
            <w:vAlign w:val="center"/>
          </w:tcPr>
          <w:p w:rsidR="00D75D54" w:rsidRDefault="006D0704">
            <w:pPr>
              <w:jc w:val="center"/>
            </w:pPr>
            <w:r>
              <w:rPr>
                <w:sz w:val="24"/>
              </w:rPr>
              <w:t>004585</w:t>
            </w:r>
          </w:p>
        </w:tc>
        <w:tc>
          <w:tcPr>
            <w:tcW w:w="1135" w:type="dxa"/>
            <w:vAlign w:val="center"/>
          </w:tcPr>
          <w:p w:rsidR="00D75D54" w:rsidRDefault="006D0704">
            <w:pPr>
              <w:jc w:val="center"/>
            </w:pPr>
            <w:r>
              <w:rPr>
                <w:sz w:val="24"/>
              </w:rPr>
              <w:t>鹏扬汇利债券</w:t>
            </w:r>
            <w:r>
              <w:rPr>
                <w:sz w:val="24"/>
              </w:rPr>
              <w:t>A</w:t>
            </w:r>
          </w:p>
        </w:tc>
        <w:tc>
          <w:tcPr>
            <w:tcW w:w="1135" w:type="dxa"/>
            <w:vAlign w:val="center"/>
          </w:tcPr>
          <w:p w:rsidR="00D75D54" w:rsidRDefault="006D0704">
            <w:pPr>
              <w:jc w:val="center"/>
            </w:pPr>
            <w:r>
              <w:rPr>
                <w:sz w:val="24"/>
              </w:rPr>
              <w:t>契约型开放式</w:t>
            </w:r>
          </w:p>
        </w:tc>
        <w:tc>
          <w:tcPr>
            <w:tcW w:w="1133" w:type="dxa"/>
            <w:vAlign w:val="center"/>
          </w:tcPr>
          <w:p w:rsidR="00D75D54" w:rsidRDefault="006D0704">
            <w:pPr>
              <w:jc w:val="center"/>
            </w:pPr>
            <w:r>
              <w:rPr>
                <w:sz w:val="24"/>
              </w:rPr>
              <w:t>2,309,102.99</w:t>
            </w:r>
          </w:p>
        </w:tc>
        <w:tc>
          <w:tcPr>
            <w:tcW w:w="1276" w:type="dxa"/>
            <w:vAlign w:val="center"/>
          </w:tcPr>
          <w:p w:rsidR="00D75D54" w:rsidRDefault="006D0704">
            <w:pPr>
              <w:jc w:val="center"/>
            </w:pPr>
            <w:r>
              <w:rPr>
                <w:sz w:val="24"/>
              </w:rPr>
              <w:t>2,461,503.79</w:t>
            </w:r>
          </w:p>
        </w:tc>
        <w:tc>
          <w:tcPr>
            <w:tcW w:w="1135" w:type="dxa"/>
            <w:vAlign w:val="center"/>
          </w:tcPr>
          <w:p w:rsidR="00D75D54" w:rsidRDefault="006D0704">
            <w:pPr>
              <w:jc w:val="center"/>
            </w:pPr>
            <w:r>
              <w:rPr>
                <w:sz w:val="24"/>
              </w:rPr>
              <w:t>6.05%</w:t>
            </w:r>
          </w:p>
        </w:tc>
        <w:tc>
          <w:tcPr>
            <w:tcW w:w="1272" w:type="dxa"/>
            <w:vAlign w:val="center"/>
          </w:tcPr>
          <w:p w:rsidR="00D75D54" w:rsidRDefault="006D0704">
            <w:pPr>
              <w:jc w:val="center"/>
            </w:pPr>
            <w:r>
              <w:rPr>
                <w:sz w:val="24"/>
              </w:rPr>
              <w:t>否</w:t>
            </w:r>
          </w:p>
        </w:tc>
      </w:tr>
      <w:tr w:rsidR="00D75D54">
        <w:tc>
          <w:tcPr>
            <w:tcW w:w="817" w:type="dxa"/>
            <w:vAlign w:val="center"/>
          </w:tcPr>
          <w:p w:rsidR="00D75D54" w:rsidRDefault="006D0704">
            <w:pPr>
              <w:jc w:val="center"/>
            </w:pPr>
            <w:r>
              <w:rPr>
                <w:sz w:val="24"/>
              </w:rPr>
              <w:t>5</w:t>
            </w:r>
          </w:p>
        </w:tc>
        <w:tc>
          <w:tcPr>
            <w:tcW w:w="1133" w:type="dxa"/>
            <w:vAlign w:val="center"/>
          </w:tcPr>
          <w:p w:rsidR="00D75D54" w:rsidRDefault="006D0704">
            <w:pPr>
              <w:jc w:val="center"/>
            </w:pPr>
            <w:r>
              <w:rPr>
                <w:sz w:val="24"/>
              </w:rPr>
              <w:t>531028</w:t>
            </w:r>
          </w:p>
        </w:tc>
        <w:tc>
          <w:tcPr>
            <w:tcW w:w="1135" w:type="dxa"/>
            <w:vAlign w:val="center"/>
          </w:tcPr>
          <w:p w:rsidR="00D75D54" w:rsidRDefault="006D0704">
            <w:pPr>
              <w:jc w:val="center"/>
            </w:pPr>
            <w:r>
              <w:rPr>
                <w:sz w:val="24"/>
              </w:rPr>
              <w:t>建信短债债券</w:t>
            </w:r>
            <w:r>
              <w:rPr>
                <w:sz w:val="24"/>
              </w:rPr>
              <w:t>A</w:t>
            </w:r>
          </w:p>
        </w:tc>
        <w:tc>
          <w:tcPr>
            <w:tcW w:w="1135" w:type="dxa"/>
            <w:vAlign w:val="center"/>
          </w:tcPr>
          <w:p w:rsidR="00D75D54" w:rsidRDefault="006D0704">
            <w:pPr>
              <w:jc w:val="center"/>
            </w:pPr>
            <w:r>
              <w:rPr>
                <w:sz w:val="24"/>
              </w:rPr>
              <w:t>契约型开放式</w:t>
            </w:r>
          </w:p>
        </w:tc>
        <w:tc>
          <w:tcPr>
            <w:tcW w:w="1133" w:type="dxa"/>
            <w:vAlign w:val="center"/>
          </w:tcPr>
          <w:p w:rsidR="00D75D54" w:rsidRDefault="006D0704">
            <w:pPr>
              <w:jc w:val="center"/>
            </w:pPr>
            <w:r>
              <w:rPr>
                <w:sz w:val="24"/>
              </w:rPr>
              <w:t>2,046,574.46</w:t>
            </w:r>
          </w:p>
        </w:tc>
        <w:tc>
          <w:tcPr>
            <w:tcW w:w="1276" w:type="dxa"/>
            <w:vAlign w:val="center"/>
          </w:tcPr>
          <w:p w:rsidR="00D75D54" w:rsidRDefault="006D0704">
            <w:pPr>
              <w:jc w:val="center"/>
            </w:pPr>
            <w:r>
              <w:rPr>
                <w:sz w:val="24"/>
              </w:rPr>
              <w:t>2,294,005.31</w:t>
            </w:r>
          </w:p>
        </w:tc>
        <w:tc>
          <w:tcPr>
            <w:tcW w:w="1135" w:type="dxa"/>
            <w:vAlign w:val="center"/>
          </w:tcPr>
          <w:p w:rsidR="00D75D54" w:rsidRDefault="006D0704">
            <w:pPr>
              <w:jc w:val="center"/>
            </w:pPr>
            <w:r>
              <w:rPr>
                <w:sz w:val="24"/>
              </w:rPr>
              <w:t>5.64%</w:t>
            </w:r>
          </w:p>
        </w:tc>
        <w:tc>
          <w:tcPr>
            <w:tcW w:w="1272" w:type="dxa"/>
            <w:vAlign w:val="center"/>
          </w:tcPr>
          <w:p w:rsidR="00D75D54" w:rsidRDefault="006D0704">
            <w:pPr>
              <w:jc w:val="center"/>
            </w:pPr>
            <w:r>
              <w:rPr>
                <w:sz w:val="24"/>
              </w:rPr>
              <w:t>否</w:t>
            </w:r>
          </w:p>
        </w:tc>
      </w:tr>
      <w:tr w:rsidR="00D75D54">
        <w:tc>
          <w:tcPr>
            <w:tcW w:w="817" w:type="dxa"/>
            <w:vAlign w:val="center"/>
          </w:tcPr>
          <w:p w:rsidR="00D75D54" w:rsidRDefault="006D0704">
            <w:pPr>
              <w:jc w:val="center"/>
            </w:pPr>
            <w:r>
              <w:rPr>
                <w:sz w:val="24"/>
              </w:rPr>
              <w:t>6</w:t>
            </w:r>
          </w:p>
        </w:tc>
        <w:tc>
          <w:tcPr>
            <w:tcW w:w="1133" w:type="dxa"/>
            <w:vAlign w:val="center"/>
          </w:tcPr>
          <w:p w:rsidR="00D75D54" w:rsidRDefault="006D0704">
            <w:pPr>
              <w:jc w:val="center"/>
            </w:pPr>
            <w:r>
              <w:rPr>
                <w:sz w:val="24"/>
              </w:rPr>
              <w:t>380009</w:t>
            </w:r>
          </w:p>
        </w:tc>
        <w:tc>
          <w:tcPr>
            <w:tcW w:w="1135" w:type="dxa"/>
            <w:vAlign w:val="center"/>
          </w:tcPr>
          <w:p w:rsidR="00D75D54" w:rsidRDefault="006D0704">
            <w:pPr>
              <w:jc w:val="center"/>
            </w:pPr>
            <w:r>
              <w:rPr>
                <w:sz w:val="24"/>
              </w:rPr>
              <w:t>中银添利债券发起</w:t>
            </w:r>
            <w:r>
              <w:rPr>
                <w:sz w:val="24"/>
              </w:rPr>
              <w:t>A</w:t>
            </w:r>
          </w:p>
        </w:tc>
        <w:tc>
          <w:tcPr>
            <w:tcW w:w="1135" w:type="dxa"/>
            <w:vAlign w:val="center"/>
          </w:tcPr>
          <w:p w:rsidR="00D75D54" w:rsidRDefault="006D0704">
            <w:pPr>
              <w:jc w:val="center"/>
            </w:pPr>
            <w:r>
              <w:rPr>
                <w:sz w:val="24"/>
              </w:rPr>
              <w:t>契约型开放式</w:t>
            </w:r>
          </w:p>
        </w:tc>
        <w:tc>
          <w:tcPr>
            <w:tcW w:w="1133" w:type="dxa"/>
            <w:vAlign w:val="center"/>
          </w:tcPr>
          <w:p w:rsidR="00D75D54" w:rsidRDefault="006D0704">
            <w:pPr>
              <w:jc w:val="center"/>
            </w:pPr>
            <w:r>
              <w:rPr>
                <w:sz w:val="24"/>
              </w:rPr>
              <w:t>1,583,092.59</w:t>
            </w:r>
          </w:p>
        </w:tc>
        <w:tc>
          <w:tcPr>
            <w:tcW w:w="1276" w:type="dxa"/>
            <w:vAlign w:val="center"/>
          </w:tcPr>
          <w:p w:rsidR="00D75D54" w:rsidRDefault="006D0704">
            <w:pPr>
              <w:jc w:val="center"/>
            </w:pPr>
            <w:r>
              <w:rPr>
                <w:sz w:val="24"/>
              </w:rPr>
              <w:t>2,174,219.36</w:t>
            </w:r>
          </w:p>
        </w:tc>
        <w:tc>
          <w:tcPr>
            <w:tcW w:w="1135" w:type="dxa"/>
            <w:vAlign w:val="center"/>
          </w:tcPr>
          <w:p w:rsidR="00D75D54" w:rsidRDefault="006D0704">
            <w:pPr>
              <w:jc w:val="center"/>
            </w:pPr>
            <w:r>
              <w:rPr>
                <w:sz w:val="24"/>
              </w:rPr>
              <w:t>5.34%</w:t>
            </w:r>
          </w:p>
        </w:tc>
        <w:tc>
          <w:tcPr>
            <w:tcW w:w="1272" w:type="dxa"/>
            <w:vAlign w:val="center"/>
          </w:tcPr>
          <w:p w:rsidR="00D75D54" w:rsidRDefault="006D0704">
            <w:pPr>
              <w:jc w:val="center"/>
            </w:pPr>
            <w:r>
              <w:rPr>
                <w:sz w:val="24"/>
              </w:rPr>
              <w:t>否</w:t>
            </w:r>
          </w:p>
        </w:tc>
      </w:tr>
      <w:tr w:rsidR="00D75D54">
        <w:tc>
          <w:tcPr>
            <w:tcW w:w="817" w:type="dxa"/>
            <w:vAlign w:val="center"/>
          </w:tcPr>
          <w:p w:rsidR="00D75D54" w:rsidRDefault="006D0704">
            <w:pPr>
              <w:jc w:val="center"/>
            </w:pPr>
            <w:r>
              <w:rPr>
                <w:sz w:val="24"/>
              </w:rPr>
              <w:t>7</w:t>
            </w:r>
          </w:p>
        </w:tc>
        <w:tc>
          <w:tcPr>
            <w:tcW w:w="1133" w:type="dxa"/>
            <w:vAlign w:val="center"/>
          </w:tcPr>
          <w:p w:rsidR="00D75D54" w:rsidRDefault="006D0704">
            <w:pPr>
              <w:jc w:val="center"/>
            </w:pPr>
            <w:r>
              <w:rPr>
                <w:sz w:val="24"/>
              </w:rPr>
              <w:t>519782</w:t>
            </w:r>
          </w:p>
        </w:tc>
        <w:tc>
          <w:tcPr>
            <w:tcW w:w="1135" w:type="dxa"/>
            <w:vAlign w:val="center"/>
          </w:tcPr>
          <w:p w:rsidR="00D75D54" w:rsidRDefault="006D0704">
            <w:pPr>
              <w:jc w:val="center"/>
            </w:pPr>
            <w:r>
              <w:rPr>
                <w:sz w:val="24"/>
              </w:rPr>
              <w:t>交银裕隆纯债债券</w:t>
            </w:r>
            <w:r>
              <w:rPr>
                <w:sz w:val="24"/>
              </w:rPr>
              <w:t>A</w:t>
            </w:r>
          </w:p>
        </w:tc>
        <w:tc>
          <w:tcPr>
            <w:tcW w:w="1135" w:type="dxa"/>
            <w:vAlign w:val="center"/>
          </w:tcPr>
          <w:p w:rsidR="00D75D54" w:rsidRDefault="006D0704">
            <w:pPr>
              <w:jc w:val="center"/>
            </w:pPr>
            <w:r>
              <w:rPr>
                <w:sz w:val="24"/>
              </w:rPr>
              <w:t>契约型开放式</w:t>
            </w:r>
          </w:p>
        </w:tc>
        <w:tc>
          <w:tcPr>
            <w:tcW w:w="1133" w:type="dxa"/>
            <w:vAlign w:val="center"/>
          </w:tcPr>
          <w:p w:rsidR="00D75D54" w:rsidRDefault="006D0704">
            <w:pPr>
              <w:jc w:val="center"/>
            </w:pPr>
            <w:r>
              <w:rPr>
                <w:sz w:val="24"/>
              </w:rPr>
              <w:t>1,502,245.15</w:t>
            </w:r>
          </w:p>
        </w:tc>
        <w:tc>
          <w:tcPr>
            <w:tcW w:w="1276" w:type="dxa"/>
            <w:vAlign w:val="center"/>
          </w:tcPr>
          <w:p w:rsidR="00D75D54" w:rsidRDefault="006D0704">
            <w:pPr>
              <w:jc w:val="center"/>
            </w:pPr>
            <w:r>
              <w:rPr>
                <w:sz w:val="24"/>
              </w:rPr>
              <w:t>2,037,645.32</w:t>
            </w:r>
          </w:p>
        </w:tc>
        <w:tc>
          <w:tcPr>
            <w:tcW w:w="1135" w:type="dxa"/>
            <w:vAlign w:val="center"/>
          </w:tcPr>
          <w:p w:rsidR="00D75D54" w:rsidRDefault="006D0704">
            <w:pPr>
              <w:jc w:val="center"/>
            </w:pPr>
            <w:r>
              <w:rPr>
                <w:sz w:val="24"/>
              </w:rPr>
              <w:t>5.01%</w:t>
            </w:r>
          </w:p>
        </w:tc>
        <w:tc>
          <w:tcPr>
            <w:tcW w:w="1272" w:type="dxa"/>
            <w:vAlign w:val="center"/>
          </w:tcPr>
          <w:p w:rsidR="00D75D54" w:rsidRDefault="006D0704">
            <w:pPr>
              <w:jc w:val="center"/>
            </w:pPr>
            <w:r>
              <w:rPr>
                <w:sz w:val="24"/>
              </w:rPr>
              <w:t>否</w:t>
            </w:r>
          </w:p>
        </w:tc>
      </w:tr>
      <w:tr w:rsidR="00D75D54">
        <w:tc>
          <w:tcPr>
            <w:tcW w:w="817" w:type="dxa"/>
            <w:vAlign w:val="center"/>
          </w:tcPr>
          <w:p w:rsidR="00D75D54" w:rsidRDefault="006D0704">
            <w:pPr>
              <w:jc w:val="center"/>
            </w:pPr>
            <w:r>
              <w:rPr>
                <w:sz w:val="24"/>
              </w:rPr>
              <w:t>8</w:t>
            </w:r>
          </w:p>
        </w:tc>
        <w:tc>
          <w:tcPr>
            <w:tcW w:w="1133" w:type="dxa"/>
            <w:vAlign w:val="center"/>
          </w:tcPr>
          <w:p w:rsidR="00D75D54" w:rsidRDefault="006D0704">
            <w:pPr>
              <w:jc w:val="center"/>
            </w:pPr>
            <w:r>
              <w:rPr>
                <w:sz w:val="24"/>
              </w:rPr>
              <w:t>100018</w:t>
            </w:r>
          </w:p>
        </w:tc>
        <w:tc>
          <w:tcPr>
            <w:tcW w:w="1135" w:type="dxa"/>
            <w:vAlign w:val="center"/>
          </w:tcPr>
          <w:p w:rsidR="00D75D54" w:rsidRDefault="006D0704">
            <w:pPr>
              <w:jc w:val="center"/>
            </w:pPr>
            <w:r>
              <w:rPr>
                <w:sz w:val="24"/>
              </w:rPr>
              <w:t>富国天利增长债券</w:t>
            </w:r>
            <w:r>
              <w:rPr>
                <w:sz w:val="24"/>
              </w:rPr>
              <w:t>A</w:t>
            </w:r>
          </w:p>
        </w:tc>
        <w:tc>
          <w:tcPr>
            <w:tcW w:w="1135" w:type="dxa"/>
            <w:vAlign w:val="center"/>
          </w:tcPr>
          <w:p w:rsidR="00D75D54" w:rsidRDefault="006D0704">
            <w:pPr>
              <w:jc w:val="center"/>
            </w:pPr>
            <w:r>
              <w:rPr>
                <w:sz w:val="24"/>
              </w:rPr>
              <w:t>契约型开放式</w:t>
            </w:r>
          </w:p>
        </w:tc>
        <w:tc>
          <w:tcPr>
            <w:tcW w:w="1133" w:type="dxa"/>
            <w:vAlign w:val="center"/>
          </w:tcPr>
          <w:p w:rsidR="00D75D54" w:rsidRDefault="006D0704">
            <w:pPr>
              <w:jc w:val="center"/>
            </w:pPr>
            <w:r>
              <w:rPr>
                <w:sz w:val="24"/>
              </w:rPr>
              <w:t>1,082,589.63</w:t>
            </w:r>
          </w:p>
        </w:tc>
        <w:tc>
          <w:tcPr>
            <w:tcW w:w="1276" w:type="dxa"/>
            <w:vAlign w:val="center"/>
          </w:tcPr>
          <w:p w:rsidR="00D75D54" w:rsidRDefault="006D0704">
            <w:pPr>
              <w:jc w:val="center"/>
            </w:pPr>
            <w:r>
              <w:rPr>
                <w:sz w:val="24"/>
              </w:rPr>
              <w:t>1,437,354.25</w:t>
            </w:r>
          </w:p>
        </w:tc>
        <w:tc>
          <w:tcPr>
            <w:tcW w:w="1135" w:type="dxa"/>
            <w:vAlign w:val="center"/>
          </w:tcPr>
          <w:p w:rsidR="00D75D54" w:rsidRDefault="006D0704">
            <w:pPr>
              <w:jc w:val="center"/>
            </w:pPr>
            <w:r>
              <w:rPr>
                <w:sz w:val="24"/>
              </w:rPr>
              <w:t>3.53%</w:t>
            </w:r>
          </w:p>
        </w:tc>
        <w:tc>
          <w:tcPr>
            <w:tcW w:w="1272" w:type="dxa"/>
            <w:vAlign w:val="center"/>
          </w:tcPr>
          <w:p w:rsidR="00D75D54" w:rsidRDefault="006D0704">
            <w:pPr>
              <w:jc w:val="center"/>
            </w:pPr>
            <w:r>
              <w:rPr>
                <w:sz w:val="24"/>
              </w:rPr>
              <w:t>否</w:t>
            </w:r>
          </w:p>
        </w:tc>
      </w:tr>
      <w:tr w:rsidR="00D75D54">
        <w:tc>
          <w:tcPr>
            <w:tcW w:w="817" w:type="dxa"/>
            <w:vAlign w:val="center"/>
          </w:tcPr>
          <w:p w:rsidR="00D75D54" w:rsidRDefault="006D0704">
            <w:pPr>
              <w:jc w:val="center"/>
            </w:pPr>
            <w:r>
              <w:rPr>
                <w:sz w:val="24"/>
              </w:rPr>
              <w:t>9</w:t>
            </w:r>
          </w:p>
        </w:tc>
        <w:tc>
          <w:tcPr>
            <w:tcW w:w="1133" w:type="dxa"/>
            <w:vAlign w:val="center"/>
          </w:tcPr>
          <w:p w:rsidR="00D75D54" w:rsidRDefault="006D0704">
            <w:pPr>
              <w:jc w:val="center"/>
            </w:pPr>
            <w:r>
              <w:rPr>
                <w:sz w:val="24"/>
              </w:rPr>
              <w:t>009100</w:t>
            </w:r>
          </w:p>
        </w:tc>
        <w:tc>
          <w:tcPr>
            <w:tcW w:w="1135" w:type="dxa"/>
            <w:vAlign w:val="center"/>
          </w:tcPr>
          <w:p w:rsidR="00D75D54" w:rsidRDefault="006D0704">
            <w:pPr>
              <w:jc w:val="center"/>
            </w:pPr>
            <w:r>
              <w:rPr>
                <w:sz w:val="24"/>
              </w:rPr>
              <w:t>安信稳健增利混合</w:t>
            </w:r>
            <w:r>
              <w:rPr>
                <w:sz w:val="24"/>
              </w:rPr>
              <w:t>A</w:t>
            </w:r>
          </w:p>
        </w:tc>
        <w:tc>
          <w:tcPr>
            <w:tcW w:w="1135" w:type="dxa"/>
            <w:vAlign w:val="center"/>
          </w:tcPr>
          <w:p w:rsidR="00D75D54" w:rsidRDefault="006D0704">
            <w:pPr>
              <w:jc w:val="center"/>
            </w:pPr>
            <w:r>
              <w:rPr>
                <w:sz w:val="24"/>
              </w:rPr>
              <w:t>契约型开放式</w:t>
            </w:r>
          </w:p>
        </w:tc>
        <w:tc>
          <w:tcPr>
            <w:tcW w:w="1133" w:type="dxa"/>
            <w:vAlign w:val="center"/>
          </w:tcPr>
          <w:p w:rsidR="00D75D54" w:rsidRDefault="006D0704">
            <w:pPr>
              <w:jc w:val="center"/>
            </w:pPr>
            <w:r>
              <w:rPr>
                <w:sz w:val="24"/>
              </w:rPr>
              <w:t>1,158,907.87</w:t>
            </w:r>
          </w:p>
        </w:tc>
        <w:tc>
          <w:tcPr>
            <w:tcW w:w="1276" w:type="dxa"/>
            <w:vAlign w:val="center"/>
          </w:tcPr>
          <w:p w:rsidR="00D75D54" w:rsidRDefault="006D0704">
            <w:pPr>
              <w:jc w:val="center"/>
            </w:pPr>
            <w:r>
              <w:rPr>
                <w:sz w:val="24"/>
              </w:rPr>
              <w:t>1,434,727.94</w:t>
            </w:r>
          </w:p>
        </w:tc>
        <w:tc>
          <w:tcPr>
            <w:tcW w:w="1135" w:type="dxa"/>
            <w:vAlign w:val="center"/>
          </w:tcPr>
          <w:p w:rsidR="00D75D54" w:rsidRDefault="006D0704">
            <w:pPr>
              <w:jc w:val="center"/>
            </w:pPr>
            <w:r>
              <w:rPr>
                <w:sz w:val="24"/>
              </w:rPr>
              <w:t>3.53%</w:t>
            </w:r>
          </w:p>
        </w:tc>
        <w:tc>
          <w:tcPr>
            <w:tcW w:w="1272" w:type="dxa"/>
            <w:vAlign w:val="center"/>
          </w:tcPr>
          <w:p w:rsidR="00D75D54" w:rsidRDefault="006D0704">
            <w:pPr>
              <w:jc w:val="center"/>
            </w:pPr>
            <w:r>
              <w:rPr>
                <w:sz w:val="24"/>
              </w:rPr>
              <w:t>否</w:t>
            </w:r>
          </w:p>
        </w:tc>
      </w:tr>
      <w:tr w:rsidR="00D75D54">
        <w:tc>
          <w:tcPr>
            <w:tcW w:w="817" w:type="dxa"/>
            <w:vAlign w:val="center"/>
          </w:tcPr>
          <w:p w:rsidR="00D75D54" w:rsidRDefault="006D0704">
            <w:pPr>
              <w:jc w:val="center"/>
            </w:pPr>
            <w:r>
              <w:rPr>
                <w:sz w:val="24"/>
              </w:rPr>
              <w:t>10</w:t>
            </w:r>
          </w:p>
        </w:tc>
        <w:tc>
          <w:tcPr>
            <w:tcW w:w="1133" w:type="dxa"/>
            <w:vAlign w:val="center"/>
          </w:tcPr>
          <w:p w:rsidR="00D75D54" w:rsidRDefault="006D0704">
            <w:pPr>
              <w:jc w:val="center"/>
            </w:pPr>
            <w:r>
              <w:rPr>
                <w:sz w:val="24"/>
              </w:rPr>
              <w:t>000385</w:t>
            </w:r>
          </w:p>
        </w:tc>
        <w:tc>
          <w:tcPr>
            <w:tcW w:w="1135" w:type="dxa"/>
            <w:vAlign w:val="center"/>
          </w:tcPr>
          <w:p w:rsidR="00D75D54" w:rsidRDefault="006D0704">
            <w:pPr>
              <w:jc w:val="center"/>
            </w:pPr>
            <w:r>
              <w:rPr>
                <w:sz w:val="24"/>
              </w:rPr>
              <w:t>景顺长城景颐双利债券</w:t>
            </w:r>
            <w:r>
              <w:rPr>
                <w:sz w:val="24"/>
              </w:rPr>
              <w:t>A</w:t>
            </w:r>
          </w:p>
        </w:tc>
        <w:tc>
          <w:tcPr>
            <w:tcW w:w="1135" w:type="dxa"/>
            <w:vAlign w:val="center"/>
          </w:tcPr>
          <w:p w:rsidR="00D75D54" w:rsidRDefault="006D0704">
            <w:pPr>
              <w:jc w:val="center"/>
            </w:pPr>
            <w:r>
              <w:rPr>
                <w:sz w:val="24"/>
              </w:rPr>
              <w:t>契约型开放式</w:t>
            </w:r>
          </w:p>
        </w:tc>
        <w:tc>
          <w:tcPr>
            <w:tcW w:w="1133" w:type="dxa"/>
            <w:vAlign w:val="center"/>
          </w:tcPr>
          <w:p w:rsidR="00D75D54" w:rsidRDefault="006D0704">
            <w:pPr>
              <w:jc w:val="center"/>
            </w:pPr>
            <w:r>
              <w:rPr>
                <w:sz w:val="24"/>
              </w:rPr>
              <w:t>873,183.80</w:t>
            </w:r>
          </w:p>
        </w:tc>
        <w:tc>
          <w:tcPr>
            <w:tcW w:w="1276" w:type="dxa"/>
            <w:vAlign w:val="center"/>
          </w:tcPr>
          <w:p w:rsidR="00D75D54" w:rsidRDefault="006D0704">
            <w:pPr>
              <w:jc w:val="center"/>
            </w:pPr>
            <w:r>
              <w:rPr>
                <w:sz w:val="24"/>
              </w:rPr>
              <w:t>1,416,304.12</w:t>
            </w:r>
          </w:p>
        </w:tc>
        <w:tc>
          <w:tcPr>
            <w:tcW w:w="1135" w:type="dxa"/>
            <w:vAlign w:val="center"/>
          </w:tcPr>
          <w:p w:rsidR="00D75D54" w:rsidRDefault="006D0704">
            <w:pPr>
              <w:jc w:val="center"/>
            </w:pPr>
            <w:r>
              <w:rPr>
                <w:sz w:val="24"/>
              </w:rPr>
              <w:t>3.48%</w:t>
            </w:r>
          </w:p>
        </w:tc>
        <w:tc>
          <w:tcPr>
            <w:tcW w:w="1272" w:type="dxa"/>
            <w:vAlign w:val="center"/>
          </w:tcPr>
          <w:p w:rsidR="00D75D54" w:rsidRDefault="006D0704">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4503"/>
        <w:gridCol w:w="1521"/>
        <w:gridCol w:w="3012"/>
      </w:tblGrid>
      <w:tr w:rsidR="00C45886" w:rsidRPr="00575270" w:rsidTr="00ED2138">
        <w:tc>
          <w:tcPr>
            <w:tcW w:w="4503"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1521"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B15EC8" w:rsidRPr="00575270" w:rsidTr="00ED2138">
        <w:tc>
          <w:tcPr>
            <w:tcW w:w="4503" w:type="dxa"/>
            <w:vAlign w:val="center"/>
          </w:tcPr>
          <w:p w:rsidR="00B15EC8" w:rsidRPr="00575270" w:rsidRDefault="00B15EC8" w:rsidP="00B15EC8">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1521" w:type="dxa"/>
            <w:vAlign w:val="bottom"/>
          </w:tcPr>
          <w:p w:rsidR="00B15EC8" w:rsidRPr="00575270" w:rsidRDefault="00B15EC8" w:rsidP="00B15EC8">
            <w:pPr>
              <w:adjustRightInd w:val="0"/>
              <w:snapToGrid w:val="0"/>
              <w:spacing w:beforeLines="50" w:before="156" w:line="276" w:lineRule="auto"/>
              <w:jc w:val="right"/>
              <w:rPr>
                <w:rFonts w:eastAsiaTheme="minorEastAsia"/>
                <w:color w:val="000000" w:themeColor="text1"/>
                <w:sz w:val="24"/>
              </w:rPr>
            </w:pPr>
            <w:r>
              <w:rPr>
                <w:rFonts w:ascii="Arial" w:hAnsi="Arial" w:cs="Arial"/>
                <w:color w:val="000000"/>
                <w:sz w:val="20"/>
                <w:szCs w:val="20"/>
              </w:rPr>
              <w:t xml:space="preserve">                     16.00 </w:t>
            </w:r>
          </w:p>
        </w:tc>
        <w:tc>
          <w:tcPr>
            <w:tcW w:w="3012" w:type="dxa"/>
            <w:vAlign w:val="bottom"/>
          </w:tcPr>
          <w:p w:rsidR="00B15EC8" w:rsidRPr="00575270" w:rsidRDefault="006D0704" w:rsidP="00B15EC8">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w:t>
            </w:r>
          </w:p>
        </w:tc>
      </w:tr>
      <w:tr w:rsidR="00B15EC8" w:rsidRPr="00575270" w:rsidTr="00ED2138">
        <w:tc>
          <w:tcPr>
            <w:tcW w:w="4503" w:type="dxa"/>
            <w:vAlign w:val="center"/>
          </w:tcPr>
          <w:p w:rsidR="00B15EC8" w:rsidRPr="00575270" w:rsidRDefault="00B15EC8" w:rsidP="00B15EC8">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1521" w:type="dxa"/>
            <w:vAlign w:val="bottom"/>
          </w:tcPr>
          <w:p w:rsidR="00B15EC8" w:rsidRPr="00575270" w:rsidRDefault="00B15EC8" w:rsidP="00B15EC8">
            <w:pPr>
              <w:adjustRightInd w:val="0"/>
              <w:snapToGrid w:val="0"/>
              <w:spacing w:beforeLines="50" w:before="156" w:line="276" w:lineRule="auto"/>
              <w:jc w:val="right"/>
              <w:rPr>
                <w:rFonts w:eastAsiaTheme="minorEastAsia"/>
                <w:color w:val="000000" w:themeColor="text1"/>
                <w:sz w:val="24"/>
              </w:rPr>
            </w:pPr>
            <w:r>
              <w:rPr>
                <w:rFonts w:ascii="Arial" w:hAnsi="Arial" w:cs="Arial"/>
                <w:color w:val="000000"/>
                <w:sz w:val="20"/>
                <w:szCs w:val="20"/>
              </w:rPr>
              <w:t xml:space="preserve">                5,282.79 </w:t>
            </w:r>
          </w:p>
        </w:tc>
        <w:tc>
          <w:tcPr>
            <w:tcW w:w="3012" w:type="dxa"/>
            <w:vAlign w:val="bottom"/>
          </w:tcPr>
          <w:p w:rsidR="00B15EC8" w:rsidRPr="00575270" w:rsidRDefault="006D0704" w:rsidP="00B15EC8">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w:t>
            </w:r>
          </w:p>
        </w:tc>
      </w:tr>
      <w:tr w:rsidR="00B15EC8" w:rsidRPr="00575270" w:rsidTr="00ED2138">
        <w:tc>
          <w:tcPr>
            <w:tcW w:w="4503" w:type="dxa"/>
            <w:vAlign w:val="center"/>
          </w:tcPr>
          <w:p w:rsidR="00B15EC8" w:rsidRPr="00575270" w:rsidRDefault="00B15EC8" w:rsidP="00B15EC8">
            <w:pPr>
              <w:adjustRightInd w:val="0"/>
              <w:snapToGrid w:val="0"/>
              <w:spacing w:beforeLines="50" w:before="156" w:line="276" w:lineRule="auto"/>
              <w:rPr>
                <w:rFonts w:eastAsiaTheme="minorEastAsia"/>
                <w:color w:val="000000" w:themeColor="text1"/>
                <w:sz w:val="24"/>
              </w:rPr>
            </w:pPr>
            <w:r w:rsidRPr="00575270">
              <w:rPr>
                <w:sz w:val="24"/>
              </w:rPr>
              <w:lastRenderedPageBreak/>
              <w:t>当期持有基金产生的应支付销售服务费（元）</w:t>
            </w:r>
          </w:p>
        </w:tc>
        <w:tc>
          <w:tcPr>
            <w:tcW w:w="1521" w:type="dxa"/>
            <w:vAlign w:val="bottom"/>
          </w:tcPr>
          <w:p w:rsidR="00B15EC8" w:rsidRPr="00575270" w:rsidRDefault="00B15EC8" w:rsidP="00B15EC8">
            <w:pPr>
              <w:adjustRightInd w:val="0"/>
              <w:snapToGrid w:val="0"/>
              <w:spacing w:beforeLines="50" w:before="156" w:line="276" w:lineRule="auto"/>
              <w:jc w:val="right"/>
              <w:rPr>
                <w:rFonts w:eastAsiaTheme="minorEastAsia"/>
                <w:color w:val="000000" w:themeColor="text1"/>
                <w:sz w:val="24"/>
              </w:rPr>
            </w:pPr>
            <w:r>
              <w:rPr>
                <w:rFonts w:ascii="Arial" w:hAnsi="Arial" w:cs="Arial"/>
                <w:color w:val="000000"/>
                <w:sz w:val="20"/>
                <w:szCs w:val="20"/>
              </w:rPr>
              <w:t xml:space="preserve">                3,163.08 </w:t>
            </w:r>
          </w:p>
        </w:tc>
        <w:tc>
          <w:tcPr>
            <w:tcW w:w="3012" w:type="dxa"/>
            <w:vAlign w:val="bottom"/>
          </w:tcPr>
          <w:p w:rsidR="00B15EC8" w:rsidRPr="00575270" w:rsidRDefault="00B15EC8" w:rsidP="00B15EC8">
            <w:pPr>
              <w:adjustRightInd w:val="0"/>
              <w:snapToGrid w:val="0"/>
              <w:spacing w:beforeLines="50" w:before="156" w:line="276" w:lineRule="auto"/>
              <w:jc w:val="right"/>
              <w:rPr>
                <w:rFonts w:eastAsiaTheme="minorEastAsia"/>
                <w:color w:val="000000" w:themeColor="text1"/>
                <w:sz w:val="24"/>
              </w:rPr>
            </w:pPr>
            <w:r>
              <w:rPr>
                <w:rFonts w:ascii="Arial" w:hAnsi="Arial" w:cs="Arial"/>
                <w:color w:val="000000"/>
                <w:sz w:val="20"/>
                <w:szCs w:val="20"/>
              </w:rPr>
              <w:t xml:space="preserve">                        51.87 </w:t>
            </w:r>
          </w:p>
        </w:tc>
      </w:tr>
      <w:tr w:rsidR="00B15EC8" w:rsidRPr="00575270" w:rsidTr="00ED2138">
        <w:tc>
          <w:tcPr>
            <w:tcW w:w="4503" w:type="dxa"/>
            <w:vAlign w:val="center"/>
          </w:tcPr>
          <w:p w:rsidR="00B15EC8" w:rsidRPr="00575270" w:rsidRDefault="00B15EC8" w:rsidP="00B15EC8">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1521" w:type="dxa"/>
            <w:vAlign w:val="bottom"/>
          </w:tcPr>
          <w:p w:rsidR="00B15EC8" w:rsidRPr="00575270" w:rsidRDefault="00B15EC8" w:rsidP="00B15EC8">
            <w:pPr>
              <w:adjustRightInd w:val="0"/>
              <w:snapToGrid w:val="0"/>
              <w:spacing w:beforeLines="50" w:before="156" w:line="276" w:lineRule="auto"/>
              <w:jc w:val="right"/>
              <w:rPr>
                <w:rFonts w:eastAsiaTheme="minorEastAsia"/>
                <w:color w:val="000000" w:themeColor="text1"/>
                <w:sz w:val="24"/>
              </w:rPr>
            </w:pPr>
            <w:r>
              <w:rPr>
                <w:rFonts w:ascii="Arial" w:hAnsi="Arial" w:cs="Arial"/>
                <w:color w:val="000000"/>
                <w:sz w:val="20"/>
                <w:szCs w:val="20"/>
              </w:rPr>
              <w:t xml:space="preserve">               64,885.58 </w:t>
            </w:r>
          </w:p>
        </w:tc>
        <w:tc>
          <w:tcPr>
            <w:tcW w:w="3012" w:type="dxa"/>
            <w:vAlign w:val="bottom"/>
          </w:tcPr>
          <w:p w:rsidR="00B15EC8" w:rsidRPr="00575270" w:rsidRDefault="001B07B0" w:rsidP="00CE34E3">
            <w:pPr>
              <w:adjustRightInd w:val="0"/>
              <w:snapToGrid w:val="0"/>
              <w:spacing w:beforeLines="50" w:before="156" w:line="276" w:lineRule="auto"/>
              <w:jc w:val="right"/>
              <w:rPr>
                <w:rFonts w:eastAsiaTheme="minorEastAsia"/>
                <w:color w:val="000000" w:themeColor="text1"/>
                <w:sz w:val="24"/>
              </w:rPr>
            </w:pPr>
            <w:r>
              <w:rPr>
                <w:rFonts w:ascii="Arial" w:hAnsi="Arial" w:cs="Arial"/>
                <w:color w:val="000000"/>
                <w:sz w:val="20"/>
                <w:szCs w:val="20"/>
              </w:rPr>
              <w:t xml:space="preserve">                   9,59</w:t>
            </w:r>
            <w:r w:rsidR="00CE34E3">
              <w:rPr>
                <w:rFonts w:ascii="Arial" w:hAnsi="Arial" w:cs="Arial"/>
                <w:color w:val="000000"/>
                <w:sz w:val="20"/>
                <w:szCs w:val="20"/>
              </w:rPr>
              <w:t>8.76</w:t>
            </w:r>
          </w:p>
        </w:tc>
      </w:tr>
      <w:tr w:rsidR="00B15EC8" w:rsidRPr="00575270" w:rsidTr="00ED2138">
        <w:tc>
          <w:tcPr>
            <w:tcW w:w="4503" w:type="dxa"/>
            <w:vAlign w:val="center"/>
          </w:tcPr>
          <w:p w:rsidR="00B15EC8" w:rsidRPr="00575270" w:rsidRDefault="00B15EC8" w:rsidP="00B15EC8">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1521" w:type="dxa"/>
            <w:vAlign w:val="bottom"/>
          </w:tcPr>
          <w:p w:rsidR="00B15EC8" w:rsidRPr="00575270" w:rsidRDefault="00B15EC8" w:rsidP="00B15EC8">
            <w:pPr>
              <w:adjustRightInd w:val="0"/>
              <w:snapToGrid w:val="0"/>
              <w:spacing w:beforeLines="50" w:before="156" w:line="276" w:lineRule="auto"/>
              <w:jc w:val="right"/>
              <w:rPr>
                <w:rFonts w:eastAsiaTheme="minorEastAsia"/>
                <w:color w:val="000000" w:themeColor="text1"/>
                <w:sz w:val="24"/>
              </w:rPr>
            </w:pPr>
            <w:r>
              <w:rPr>
                <w:rFonts w:ascii="Arial" w:hAnsi="Arial" w:cs="Arial"/>
                <w:color w:val="000000"/>
                <w:sz w:val="20"/>
                <w:szCs w:val="20"/>
              </w:rPr>
              <w:t xml:space="preserve">               14,066.13 </w:t>
            </w:r>
          </w:p>
        </w:tc>
        <w:tc>
          <w:tcPr>
            <w:tcW w:w="3012" w:type="dxa"/>
            <w:vAlign w:val="bottom"/>
          </w:tcPr>
          <w:p w:rsidR="00B15EC8" w:rsidRPr="00575270" w:rsidRDefault="00B15EC8" w:rsidP="00B15EC8">
            <w:pPr>
              <w:adjustRightInd w:val="0"/>
              <w:snapToGrid w:val="0"/>
              <w:spacing w:beforeLines="50" w:before="156" w:line="276" w:lineRule="auto"/>
              <w:jc w:val="right"/>
              <w:rPr>
                <w:rFonts w:eastAsiaTheme="minorEastAsia"/>
                <w:color w:val="000000" w:themeColor="text1"/>
                <w:sz w:val="24"/>
              </w:rPr>
            </w:pPr>
            <w:r>
              <w:rPr>
                <w:rFonts w:ascii="Arial" w:hAnsi="Arial" w:cs="Arial"/>
                <w:color w:val="000000"/>
                <w:sz w:val="20"/>
                <w:szCs w:val="20"/>
              </w:rPr>
              <w:t xml:space="preserve">                      881.08 </w:t>
            </w:r>
          </w:p>
        </w:tc>
      </w:tr>
      <w:tr w:rsidR="00B15EC8" w:rsidTr="00ED2138">
        <w:tc>
          <w:tcPr>
            <w:tcW w:w="4503" w:type="dxa"/>
            <w:vAlign w:val="center"/>
          </w:tcPr>
          <w:p w:rsidR="00B15EC8" w:rsidRDefault="00B15EC8" w:rsidP="00B15EC8">
            <w:pPr>
              <w:jc w:val="left"/>
            </w:pPr>
            <w:r>
              <w:rPr>
                <w:rFonts w:eastAsiaTheme="minorEastAsia"/>
                <w:color w:val="000000" w:themeColor="text1"/>
                <w:sz w:val="24"/>
              </w:rPr>
              <w:t>当期交易基金产生的交易费（元）</w:t>
            </w:r>
          </w:p>
        </w:tc>
        <w:tc>
          <w:tcPr>
            <w:tcW w:w="1521" w:type="dxa"/>
            <w:vAlign w:val="bottom"/>
          </w:tcPr>
          <w:p w:rsidR="00B15EC8" w:rsidRDefault="00D040C5" w:rsidP="00B15EC8">
            <w:pPr>
              <w:jc w:val="right"/>
            </w:pPr>
            <w:r w:rsidRPr="00D040C5">
              <w:rPr>
                <w:rFonts w:ascii="Arial" w:hAnsi="Arial" w:cs="Arial"/>
                <w:color w:val="000000"/>
                <w:sz w:val="20"/>
                <w:szCs w:val="20"/>
              </w:rPr>
              <w:t>171.00</w:t>
            </w:r>
          </w:p>
        </w:tc>
        <w:tc>
          <w:tcPr>
            <w:tcW w:w="3012" w:type="dxa"/>
            <w:vAlign w:val="bottom"/>
          </w:tcPr>
          <w:p w:rsidR="00B15EC8" w:rsidRDefault="00B15EC8" w:rsidP="00B15EC8">
            <w:pPr>
              <w:jc w:val="right"/>
            </w:pPr>
            <w:r>
              <w:rPr>
                <w:rFonts w:ascii="Arial" w:hAnsi="Arial" w:cs="Arial"/>
                <w:color w:val="000000"/>
                <w:sz w:val="20"/>
                <w:szCs w:val="20"/>
              </w:rPr>
              <w:t xml:space="preserve">                         4.13 </w:t>
            </w:r>
          </w:p>
        </w:tc>
      </w:tr>
      <w:tr w:rsidR="00D040C5" w:rsidTr="00ED2138">
        <w:tc>
          <w:tcPr>
            <w:tcW w:w="4503" w:type="dxa"/>
            <w:vAlign w:val="center"/>
          </w:tcPr>
          <w:p w:rsidR="00D040C5" w:rsidRDefault="00D040C5" w:rsidP="00B15EC8">
            <w:pPr>
              <w:jc w:val="left"/>
              <w:rPr>
                <w:rFonts w:eastAsiaTheme="minorEastAsia"/>
                <w:color w:val="000000" w:themeColor="text1"/>
                <w:sz w:val="24"/>
              </w:rPr>
            </w:pPr>
            <w:bookmarkStart w:id="1" w:name="_GoBack" w:colFirst="0" w:colLast="3"/>
            <w:r w:rsidRPr="00D040C5">
              <w:rPr>
                <w:rFonts w:eastAsiaTheme="minorEastAsia" w:hint="eastAsia"/>
                <w:color w:val="000000" w:themeColor="text1"/>
                <w:sz w:val="24"/>
              </w:rPr>
              <w:t>当期交易基金产生的转换费（元）</w:t>
            </w:r>
          </w:p>
        </w:tc>
        <w:tc>
          <w:tcPr>
            <w:tcW w:w="1521" w:type="dxa"/>
            <w:vAlign w:val="bottom"/>
          </w:tcPr>
          <w:p w:rsidR="00D040C5" w:rsidRDefault="00D040C5" w:rsidP="00B15EC8">
            <w:pPr>
              <w:jc w:val="right"/>
              <w:rPr>
                <w:rFonts w:ascii="Arial" w:hAnsi="Arial" w:cs="Arial"/>
                <w:color w:val="000000"/>
                <w:sz w:val="20"/>
                <w:szCs w:val="20"/>
              </w:rPr>
            </w:pPr>
            <w:r w:rsidRPr="00D040C5">
              <w:rPr>
                <w:rFonts w:ascii="Arial" w:hAnsi="Arial" w:cs="Arial"/>
                <w:color w:val="000000"/>
                <w:sz w:val="20"/>
                <w:szCs w:val="20"/>
              </w:rPr>
              <w:t>1</w:t>
            </w:r>
            <w:r>
              <w:rPr>
                <w:rFonts w:ascii="Arial" w:hAnsi="Arial" w:cs="Arial"/>
                <w:color w:val="000000"/>
                <w:sz w:val="20"/>
                <w:szCs w:val="20"/>
              </w:rPr>
              <w:t>,</w:t>
            </w:r>
            <w:r w:rsidRPr="00D040C5">
              <w:rPr>
                <w:rFonts w:ascii="Arial" w:hAnsi="Arial" w:cs="Arial"/>
                <w:color w:val="000000"/>
                <w:sz w:val="20"/>
                <w:szCs w:val="20"/>
              </w:rPr>
              <w:t>108.83</w:t>
            </w:r>
          </w:p>
        </w:tc>
        <w:tc>
          <w:tcPr>
            <w:tcW w:w="3012" w:type="dxa"/>
            <w:vAlign w:val="bottom"/>
          </w:tcPr>
          <w:p w:rsidR="00D040C5" w:rsidRDefault="000970F9" w:rsidP="00B15EC8">
            <w:pPr>
              <w:jc w:val="right"/>
              <w:rPr>
                <w:rFonts w:ascii="Arial" w:hAnsi="Arial" w:cs="Arial"/>
                <w:color w:val="000000"/>
                <w:sz w:val="20"/>
                <w:szCs w:val="20"/>
              </w:rPr>
            </w:pPr>
            <w:r>
              <w:rPr>
                <w:rFonts w:ascii="Arial" w:hAnsi="Arial" w:cs="Arial" w:hint="eastAsia"/>
                <w:color w:val="000000"/>
                <w:sz w:val="20"/>
                <w:szCs w:val="20"/>
              </w:rPr>
              <w:t>-</w:t>
            </w:r>
          </w:p>
        </w:tc>
      </w:tr>
    </w:tbl>
    <w:bookmarkEnd w:id="1"/>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35,052,274.94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6,266,509.25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169,508.58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575,376.51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1,773,470.93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228,063.27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33,448,312.59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6,613,822.49</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基金合同</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托管协议</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D75D54" w:rsidRDefault="006D0704">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D213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D2138">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D2138">
      <w:rPr>
        <w:rStyle w:val="af6"/>
        <w:noProof/>
      </w:rPr>
      <w:t>14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摩根锦程稳健养老目标一年持有期混合型基金中基金</w:t>
    </w:r>
    <w:r>
      <w:t>(FOF)2024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970F9"/>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7B0"/>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D5349"/>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0704"/>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622"/>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5EC8"/>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34E3"/>
    <w:rsid w:val="00CE592E"/>
    <w:rsid w:val="00CE5BC5"/>
    <w:rsid w:val="00CF16A4"/>
    <w:rsid w:val="00CF299F"/>
    <w:rsid w:val="00CF3357"/>
    <w:rsid w:val="00CF4448"/>
    <w:rsid w:val="00CF4F26"/>
    <w:rsid w:val="00CF58DF"/>
    <w:rsid w:val="00D00BC3"/>
    <w:rsid w:val="00D03538"/>
    <w:rsid w:val="00D040C5"/>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5D54"/>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38"/>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2DCD5-92F8-4110-BC5B-256512CF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50</TotalTime>
  <Pages>15</Pages>
  <Words>1354</Words>
  <Characters>7723</Characters>
  <Application>Microsoft Office Word</Application>
  <DocSecurity>0</DocSecurity>
  <Lines>64</Lines>
  <Paragraphs>18</Paragraphs>
  <ScaleCrop>false</ScaleCrop>
  <Company>TRT. Ltd. Co.</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234</cp:revision>
  <cp:lastPrinted>2007-07-19T00:46:00Z</cp:lastPrinted>
  <dcterms:created xsi:type="dcterms:W3CDTF">2013-06-21T06:56:00Z</dcterms:created>
  <dcterms:modified xsi:type="dcterms:W3CDTF">2024-04-19T02:24:00Z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