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AC" w:rsidRPr="00414345" w:rsidRDefault="004061AC" w:rsidP="00C15CAC">
      <w:pPr>
        <w:autoSpaceDE w:val="0"/>
        <w:autoSpaceDN w:val="0"/>
        <w:adjustRightInd w:val="0"/>
        <w:spacing w:before="29" w:line="288" w:lineRule="auto"/>
        <w:jc w:val="left"/>
        <w:rPr>
          <w:color w:val="000000"/>
          <w:kern w:val="0"/>
          <w:sz w:val="24"/>
          <w:szCs w:val="24"/>
        </w:rPr>
      </w:pPr>
      <w:bookmarkStart w:id="0" w:name="_GoBack"/>
      <w:bookmarkEnd w:id="0"/>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上投摩根锦程稳健养老目标一年持有期混合型基金中基金</w:t>
      </w:r>
      <w:r w:rsidRPr="0081286B">
        <w:rPr>
          <w:b/>
          <w:sz w:val="36"/>
          <w:szCs w:val="36"/>
        </w:rPr>
        <w:t>(FOF)</w:t>
      </w:r>
    </w:p>
    <w:p w:rsidR="002279D3" w:rsidRPr="0081286B" w:rsidRDefault="002279D3" w:rsidP="00C15CAC">
      <w:pPr>
        <w:spacing w:before="29" w:line="288" w:lineRule="auto"/>
        <w:jc w:val="center"/>
        <w:rPr>
          <w:b/>
          <w:sz w:val="36"/>
          <w:szCs w:val="36"/>
        </w:rPr>
      </w:pPr>
      <w:r w:rsidRPr="0081286B">
        <w:rPr>
          <w:b/>
          <w:sz w:val="36"/>
          <w:szCs w:val="36"/>
        </w:rPr>
        <w:t>2021</w:t>
      </w:r>
      <w:r w:rsidRPr="0081286B">
        <w:rPr>
          <w:b/>
          <w:sz w:val="36"/>
          <w:szCs w:val="36"/>
        </w:rPr>
        <w:t>年第</w:t>
      </w:r>
      <w:r w:rsidRPr="0081286B">
        <w:rPr>
          <w:b/>
          <w:sz w:val="36"/>
          <w:szCs w:val="36"/>
        </w:rPr>
        <w:t>4</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2021</w:t>
      </w:r>
      <w:r w:rsidRPr="0081286B">
        <w:rPr>
          <w:b/>
          <w:sz w:val="36"/>
          <w:szCs w:val="36"/>
        </w:rPr>
        <w:t>年</w:t>
      </w:r>
      <w:r w:rsidRPr="0081286B">
        <w:rPr>
          <w:b/>
          <w:sz w:val="36"/>
          <w:szCs w:val="36"/>
        </w:rPr>
        <w:t>12</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基金管理人：上投摩根基金管理有限公司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基金托管人：中国建设银行股份有限公司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二〇二二年一月二十四日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04147D" w:rsidRDefault="005A6D6C">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04147D" w:rsidRDefault="005A6D6C">
      <w:pPr>
        <w:spacing w:before="29" w:line="288" w:lineRule="auto"/>
        <w:ind w:firstLineChars="200" w:firstLine="480"/>
        <w:rPr>
          <w:color w:val="000000"/>
          <w:sz w:val="24"/>
          <w:szCs w:val="24"/>
        </w:rPr>
      </w:pPr>
      <w:r>
        <w:rPr>
          <w:color w:val="000000"/>
          <w:sz w:val="24"/>
          <w:szCs w:val="24"/>
        </w:rPr>
        <w:t>基金托管人中国建设银行股份有限公司根据本基金合同规定，于</w:t>
      </w:r>
      <w:r>
        <w:rPr>
          <w:color w:val="000000"/>
          <w:sz w:val="24"/>
          <w:szCs w:val="24"/>
        </w:rPr>
        <w:t>2022</w:t>
      </w:r>
      <w:r>
        <w:rPr>
          <w:color w:val="000000"/>
          <w:sz w:val="24"/>
          <w:szCs w:val="24"/>
        </w:rPr>
        <w:t>年</w:t>
      </w:r>
      <w:r>
        <w:rPr>
          <w:color w:val="000000"/>
          <w:sz w:val="24"/>
          <w:szCs w:val="24"/>
        </w:rPr>
        <w:t>1</w:t>
      </w:r>
      <w:r>
        <w:rPr>
          <w:color w:val="000000"/>
          <w:sz w:val="24"/>
          <w:szCs w:val="24"/>
        </w:rPr>
        <w:t>月</w:t>
      </w:r>
      <w:r>
        <w:rPr>
          <w:color w:val="000000"/>
          <w:sz w:val="24"/>
          <w:szCs w:val="24"/>
        </w:rPr>
        <w:t>21</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04147D" w:rsidRDefault="005A6D6C">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04147D" w:rsidRDefault="005A6D6C">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04147D" w:rsidRDefault="005A6D6C">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2021</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上投摩根锦程稳健养老一年持有混合</w:t>
            </w:r>
            <w:r w:rsidRPr="00414345">
              <w:rPr>
                <w:color w:val="000000"/>
                <w:kern w:val="0"/>
                <w:sz w:val="24"/>
                <w:szCs w:val="24"/>
              </w:rPr>
              <w:t>(FOF)</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009143</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009143</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2020</w:t>
            </w:r>
            <w:r w:rsidRPr="00414345">
              <w:rPr>
                <w:color w:val="000000"/>
                <w:kern w:val="0"/>
                <w:sz w:val="24"/>
                <w:szCs w:val="24"/>
              </w:rPr>
              <w:t>年</w:t>
            </w:r>
            <w:r w:rsidRPr="00414345">
              <w:rPr>
                <w:color w:val="000000"/>
                <w:kern w:val="0"/>
                <w:sz w:val="24"/>
                <w:szCs w:val="24"/>
              </w:rPr>
              <w:t>4</w:t>
            </w:r>
            <w:r w:rsidRPr="00414345">
              <w:rPr>
                <w:color w:val="000000"/>
                <w:kern w:val="0"/>
                <w:sz w:val="24"/>
                <w:szCs w:val="24"/>
              </w:rPr>
              <w:t>月</w:t>
            </w:r>
            <w:r w:rsidRPr="00414345">
              <w:rPr>
                <w:color w:val="000000"/>
                <w:kern w:val="0"/>
                <w:sz w:val="24"/>
                <w:szCs w:val="24"/>
              </w:rPr>
              <w:t>23</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88,191,059.00</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本基金通过将资产分别配置于高风险类资产和其他资产，控制投资组合的风险收益水平，并自下而上精选基金，力求实现基金资产持续稳健增值，为投资者提供适应其风险承受水平的养老理财工具。</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04147D" w:rsidRDefault="005A6D6C">
            <w:pPr>
              <w:adjustRightInd w:val="0"/>
              <w:spacing w:before="29" w:line="288" w:lineRule="auto"/>
              <w:ind w:left="17"/>
              <w:jc w:val="left"/>
              <w:rPr>
                <w:color w:val="000000"/>
                <w:sz w:val="24"/>
                <w:szCs w:val="24"/>
              </w:rPr>
            </w:pPr>
            <w:r>
              <w:rPr>
                <w:color w:val="000000"/>
                <w:kern w:val="0"/>
                <w:sz w:val="24"/>
                <w:szCs w:val="24"/>
              </w:rPr>
              <w:t>1</w:t>
            </w:r>
            <w:r>
              <w:rPr>
                <w:color w:val="000000"/>
                <w:kern w:val="0"/>
                <w:sz w:val="24"/>
                <w:szCs w:val="24"/>
              </w:rPr>
              <w:t>、目标风险投资策略：</w:t>
            </w:r>
          </w:p>
          <w:p w:rsidR="0004147D" w:rsidRDefault="005A6D6C">
            <w:pPr>
              <w:adjustRightInd w:val="0"/>
              <w:spacing w:before="29" w:line="288" w:lineRule="auto"/>
              <w:ind w:left="17"/>
              <w:jc w:val="left"/>
              <w:rPr>
                <w:color w:val="000000"/>
                <w:sz w:val="24"/>
                <w:szCs w:val="24"/>
              </w:rPr>
            </w:pPr>
            <w:r>
              <w:rPr>
                <w:color w:val="000000"/>
                <w:kern w:val="0"/>
                <w:sz w:val="24"/>
                <w:szCs w:val="24"/>
              </w:rPr>
              <w:t>（</w:t>
            </w:r>
            <w:r>
              <w:rPr>
                <w:color w:val="000000"/>
                <w:kern w:val="0"/>
                <w:sz w:val="24"/>
                <w:szCs w:val="24"/>
              </w:rPr>
              <w:t>1</w:t>
            </w:r>
            <w:r>
              <w:rPr>
                <w:color w:val="000000"/>
                <w:kern w:val="0"/>
                <w:sz w:val="24"/>
                <w:szCs w:val="24"/>
              </w:rPr>
              <w:t>）大类资产配置策略：本基金的目标风险指通过将基金所投资的高风险类资产和其他资产长期保持在相对恒定的比例，以达到目标的风险水平。</w:t>
            </w:r>
          </w:p>
          <w:p w:rsidR="0004147D" w:rsidRDefault="005A6D6C">
            <w:pPr>
              <w:adjustRightInd w:val="0"/>
              <w:spacing w:before="29" w:line="288" w:lineRule="auto"/>
              <w:ind w:left="17"/>
              <w:jc w:val="left"/>
              <w:rPr>
                <w:color w:val="000000"/>
                <w:sz w:val="24"/>
                <w:szCs w:val="24"/>
              </w:rPr>
            </w:pPr>
            <w:r>
              <w:rPr>
                <w:color w:val="000000"/>
                <w:kern w:val="0"/>
                <w:sz w:val="24"/>
                <w:szCs w:val="24"/>
              </w:rPr>
              <w:t>管理人根据对各类资产的中长期预期假设和策略观点以及目标客户的风险收益偏好进行自上而下的资产配置，设定本基金在高风险类资产和其他资产之间的基准配置比例为</w:t>
            </w:r>
            <w:r>
              <w:rPr>
                <w:color w:val="000000"/>
                <w:kern w:val="0"/>
                <w:sz w:val="24"/>
                <w:szCs w:val="24"/>
              </w:rPr>
              <w:t>20%:80%</w:t>
            </w:r>
            <w:r>
              <w:rPr>
                <w:color w:val="000000"/>
                <w:kern w:val="0"/>
                <w:sz w:val="24"/>
                <w:szCs w:val="24"/>
              </w:rPr>
              <w:t>；高风险类资产指股票型基金、</w:t>
            </w:r>
            <w:r>
              <w:rPr>
                <w:color w:val="000000"/>
                <w:kern w:val="0"/>
                <w:sz w:val="24"/>
                <w:szCs w:val="24"/>
              </w:rPr>
              <w:lastRenderedPageBreak/>
              <w:t>应计入高风险类资产的混合型基金、商品基金（含商品期货基金和黄金</w:t>
            </w:r>
            <w:r>
              <w:rPr>
                <w:color w:val="000000"/>
                <w:kern w:val="0"/>
                <w:sz w:val="24"/>
                <w:szCs w:val="24"/>
              </w:rPr>
              <w:t>ETF</w:t>
            </w:r>
            <w:r>
              <w:rPr>
                <w:color w:val="000000"/>
                <w:kern w:val="0"/>
                <w:sz w:val="24"/>
                <w:szCs w:val="24"/>
              </w:rPr>
              <w:t>）等品种（均包含</w:t>
            </w:r>
            <w:r>
              <w:rPr>
                <w:color w:val="000000"/>
                <w:kern w:val="0"/>
                <w:sz w:val="24"/>
                <w:szCs w:val="24"/>
              </w:rPr>
              <w:t>QDII</w:t>
            </w:r>
            <w:r>
              <w:rPr>
                <w:color w:val="000000"/>
                <w:kern w:val="0"/>
                <w:sz w:val="24"/>
                <w:szCs w:val="24"/>
              </w:rPr>
              <w:t>）及股票；其他资产指债券型基金、货币市场基金和不计入高风险类资产的混合型基金（均包含</w:t>
            </w:r>
            <w:r>
              <w:rPr>
                <w:color w:val="000000"/>
                <w:kern w:val="0"/>
                <w:sz w:val="24"/>
                <w:szCs w:val="24"/>
              </w:rPr>
              <w:t>QDII</w:t>
            </w:r>
            <w:r>
              <w:rPr>
                <w:color w:val="000000"/>
                <w:kern w:val="0"/>
                <w:sz w:val="24"/>
                <w:szCs w:val="24"/>
              </w:rPr>
              <w:t>）、债券、资产支持证券、债券回购、银行存款及同业存单等；本基金高风险类资产的向上、向下调整幅度分别不超过</w:t>
            </w:r>
            <w:r>
              <w:rPr>
                <w:color w:val="000000"/>
                <w:kern w:val="0"/>
                <w:sz w:val="24"/>
                <w:szCs w:val="24"/>
              </w:rPr>
              <w:t>5%</w:t>
            </w:r>
            <w:r>
              <w:rPr>
                <w:color w:val="000000"/>
                <w:kern w:val="0"/>
                <w:sz w:val="24"/>
                <w:szCs w:val="24"/>
              </w:rPr>
              <w:t>、</w:t>
            </w:r>
            <w:r>
              <w:rPr>
                <w:color w:val="000000"/>
                <w:kern w:val="0"/>
                <w:sz w:val="24"/>
                <w:szCs w:val="24"/>
              </w:rPr>
              <w:t>10%</w:t>
            </w:r>
            <w:r>
              <w:rPr>
                <w:color w:val="000000"/>
                <w:kern w:val="0"/>
                <w:sz w:val="24"/>
                <w:szCs w:val="24"/>
              </w:rPr>
              <w:t>。</w:t>
            </w:r>
          </w:p>
          <w:p w:rsidR="0004147D" w:rsidRDefault="005A6D6C">
            <w:pPr>
              <w:adjustRightInd w:val="0"/>
              <w:spacing w:before="29" w:line="288" w:lineRule="auto"/>
              <w:ind w:left="17"/>
              <w:jc w:val="left"/>
              <w:rPr>
                <w:color w:val="000000"/>
                <w:sz w:val="24"/>
                <w:szCs w:val="24"/>
              </w:rPr>
            </w:pPr>
            <w:r>
              <w:rPr>
                <w:color w:val="000000"/>
                <w:kern w:val="0"/>
                <w:sz w:val="24"/>
                <w:szCs w:val="24"/>
              </w:rPr>
              <w:t>（</w:t>
            </w:r>
            <w:r>
              <w:rPr>
                <w:color w:val="000000"/>
                <w:kern w:val="0"/>
                <w:sz w:val="24"/>
                <w:szCs w:val="24"/>
              </w:rPr>
              <w:t>2</w:t>
            </w:r>
            <w:r>
              <w:rPr>
                <w:color w:val="000000"/>
                <w:kern w:val="0"/>
                <w:sz w:val="24"/>
                <w:szCs w:val="24"/>
              </w:rPr>
              <w:t>）细分资产类别配置策略：管理人根据长期资本市场观点评估各细分资产类别的风险收益特征，形成对不同资产类别的预期。在此基础上，确定基金资产在各细分资产类别间的配置比例。本基金定期结合策略观点，修正资产配置。</w:t>
            </w:r>
          </w:p>
          <w:p w:rsidR="0004147D" w:rsidRDefault="005A6D6C">
            <w:pPr>
              <w:adjustRightInd w:val="0"/>
              <w:spacing w:before="29" w:line="288" w:lineRule="auto"/>
              <w:ind w:left="17"/>
              <w:jc w:val="left"/>
              <w:rPr>
                <w:color w:val="000000"/>
                <w:sz w:val="24"/>
                <w:szCs w:val="24"/>
              </w:rPr>
            </w:pPr>
            <w:r>
              <w:rPr>
                <w:color w:val="000000"/>
                <w:kern w:val="0"/>
                <w:sz w:val="24"/>
                <w:szCs w:val="24"/>
              </w:rPr>
              <w:t>2</w:t>
            </w:r>
            <w:r>
              <w:rPr>
                <w:color w:val="000000"/>
                <w:kern w:val="0"/>
                <w:sz w:val="24"/>
                <w:szCs w:val="24"/>
              </w:rPr>
              <w:t>、主动管理型基金投资策略：通过自下而上的方式优选基金，研究过程中综合运用定量分析和定性分析，优选符合要求且能在中长期创造超额收益的基金。</w:t>
            </w:r>
          </w:p>
          <w:p w:rsidR="0004147D" w:rsidRDefault="005A6D6C">
            <w:pPr>
              <w:adjustRightInd w:val="0"/>
              <w:spacing w:before="29" w:line="288" w:lineRule="auto"/>
              <w:ind w:left="17"/>
              <w:jc w:val="left"/>
              <w:rPr>
                <w:color w:val="000000"/>
                <w:sz w:val="24"/>
                <w:szCs w:val="24"/>
              </w:rPr>
            </w:pPr>
            <w:r>
              <w:rPr>
                <w:color w:val="000000"/>
                <w:kern w:val="0"/>
                <w:sz w:val="24"/>
                <w:szCs w:val="24"/>
              </w:rPr>
              <w:t>3</w:t>
            </w:r>
            <w:r>
              <w:rPr>
                <w:color w:val="000000"/>
                <w:kern w:val="0"/>
                <w:sz w:val="24"/>
                <w:szCs w:val="24"/>
              </w:rPr>
              <w:t>、指数基金投资策略：优选中长期景气向好的指数基金进行配置，增厚组合收益，并把握阶段性投资机会，获取超额收益。</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4</w:t>
            </w:r>
            <w:r w:rsidRPr="00414345">
              <w:rPr>
                <w:color w:val="000000"/>
                <w:kern w:val="0"/>
                <w:sz w:val="24"/>
                <w:szCs w:val="24"/>
              </w:rPr>
              <w:t>、其他投资策略：包括股票投资策略、债券投资策略、证券公司短期公司债投资策略、资产支持证券投资策略、存托凭证投资策略。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中证</w:t>
            </w:r>
            <w:r w:rsidRPr="00414345">
              <w:rPr>
                <w:color w:val="000000"/>
                <w:kern w:val="0"/>
                <w:sz w:val="24"/>
                <w:szCs w:val="24"/>
              </w:rPr>
              <w:t>800</w:t>
            </w:r>
            <w:r w:rsidRPr="00414345">
              <w:rPr>
                <w:color w:val="000000"/>
                <w:kern w:val="0"/>
                <w:sz w:val="24"/>
                <w:szCs w:val="24"/>
              </w:rPr>
              <w:t>指数收益率</w:t>
            </w:r>
            <w:r w:rsidRPr="00414345">
              <w:rPr>
                <w:color w:val="000000"/>
                <w:kern w:val="0"/>
                <w:sz w:val="24"/>
                <w:szCs w:val="24"/>
              </w:rPr>
              <w:t>*20%+</w:t>
            </w:r>
            <w:r w:rsidRPr="00414345">
              <w:rPr>
                <w:color w:val="000000"/>
                <w:kern w:val="0"/>
                <w:sz w:val="24"/>
                <w:szCs w:val="24"/>
              </w:rPr>
              <w:t>中证综合债指数收益率</w:t>
            </w:r>
            <w:r w:rsidRPr="00414345">
              <w:rPr>
                <w:color w:val="000000"/>
                <w:kern w:val="0"/>
                <w:sz w:val="24"/>
                <w:szCs w:val="24"/>
              </w:rPr>
              <w:t>*70%+</w:t>
            </w:r>
            <w:r w:rsidRPr="00414345">
              <w:rPr>
                <w:color w:val="000000"/>
                <w:kern w:val="0"/>
                <w:sz w:val="24"/>
                <w:szCs w:val="24"/>
              </w:rPr>
              <w:t>活期存款利率（税后）</w:t>
            </w:r>
            <w:r w:rsidRPr="00414345">
              <w:rPr>
                <w:color w:val="000000"/>
                <w:kern w:val="0"/>
                <w:sz w:val="24"/>
                <w:szCs w:val="24"/>
              </w:rPr>
              <w:t>*10%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04147D" w:rsidRDefault="005A6D6C">
            <w:pPr>
              <w:adjustRightInd w:val="0"/>
              <w:spacing w:before="29" w:line="288" w:lineRule="auto"/>
              <w:ind w:left="17"/>
              <w:jc w:val="left"/>
              <w:rPr>
                <w:color w:val="000000"/>
                <w:sz w:val="24"/>
                <w:szCs w:val="24"/>
              </w:rPr>
            </w:pPr>
            <w:r>
              <w:rPr>
                <w:color w:val="000000"/>
                <w:kern w:val="0"/>
                <w:sz w:val="24"/>
                <w:szCs w:val="24"/>
              </w:rPr>
              <w:t>基金管理人将养老目标风险基金根据不同风险程度进行划分。本基金的高风险类资产和其他资产的基准配置比例为</w:t>
            </w:r>
            <w:r>
              <w:rPr>
                <w:color w:val="000000"/>
                <w:kern w:val="0"/>
                <w:sz w:val="24"/>
                <w:szCs w:val="24"/>
              </w:rPr>
              <w:t>20%</w:t>
            </w:r>
            <w:r>
              <w:rPr>
                <w:color w:val="000000"/>
                <w:kern w:val="0"/>
                <w:sz w:val="24"/>
                <w:szCs w:val="24"/>
              </w:rPr>
              <w:t>：</w:t>
            </w:r>
            <w:r>
              <w:rPr>
                <w:color w:val="000000"/>
                <w:kern w:val="0"/>
                <w:sz w:val="24"/>
                <w:szCs w:val="24"/>
              </w:rPr>
              <w:t>80%</w:t>
            </w:r>
            <w:r>
              <w:rPr>
                <w:color w:val="000000"/>
                <w:kern w:val="0"/>
                <w:sz w:val="24"/>
                <w:szCs w:val="24"/>
              </w:rPr>
              <w:t>，在基金管理人管理的养老目标风险基金中，属于高风险类资产的配置比例较低的产品。</w:t>
            </w:r>
          </w:p>
          <w:p w:rsidR="0004147D" w:rsidRDefault="005A6D6C">
            <w:pPr>
              <w:adjustRightInd w:val="0"/>
              <w:spacing w:before="29" w:line="288" w:lineRule="auto"/>
              <w:ind w:left="17"/>
              <w:jc w:val="left"/>
              <w:rPr>
                <w:color w:val="000000"/>
                <w:sz w:val="24"/>
                <w:szCs w:val="24"/>
              </w:rPr>
            </w:pPr>
            <w:r>
              <w:rPr>
                <w:color w:val="000000"/>
                <w:kern w:val="0"/>
                <w:sz w:val="24"/>
                <w:szCs w:val="24"/>
              </w:rPr>
              <w:t>本基金属于混合型基金中基金，预期风险和收益水平低于股票型基金中基金，高于债券型基金中基金和货币型基金中基金。</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根据</w:t>
            </w:r>
            <w:r w:rsidRPr="00414345">
              <w:rPr>
                <w:color w:val="000000"/>
                <w:kern w:val="0"/>
                <w:sz w:val="24"/>
                <w:szCs w:val="24"/>
              </w:rPr>
              <w:t>2017</w:t>
            </w:r>
            <w:r w:rsidRPr="00414345">
              <w:rPr>
                <w:color w:val="000000"/>
                <w:kern w:val="0"/>
                <w:sz w:val="24"/>
                <w:szCs w:val="24"/>
              </w:rPr>
              <w:t>年</w:t>
            </w:r>
            <w:r w:rsidRPr="00414345">
              <w:rPr>
                <w:color w:val="000000"/>
                <w:kern w:val="0"/>
                <w:sz w:val="24"/>
                <w:szCs w:val="24"/>
              </w:rPr>
              <w:t>7</w:t>
            </w:r>
            <w:r w:rsidRPr="00414345">
              <w:rPr>
                <w:color w:val="000000"/>
                <w:kern w:val="0"/>
                <w:sz w:val="24"/>
                <w:szCs w:val="24"/>
              </w:rPr>
              <w:t>月</w:t>
            </w:r>
            <w:r w:rsidRPr="00414345">
              <w:rPr>
                <w:color w:val="000000"/>
                <w:kern w:val="0"/>
                <w:sz w:val="24"/>
                <w:szCs w:val="24"/>
              </w:rPr>
              <w:t>1</w:t>
            </w:r>
            <w:r w:rsidRPr="00414345">
              <w:rPr>
                <w:color w:val="000000"/>
                <w:kern w:val="0"/>
                <w:sz w:val="24"/>
                <w:szCs w:val="24"/>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w:t>
            </w:r>
            <w:r w:rsidRPr="00414345">
              <w:rPr>
                <w:color w:val="000000"/>
                <w:kern w:val="0"/>
                <w:sz w:val="24"/>
                <w:szCs w:val="24"/>
              </w:rPr>
              <w:lastRenderedPageBreak/>
              <w:t>级结果应以基金管理人和销售机构提供的评级结果为准。</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上投摩根基金管理有限公司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5A6D6C" w:rsidRPr="00414345" w:rsidTr="005A6D6C">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(2021</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-2021</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5A6D6C" w:rsidRPr="00414345" w:rsidTr="005A6D6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294,113.14</w:t>
            </w:r>
          </w:p>
        </w:tc>
      </w:tr>
      <w:tr w:rsidR="005A6D6C" w:rsidRPr="00414345" w:rsidTr="005A6D6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681,873.14</w:t>
            </w:r>
          </w:p>
        </w:tc>
      </w:tr>
      <w:tr w:rsidR="005A6D6C" w:rsidRPr="00414345" w:rsidTr="005A6D6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0.0098</w:t>
            </w:r>
          </w:p>
        </w:tc>
      </w:tr>
      <w:tr w:rsidR="005A6D6C" w:rsidRPr="00414345" w:rsidTr="005A6D6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98,228,900.88</w:t>
            </w:r>
          </w:p>
        </w:tc>
      </w:tr>
      <w:tr w:rsidR="005A6D6C" w:rsidRPr="00414345" w:rsidTr="005A6D6C">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1.1138</w:t>
            </w:r>
          </w:p>
        </w:tc>
      </w:tr>
    </w:tbl>
    <w:p w:rsidR="0004147D" w:rsidRDefault="005A6D6C">
      <w:pPr>
        <w:autoSpaceDE w:val="0"/>
        <w:autoSpaceDN w:val="0"/>
        <w:adjustRightInd w:val="0"/>
        <w:spacing w:before="29" w:line="288" w:lineRule="auto"/>
        <w:jc w:val="left"/>
        <w:rPr>
          <w:color w:val="000000"/>
          <w:sz w:val="24"/>
          <w:szCs w:val="24"/>
        </w:rPr>
      </w:pPr>
      <w:r>
        <w:rPr>
          <w:color w:val="000000"/>
          <w:sz w:val="24"/>
          <w:szCs w:val="24"/>
        </w:rPr>
        <w:t>注：本期已实现收益指基金本期利息收入、投资收益、其他收入</w:t>
      </w:r>
      <w:r>
        <w:rPr>
          <w:color w:val="000000"/>
          <w:sz w:val="24"/>
          <w:szCs w:val="24"/>
        </w:rPr>
        <w:t>(</w:t>
      </w:r>
      <w:r>
        <w:rPr>
          <w:color w:val="000000"/>
          <w:sz w:val="24"/>
          <w:szCs w:val="24"/>
        </w:rPr>
        <w:t>不含公允价值变动收益</w:t>
      </w:r>
      <w:r>
        <w:rPr>
          <w:color w:val="000000"/>
          <w:sz w:val="24"/>
          <w:szCs w:val="24"/>
        </w:rPr>
        <w:t>)</w:t>
      </w:r>
      <w:r>
        <w:rPr>
          <w:color w:val="000000"/>
          <w:sz w:val="24"/>
          <w:szCs w:val="24"/>
        </w:rPr>
        <w:t>扣除相关费用后的余额，本期利润为本期已实现收益加上本期公允价值变动收益。</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上述基金业绩指标不包括持有人认购或交易基金的各项费用（例如，开放式基金的申购赎回费、红利再投资费、基金转换费等），计入费用后实际收益水平要低于所列数字。</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f2"/>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04147D">
        <w:trPr>
          <w:jc w:val="center"/>
        </w:trPr>
        <w:tc>
          <w:tcPr>
            <w:tcW w:w="1701" w:type="dxa"/>
            <w:vAlign w:val="center"/>
          </w:tcPr>
          <w:p w:rsidR="0004147D" w:rsidRDefault="005A6D6C">
            <w:pPr>
              <w:jc w:val="left"/>
            </w:pPr>
            <w:r>
              <w:rPr>
                <w:color w:val="000000"/>
                <w:sz w:val="24"/>
                <w:szCs w:val="24"/>
              </w:rPr>
              <w:t>过去三个月</w:t>
            </w:r>
          </w:p>
        </w:tc>
        <w:tc>
          <w:tcPr>
            <w:tcW w:w="1045" w:type="dxa"/>
            <w:vAlign w:val="center"/>
          </w:tcPr>
          <w:p w:rsidR="0004147D" w:rsidRDefault="005A6D6C">
            <w:pPr>
              <w:jc w:val="center"/>
            </w:pPr>
            <w:r>
              <w:rPr>
                <w:color w:val="000000"/>
                <w:sz w:val="24"/>
                <w:szCs w:val="24"/>
              </w:rPr>
              <w:t>0.98%</w:t>
            </w:r>
          </w:p>
        </w:tc>
        <w:tc>
          <w:tcPr>
            <w:tcW w:w="1344" w:type="dxa"/>
            <w:vAlign w:val="center"/>
          </w:tcPr>
          <w:p w:rsidR="0004147D" w:rsidRDefault="005A6D6C">
            <w:pPr>
              <w:jc w:val="center"/>
            </w:pPr>
            <w:r>
              <w:rPr>
                <w:color w:val="000000"/>
                <w:sz w:val="24"/>
                <w:szCs w:val="24"/>
              </w:rPr>
              <w:t>0.19%</w:t>
            </w:r>
          </w:p>
        </w:tc>
        <w:tc>
          <w:tcPr>
            <w:tcW w:w="1194" w:type="dxa"/>
            <w:vAlign w:val="center"/>
          </w:tcPr>
          <w:p w:rsidR="0004147D" w:rsidRDefault="005A6D6C">
            <w:pPr>
              <w:jc w:val="center"/>
            </w:pPr>
            <w:r>
              <w:rPr>
                <w:color w:val="000000"/>
                <w:sz w:val="24"/>
                <w:szCs w:val="24"/>
              </w:rPr>
              <w:t>1.29%</w:t>
            </w:r>
          </w:p>
        </w:tc>
        <w:tc>
          <w:tcPr>
            <w:tcW w:w="1492" w:type="dxa"/>
            <w:vAlign w:val="center"/>
          </w:tcPr>
          <w:p w:rsidR="0004147D" w:rsidRDefault="005A6D6C">
            <w:pPr>
              <w:jc w:val="center"/>
            </w:pPr>
            <w:r>
              <w:rPr>
                <w:color w:val="000000"/>
                <w:sz w:val="24"/>
                <w:szCs w:val="24"/>
              </w:rPr>
              <w:t>0.14%</w:t>
            </w:r>
          </w:p>
        </w:tc>
        <w:tc>
          <w:tcPr>
            <w:tcW w:w="1194" w:type="dxa"/>
            <w:vAlign w:val="center"/>
          </w:tcPr>
          <w:p w:rsidR="0004147D" w:rsidRDefault="005A6D6C">
            <w:pPr>
              <w:jc w:val="center"/>
            </w:pPr>
            <w:r>
              <w:rPr>
                <w:color w:val="000000"/>
                <w:sz w:val="24"/>
                <w:szCs w:val="24"/>
              </w:rPr>
              <w:t>-0.31%</w:t>
            </w:r>
          </w:p>
        </w:tc>
        <w:tc>
          <w:tcPr>
            <w:tcW w:w="898" w:type="dxa"/>
            <w:vAlign w:val="center"/>
          </w:tcPr>
          <w:p w:rsidR="0004147D" w:rsidRDefault="005A6D6C">
            <w:pPr>
              <w:jc w:val="center"/>
            </w:pPr>
            <w:r>
              <w:rPr>
                <w:color w:val="000000"/>
                <w:sz w:val="24"/>
                <w:szCs w:val="24"/>
              </w:rPr>
              <w:t>0.05%</w:t>
            </w:r>
          </w:p>
        </w:tc>
      </w:tr>
      <w:tr w:rsidR="0004147D">
        <w:trPr>
          <w:jc w:val="center"/>
        </w:trPr>
        <w:tc>
          <w:tcPr>
            <w:tcW w:w="1701" w:type="dxa"/>
            <w:vAlign w:val="center"/>
          </w:tcPr>
          <w:p w:rsidR="0004147D" w:rsidRDefault="005A6D6C">
            <w:pPr>
              <w:jc w:val="left"/>
            </w:pPr>
            <w:r>
              <w:rPr>
                <w:color w:val="000000"/>
                <w:sz w:val="24"/>
                <w:szCs w:val="24"/>
              </w:rPr>
              <w:t>过去六个月</w:t>
            </w:r>
          </w:p>
        </w:tc>
        <w:tc>
          <w:tcPr>
            <w:tcW w:w="1045" w:type="dxa"/>
            <w:vAlign w:val="center"/>
          </w:tcPr>
          <w:p w:rsidR="0004147D" w:rsidRDefault="005A6D6C">
            <w:pPr>
              <w:jc w:val="center"/>
            </w:pPr>
            <w:r>
              <w:rPr>
                <w:color w:val="000000"/>
                <w:sz w:val="24"/>
                <w:szCs w:val="24"/>
              </w:rPr>
              <w:t>1.58%</w:t>
            </w:r>
          </w:p>
        </w:tc>
        <w:tc>
          <w:tcPr>
            <w:tcW w:w="1344" w:type="dxa"/>
            <w:vAlign w:val="center"/>
          </w:tcPr>
          <w:p w:rsidR="0004147D" w:rsidRDefault="005A6D6C">
            <w:pPr>
              <w:jc w:val="center"/>
            </w:pPr>
            <w:r>
              <w:rPr>
                <w:color w:val="000000"/>
                <w:sz w:val="24"/>
                <w:szCs w:val="24"/>
              </w:rPr>
              <w:t>0.21%</w:t>
            </w:r>
          </w:p>
        </w:tc>
        <w:tc>
          <w:tcPr>
            <w:tcW w:w="1194" w:type="dxa"/>
            <w:vAlign w:val="center"/>
          </w:tcPr>
          <w:p w:rsidR="0004147D" w:rsidRDefault="005A6D6C">
            <w:pPr>
              <w:jc w:val="center"/>
            </w:pPr>
            <w:r>
              <w:rPr>
                <w:color w:val="000000"/>
                <w:sz w:val="24"/>
                <w:szCs w:val="24"/>
              </w:rPr>
              <w:t>1.64%</w:t>
            </w:r>
          </w:p>
        </w:tc>
        <w:tc>
          <w:tcPr>
            <w:tcW w:w="1492" w:type="dxa"/>
            <w:vAlign w:val="center"/>
          </w:tcPr>
          <w:p w:rsidR="0004147D" w:rsidRDefault="005A6D6C">
            <w:pPr>
              <w:jc w:val="center"/>
            </w:pPr>
            <w:r>
              <w:rPr>
                <w:color w:val="000000"/>
                <w:sz w:val="24"/>
                <w:szCs w:val="24"/>
              </w:rPr>
              <w:t>0.19%</w:t>
            </w:r>
          </w:p>
        </w:tc>
        <w:tc>
          <w:tcPr>
            <w:tcW w:w="1194" w:type="dxa"/>
            <w:vAlign w:val="center"/>
          </w:tcPr>
          <w:p w:rsidR="0004147D" w:rsidRDefault="005A6D6C">
            <w:pPr>
              <w:jc w:val="center"/>
            </w:pPr>
            <w:r>
              <w:rPr>
                <w:color w:val="000000"/>
                <w:sz w:val="24"/>
                <w:szCs w:val="24"/>
              </w:rPr>
              <w:t>-0.06%</w:t>
            </w:r>
          </w:p>
        </w:tc>
        <w:tc>
          <w:tcPr>
            <w:tcW w:w="898" w:type="dxa"/>
            <w:vAlign w:val="center"/>
          </w:tcPr>
          <w:p w:rsidR="0004147D" w:rsidRDefault="005A6D6C">
            <w:pPr>
              <w:jc w:val="center"/>
            </w:pPr>
            <w:r>
              <w:rPr>
                <w:color w:val="000000"/>
                <w:sz w:val="24"/>
                <w:szCs w:val="24"/>
              </w:rPr>
              <w:t>0.02%</w:t>
            </w:r>
          </w:p>
        </w:tc>
      </w:tr>
      <w:tr w:rsidR="0004147D">
        <w:trPr>
          <w:jc w:val="center"/>
        </w:trPr>
        <w:tc>
          <w:tcPr>
            <w:tcW w:w="1701" w:type="dxa"/>
            <w:vAlign w:val="center"/>
          </w:tcPr>
          <w:p w:rsidR="0004147D" w:rsidRDefault="005A6D6C">
            <w:pPr>
              <w:jc w:val="left"/>
            </w:pPr>
            <w:r>
              <w:rPr>
                <w:color w:val="000000"/>
                <w:sz w:val="24"/>
                <w:szCs w:val="24"/>
              </w:rPr>
              <w:t>过去一年</w:t>
            </w:r>
          </w:p>
        </w:tc>
        <w:tc>
          <w:tcPr>
            <w:tcW w:w="1045" w:type="dxa"/>
            <w:vAlign w:val="center"/>
          </w:tcPr>
          <w:p w:rsidR="0004147D" w:rsidRDefault="005A6D6C">
            <w:pPr>
              <w:jc w:val="center"/>
            </w:pPr>
            <w:r>
              <w:rPr>
                <w:color w:val="000000"/>
                <w:sz w:val="24"/>
                <w:szCs w:val="24"/>
              </w:rPr>
              <w:t>3.71%</w:t>
            </w:r>
          </w:p>
        </w:tc>
        <w:tc>
          <w:tcPr>
            <w:tcW w:w="1344" w:type="dxa"/>
            <w:vAlign w:val="center"/>
          </w:tcPr>
          <w:p w:rsidR="0004147D" w:rsidRDefault="005A6D6C">
            <w:pPr>
              <w:jc w:val="center"/>
            </w:pPr>
            <w:r>
              <w:rPr>
                <w:color w:val="000000"/>
                <w:sz w:val="24"/>
                <w:szCs w:val="24"/>
              </w:rPr>
              <w:t>0.23%</w:t>
            </w:r>
          </w:p>
        </w:tc>
        <w:tc>
          <w:tcPr>
            <w:tcW w:w="1194" w:type="dxa"/>
            <w:vAlign w:val="center"/>
          </w:tcPr>
          <w:p w:rsidR="0004147D" w:rsidRDefault="005A6D6C">
            <w:pPr>
              <w:jc w:val="center"/>
            </w:pPr>
            <w:r>
              <w:rPr>
                <w:color w:val="000000"/>
                <w:sz w:val="24"/>
                <w:szCs w:val="24"/>
              </w:rPr>
              <w:t>3.60%</w:t>
            </w:r>
          </w:p>
        </w:tc>
        <w:tc>
          <w:tcPr>
            <w:tcW w:w="1492" w:type="dxa"/>
            <w:vAlign w:val="center"/>
          </w:tcPr>
          <w:p w:rsidR="0004147D" w:rsidRDefault="005A6D6C">
            <w:pPr>
              <w:jc w:val="center"/>
            </w:pPr>
            <w:r>
              <w:rPr>
                <w:color w:val="000000"/>
                <w:sz w:val="24"/>
                <w:szCs w:val="24"/>
              </w:rPr>
              <w:t>0.22%</w:t>
            </w:r>
          </w:p>
        </w:tc>
        <w:tc>
          <w:tcPr>
            <w:tcW w:w="1194" w:type="dxa"/>
            <w:vAlign w:val="center"/>
          </w:tcPr>
          <w:p w:rsidR="0004147D" w:rsidRDefault="005A6D6C">
            <w:pPr>
              <w:jc w:val="center"/>
            </w:pPr>
            <w:r>
              <w:rPr>
                <w:color w:val="000000"/>
                <w:sz w:val="24"/>
                <w:szCs w:val="24"/>
              </w:rPr>
              <w:t>0.11%</w:t>
            </w:r>
          </w:p>
        </w:tc>
        <w:tc>
          <w:tcPr>
            <w:tcW w:w="898" w:type="dxa"/>
            <w:vAlign w:val="center"/>
          </w:tcPr>
          <w:p w:rsidR="0004147D" w:rsidRDefault="005A6D6C">
            <w:pPr>
              <w:jc w:val="center"/>
            </w:pPr>
            <w:r>
              <w:rPr>
                <w:color w:val="000000"/>
                <w:sz w:val="24"/>
                <w:szCs w:val="24"/>
              </w:rPr>
              <w:t>0.01%</w:t>
            </w:r>
          </w:p>
        </w:tc>
      </w:tr>
      <w:tr w:rsidR="0004147D">
        <w:trPr>
          <w:jc w:val="center"/>
        </w:trPr>
        <w:tc>
          <w:tcPr>
            <w:tcW w:w="1701" w:type="dxa"/>
            <w:vAlign w:val="center"/>
          </w:tcPr>
          <w:p w:rsidR="0004147D" w:rsidRDefault="005A6D6C">
            <w:pPr>
              <w:jc w:val="left"/>
            </w:pPr>
            <w:r>
              <w:rPr>
                <w:color w:val="000000"/>
                <w:sz w:val="24"/>
                <w:szCs w:val="24"/>
              </w:rPr>
              <w:t>过去三年</w:t>
            </w:r>
          </w:p>
        </w:tc>
        <w:tc>
          <w:tcPr>
            <w:tcW w:w="1045" w:type="dxa"/>
            <w:vAlign w:val="center"/>
          </w:tcPr>
          <w:p w:rsidR="0004147D" w:rsidRDefault="005A6D6C">
            <w:pPr>
              <w:jc w:val="center"/>
            </w:pPr>
            <w:r>
              <w:rPr>
                <w:color w:val="000000"/>
                <w:sz w:val="24"/>
                <w:szCs w:val="24"/>
              </w:rPr>
              <w:t>-</w:t>
            </w:r>
          </w:p>
        </w:tc>
        <w:tc>
          <w:tcPr>
            <w:tcW w:w="1344" w:type="dxa"/>
            <w:vAlign w:val="center"/>
          </w:tcPr>
          <w:p w:rsidR="0004147D" w:rsidRDefault="005A6D6C">
            <w:pPr>
              <w:jc w:val="center"/>
            </w:pPr>
            <w:r>
              <w:rPr>
                <w:color w:val="000000"/>
                <w:sz w:val="24"/>
                <w:szCs w:val="24"/>
              </w:rPr>
              <w:t>-</w:t>
            </w:r>
          </w:p>
        </w:tc>
        <w:tc>
          <w:tcPr>
            <w:tcW w:w="1194" w:type="dxa"/>
            <w:vAlign w:val="center"/>
          </w:tcPr>
          <w:p w:rsidR="0004147D" w:rsidRDefault="005A6D6C">
            <w:pPr>
              <w:jc w:val="center"/>
            </w:pPr>
            <w:r>
              <w:rPr>
                <w:color w:val="000000"/>
                <w:sz w:val="24"/>
                <w:szCs w:val="24"/>
              </w:rPr>
              <w:t>-</w:t>
            </w:r>
          </w:p>
        </w:tc>
        <w:tc>
          <w:tcPr>
            <w:tcW w:w="1492" w:type="dxa"/>
            <w:vAlign w:val="center"/>
          </w:tcPr>
          <w:p w:rsidR="0004147D" w:rsidRDefault="005A6D6C">
            <w:pPr>
              <w:jc w:val="center"/>
            </w:pPr>
            <w:r>
              <w:rPr>
                <w:color w:val="000000"/>
                <w:sz w:val="24"/>
                <w:szCs w:val="24"/>
              </w:rPr>
              <w:t>-</w:t>
            </w:r>
          </w:p>
        </w:tc>
        <w:tc>
          <w:tcPr>
            <w:tcW w:w="1194" w:type="dxa"/>
            <w:vAlign w:val="center"/>
          </w:tcPr>
          <w:p w:rsidR="0004147D" w:rsidRDefault="005A6D6C">
            <w:pPr>
              <w:jc w:val="center"/>
            </w:pPr>
            <w:r>
              <w:rPr>
                <w:color w:val="000000"/>
                <w:sz w:val="24"/>
                <w:szCs w:val="24"/>
              </w:rPr>
              <w:t>-</w:t>
            </w:r>
          </w:p>
        </w:tc>
        <w:tc>
          <w:tcPr>
            <w:tcW w:w="898" w:type="dxa"/>
            <w:vAlign w:val="center"/>
          </w:tcPr>
          <w:p w:rsidR="0004147D" w:rsidRDefault="005A6D6C">
            <w:pPr>
              <w:jc w:val="center"/>
            </w:pPr>
            <w:r>
              <w:rPr>
                <w:color w:val="000000"/>
                <w:sz w:val="24"/>
                <w:szCs w:val="24"/>
              </w:rPr>
              <w:t>-</w:t>
            </w:r>
          </w:p>
        </w:tc>
      </w:tr>
      <w:tr w:rsidR="0004147D">
        <w:trPr>
          <w:jc w:val="center"/>
        </w:trPr>
        <w:tc>
          <w:tcPr>
            <w:tcW w:w="1701" w:type="dxa"/>
            <w:vAlign w:val="center"/>
          </w:tcPr>
          <w:p w:rsidR="0004147D" w:rsidRDefault="005A6D6C">
            <w:pPr>
              <w:jc w:val="left"/>
            </w:pPr>
            <w:r>
              <w:rPr>
                <w:color w:val="000000"/>
                <w:sz w:val="24"/>
                <w:szCs w:val="24"/>
              </w:rPr>
              <w:t>过去五年</w:t>
            </w:r>
          </w:p>
        </w:tc>
        <w:tc>
          <w:tcPr>
            <w:tcW w:w="1045" w:type="dxa"/>
            <w:vAlign w:val="center"/>
          </w:tcPr>
          <w:p w:rsidR="0004147D" w:rsidRDefault="005A6D6C">
            <w:pPr>
              <w:jc w:val="center"/>
            </w:pPr>
            <w:r>
              <w:rPr>
                <w:color w:val="000000"/>
                <w:sz w:val="24"/>
                <w:szCs w:val="24"/>
              </w:rPr>
              <w:t>-</w:t>
            </w:r>
          </w:p>
        </w:tc>
        <w:tc>
          <w:tcPr>
            <w:tcW w:w="1344" w:type="dxa"/>
            <w:vAlign w:val="center"/>
          </w:tcPr>
          <w:p w:rsidR="0004147D" w:rsidRDefault="005A6D6C">
            <w:pPr>
              <w:jc w:val="center"/>
            </w:pPr>
            <w:r>
              <w:rPr>
                <w:color w:val="000000"/>
                <w:sz w:val="24"/>
                <w:szCs w:val="24"/>
              </w:rPr>
              <w:t>-</w:t>
            </w:r>
          </w:p>
        </w:tc>
        <w:tc>
          <w:tcPr>
            <w:tcW w:w="1194" w:type="dxa"/>
            <w:vAlign w:val="center"/>
          </w:tcPr>
          <w:p w:rsidR="0004147D" w:rsidRDefault="005A6D6C">
            <w:pPr>
              <w:jc w:val="center"/>
            </w:pPr>
            <w:r>
              <w:rPr>
                <w:color w:val="000000"/>
                <w:sz w:val="24"/>
                <w:szCs w:val="24"/>
              </w:rPr>
              <w:t>-</w:t>
            </w:r>
          </w:p>
        </w:tc>
        <w:tc>
          <w:tcPr>
            <w:tcW w:w="1492" w:type="dxa"/>
            <w:vAlign w:val="center"/>
          </w:tcPr>
          <w:p w:rsidR="0004147D" w:rsidRDefault="005A6D6C">
            <w:pPr>
              <w:jc w:val="center"/>
            </w:pPr>
            <w:r>
              <w:rPr>
                <w:color w:val="000000"/>
                <w:sz w:val="24"/>
                <w:szCs w:val="24"/>
              </w:rPr>
              <w:t>-</w:t>
            </w:r>
          </w:p>
        </w:tc>
        <w:tc>
          <w:tcPr>
            <w:tcW w:w="1194" w:type="dxa"/>
            <w:vAlign w:val="center"/>
          </w:tcPr>
          <w:p w:rsidR="0004147D" w:rsidRDefault="005A6D6C">
            <w:pPr>
              <w:jc w:val="center"/>
            </w:pPr>
            <w:r>
              <w:rPr>
                <w:color w:val="000000"/>
                <w:sz w:val="24"/>
                <w:szCs w:val="24"/>
              </w:rPr>
              <w:t>-</w:t>
            </w:r>
          </w:p>
        </w:tc>
        <w:tc>
          <w:tcPr>
            <w:tcW w:w="898" w:type="dxa"/>
            <w:vAlign w:val="center"/>
          </w:tcPr>
          <w:p w:rsidR="0004147D" w:rsidRDefault="005A6D6C">
            <w:pPr>
              <w:jc w:val="center"/>
            </w:pPr>
            <w:r>
              <w:rPr>
                <w:color w:val="000000"/>
                <w:sz w:val="24"/>
                <w:szCs w:val="24"/>
              </w:rPr>
              <w:t>-</w:t>
            </w:r>
          </w:p>
        </w:tc>
      </w:tr>
      <w:tr w:rsidR="0004147D">
        <w:trPr>
          <w:jc w:val="center"/>
        </w:trPr>
        <w:tc>
          <w:tcPr>
            <w:tcW w:w="1701" w:type="dxa"/>
            <w:vAlign w:val="center"/>
          </w:tcPr>
          <w:p w:rsidR="0004147D" w:rsidRDefault="005A6D6C">
            <w:pPr>
              <w:jc w:val="left"/>
            </w:pPr>
            <w:r>
              <w:rPr>
                <w:color w:val="000000"/>
                <w:sz w:val="24"/>
                <w:szCs w:val="24"/>
              </w:rPr>
              <w:t>自基金合同生效起至今</w:t>
            </w:r>
          </w:p>
        </w:tc>
        <w:tc>
          <w:tcPr>
            <w:tcW w:w="1045" w:type="dxa"/>
            <w:vAlign w:val="center"/>
          </w:tcPr>
          <w:p w:rsidR="0004147D" w:rsidRDefault="005A6D6C">
            <w:pPr>
              <w:jc w:val="center"/>
            </w:pPr>
            <w:r>
              <w:rPr>
                <w:color w:val="000000"/>
                <w:sz w:val="24"/>
                <w:szCs w:val="24"/>
              </w:rPr>
              <w:t>11.38%</w:t>
            </w:r>
          </w:p>
        </w:tc>
        <w:tc>
          <w:tcPr>
            <w:tcW w:w="1344" w:type="dxa"/>
            <w:vAlign w:val="center"/>
          </w:tcPr>
          <w:p w:rsidR="0004147D" w:rsidRDefault="005A6D6C">
            <w:pPr>
              <w:jc w:val="center"/>
            </w:pPr>
            <w:r>
              <w:rPr>
                <w:color w:val="000000"/>
                <w:sz w:val="24"/>
                <w:szCs w:val="24"/>
              </w:rPr>
              <w:t>0.25%</w:t>
            </w:r>
          </w:p>
        </w:tc>
        <w:tc>
          <w:tcPr>
            <w:tcW w:w="1194" w:type="dxa"/>
            <w:vAlign w:val="center"/>
          </w:tcPr>
          <w:p w:rsidR="0004147D" w:rsidRDefault="005A6D6C">
            <w:pPr>
              <w:jc w:val="center"/>
            </w:pPr>
            <w:r>
              <w:rPr>
                <w:color w:val="000000"/>
                <w:sz w:val="24"/>
                <w:szCs w:val="24"/>
              </w:rPr>
              <w:t>9.12%</w:t>
            </w:r>
          </w:p>
        </w:tc>
        <w:tc>
          <w:tcPr>
            <w:tcW w:w="1492" w:type="dxa"/>
            <w:vAlign w:val="center"/>
          </w:tcPr>
          <w:p w:rsidR="0004147D" w:rsidRDefault="005A6D6C">
            <w:pPr>
              <w:jc w:val="center"/>
            </w:pPr>
            <w:r>
              <w:rPr>
                <w:color w:val="000000"/>
                <w:sz w:val="24"/>
                <w:szCs w:val="24"/>
              </w:rPr>
              <w:t>0.23%</w:t>
            </w:r>
          </w:p>
        </w:tc>
        <w:tc>
          <w:tcPr>
            <w:tcW w:w="1194" w:type="dxa"/>
            <w:vAlign w:val="center"/>
          </w:tcPr>
          <w:p w:rsidR="0004147D" w:rsidRDefault="005A6D6C">
            <w:pPr>
              <w:jc w:val="center"/>
            </w:pPr>
            <w:r>
              <w:rPr>
                <w:color w:val="000000"/>
                <w:sz w:val="24"/>
                <w:szCs w:val="24"/>
              </w:rPr>
              <w:t>2.26%</w:t>
            </w:r>
          </w:p>
        </w:tc>
        <w:tc>
          <w:tcPr>
            <w:tcW w:w="898" w:type="dxa"/>
            <w:vAlign w:val="center"/>
          </w:tcPr>
          <w:p w:rsidR="0004147D" w:rsidRDefault="005A6D6C">
            <w:pPr>
              <w:jc w:val="center"/>
            </w:pPr>
            <w:r>
              <w:rPr>
                <w:color w:val="000000"/>
                <w:sz w:val="24"/>
                <w:szCs w:val="24"/>
              </w:rPr>
              <w:t>0.02%</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上投摩根锦程稳健养老目标一年持有期混合型基金中基金</w:t>
      </w:r>
      <w:r w:rsidRPr="00414345">
        <w:rPr>
          <w:color w:val="000000"/>
          <w:sz w:val="24"/>
          <w:szCs w:val="24"/>
        </w:rPr>
        <w:t>(FOF)</w:t>
      </w:r>
    </w:p>
    <w:p w:rsidR="004061AC" w:rsidRPr="00414345" w:rsidRDefault="00B56F53"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6"/>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2020</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4</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23</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2021</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12</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14:anchorId="701EE165" wp14:editId="6BB9C99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04147D" w:rsidRDefault="005A6D6C">
      <w:pPr>
        <w:autoSpaceDE w:val="0"/>
        <w:autoSpaceDN w:val="0"/>
        <w:adjustRightInd w:val="0"/>
        <w:spacing w:before="29" w:line="288" w:lineRule="auto"/>
        <w:jc w:val="left"/>
        <w:rPr>
          <w:color w:val="000000"/>
          <w:sz w:val="24"/>
          <w:szCs w:val="24"/>
        </w:rPr>
      </w:pPr>
      <w:r>
        <w:rPr>
          <w:color w:val="000000"/>
          <w:sz w:val="24"/>
          <w:szCs w:val="24"/>
        </w:rPr>
        <w:t>注：本基金合同生效日为</w:t>
      </w:r>
      <w:r>
        <w:rPr>
          <w:color w:val="000000"/>
          <w:sz w:val="24"/>
          <w:szCs w:val="24"/>
        </w:rPr>
        <w:t>2020</w:t>
      </w:r>
      <w:r>
        <w:rPr>
          <w:color w:val="000000"/>
          <w:sz w:val="24"/>
          <w:szCs w:val="24"/>
        </w:rPr>
        <w:t>年</w:t>
      </w:r>
      <w:r>
        <w:rPr>
          <w:color w:val="000000"/>
          <w:sz w:val="24"/>
          <w:szCs w:val="24"/>
        </w:rPr>
        <w:t>4</w:t>
      </w:r>
      <w:r>
        <w:rPr>
          <w:color w:val="000000"/>
          <w:sz w:val="24"/>
          <w:szCs w:val="24"/>
        </w:rPr>
        <w:t>月</w:t>
      </w:r>
      <w:r>
        <w:rPr>
          <w:color w:val="000000"/>
          <w:sz w:val="24"/>
          <w:szCs w:val="24"/>
        </w:rPr>
        <w:t>23</w:t>
      </w:r>
      <w:r>
        <w:rPr>
          <w:color w:val="000000"/>
          <w:sz w:val="24"/>
          <w:szCs w:val="24"/>
        </w:rPr>
        <w:t>日，图示的时间段为合同生效日至本报告期末。</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本基金建仓期为本基金合同生效日起</w:t>
      </w:r>
      <w:r w:rsidRPr="00414345">
        <w:rPr>
          <w:color w:val="000000"/>
          <w:sz w:val="24"/>
          <w:szCs w:val="24"/>
        </w:rPr>
        <w:t>6</w:t>
      </w:r>
      <w:r w:rsidRPr="00414345">
        <w:rPr>
          <w:color w:val="000000"/>
          <w:sz w:val="24"/>
          <w:szCs w:val="24"/>
        </w:rPr>
        <w:t>个月，建仓期结束时资产配置比例符合本基金基金合同规定。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627E2D" w:rsidRPr="00414345" w:rsidRDefault="00627E2D" w:rsidP="00C15CAC">
      <w:pPr>
        <w:autoSpaceDE w:val="0"/>
        <w:autoSpaceDN w:val="0"/>
        <w:adjustRightInd w:val="0"/>
        <w:spacing w:before="29" w:line="288" w:lineRule="auto"/>
        <w:jc w:val="left"/>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04147D">
        <w:trPr>
          <w:jc w:val="center"/>
        </w:trPr>
        <w:tc>
          <w:tcPr>
            <w:tcW w:w="846" w:type="dxa"/>
            <w:vAlign w:val="center"/>
          </w:tcPr>
          <w:p w:rsidR="0004147D" w:rsidRDefault="005A6D6C">
            <w:pPr>
              <w:jc w:val="center"/>
            </w:pPr>
            <w:r>
              <w:rPr>
                <w:color w:val="000000"/>
                <w:sz w:val="24"/>
                <w:szCs w:val="24"/>
              </w:rPr>
              <w:t>杜习杰</w:t>
            </w:r>
          </w:p>
        </w:tc>
        <w:tc>
          <w:tcPr>
            <w:tcW w:w="845" w:type="dxa"/>
            <w:vAlign w:val="center"/>
          </w:tcPr>
          <w:p w:rsidR="0004147D" w:rsidRDefault="005A6D6C">
            <w:pPr>
              <w:jc w:val="center"/>
            </w:pPr>
            <w:r>
              <w:rPr>
                <w:color w:val="000000"/>
                <w:sz w:val="24"/>
                <w:szCs w:val="24"/>
              </w:rPr>
              <w:t>本基金基金经理</w:t>
            </w:r>
          </w:p>
        </w:tc>
        <w:tc>
          <w:tcPr>
            <w:tcW w:w="1549" w:type="dxa"/>
            <w:vAlign w:val="center"/>
          </w:tcPr>
          <w:p w:rsidR="0004147D" w:rsidRDefault="005A6D6C">
            <w:pPr>
              <w:jc w:val="center"/>
            </w:pPr>
            <w:r>
              <w:rPr>
                <w:color w:val="000000"/>
                <w:sz w:val="24"/>
                <w:szCs w:val="24"/>
              </w:rPr>
              <w:t>2020-04-23</w:t>
            </w:r>
          </w:p>
        </w:tc>
        <w:tc>
          <w:tcPr>
            <w:tcW w:w="1548" w:type="dxa"/>
            <w:vAlign w:val="center"/>
          </w:tcPr>
          <w:p w:rsidR="0004147D" w:rsidRDefault="005A6D6C">
            <w:pPr>
              <w:jc w:val="center"/>
            </w:pPr>
            <w:r>
              <w:rPr>
                <w:color w:val="000000"/>
                <w:sz w:val="24"/>
                <w:szCs w:val="24"/>
              </w:rPr>
              <w:t>-</w:t>
            </w:r>
          </w:p>
        </w:tc>
        <w:tc>
          <w:tcPr>
            <w:tcW w:w="1407" w:type="dxa"/>
            <w:vAlign w:val="center"/>
          </w:tcPr>
          <w:p w:rsidR="0004147D" w:rsidRDefault="005A6D6C">
            <w:pPr>
              <w:jc w:val="center"/>
            </w:pPr>
            <w:r>
              <w:rPr>
                <w:color w:val="000000"/>
                <w:sz w:val="24"/>
                <w:szCs w:val="24"/>
              </w:rPr>
              <w:t>13</w:t>
            </w:r>
            <w:r>
              <w:rPr>
                <w:color w:val="000000"/>
                <w:sz w:val="24"/>
                <w:szCs w:val="24"/>
              </w:rPr>
              <w:t>年</w:t>
            </w:r>
          </w:p>
        </w:tc>
        <w:tc>
          <w:tcPr>
            <w:tcW w:w="2673" w:type="dxa"/>
            <w:vAlign w:val="center"/>
          </w:tcPr>
          <w:p w:rsidR="0004147D" w:rsidRDefault="005A6D6C">
            <w:r>
              <w:rPr>
                <w:color w:val="000000"/>
                <w:sz w:val="24"/>
                <w:szCs w:val="24"/>
              </w:rPr>
              <w:t>杜习杰先生，上海财经大学金融学硕士。自</w:t>
            </w:r>
            <w:r>
              <w:rPr>
                <w:color w:val="000000"/>
                <w:sz w:val="24"/>
                <w:szCs w:val="24"/>
              </w:rPr>
              <w:t>2008</w:t>
            </w:r>
            <w:r>
              <w:rPr>
                <w:color w:val="000000"/>
                <w:sz w:val="24"/>
                <w:szCs w:val="24"/>
              </w:rPr>
              <w:t>年</w:t>
            </w:r>
            <w:r>
              <w:rPr>
                <w:color w:val="000000"/>
                <w:sz w:val="24"/>
                <w:szCs w:val="24"/>
              </w:rPr>
              <w:t>7</w:t>
            </w:r>
            <w:r>
              <w:rPr>
                <w:color w:val="000000"/>
                <w:sz w:val="24"/>
                <w:szCs w:val="24"/>
              </w:rPr>
              <w:t>月至</w:t>
            </w:r>
            <w:r>
              <w:rPr>
                <w:color w:val="000000"/>
                <w:sz w:val="24"/>
                <w:szCs w:val="24"/>
              </w:rPr>
              <w:t>2011</w:t>
            </w:r>
            <w:r>
              <w:rPr>
                <w:color w:val="000000"/>
                <w:sz w:val="24"/>
                <w:szCs w:val="24"/>
              </w:rPr>
              <w:t>年</w:t>
            </w:r>
            <w:r>
              <w:rPr>
                <w:color w:val="000000"/>
                <w:sz w:val="24"/>
                <w:szCs w:val="24"/>
              </w:rPr>
              <w:t>5</w:t>
            </w:r>
            <w:r>
              <w:rPr>
                <w:color w:val="000000"/>
                <w:sz w:val="24"/>
                <w:szCs w:val="24"/>
              </w:rPr>
              <w:t>月在长信基金任研究员；</w:t>
            </w:r>
            <w:r>
              <w:rPr>
                <w:color w:val="000000"/>
                <w:sz w:val="24"/>
                <w:szCs w:val="24"/>
              </w:rPr>
              <w:t>2011</w:t>
            </w:r>
            <w:r>
              <w:rPr>
                <w:color w:val="000000"/>
                <w:sz w:val="24"/>
                <w:szCs w:val="24"/>
              </w:rPr>
              <w:t>年</w:t>
            </w:r>
            <w:r>
              <w:rPr>
                <w:color w:val="000000"/>
                <w:sz w:val="24"/>
                <w:szCs w:val="24"/>
              </w:rPr>
              <w:t>6</w:t>
            </w:r>
            <w:r>
              <w:rPr>
                <w:color w:val="000000"/>
                <w:sz w:val="24"/>
                <w:szCs w:val="24"/>
              </w:rPr>
              <w:t>月起加入</w:t>
            </w:r>
            <w:r>
              <w:rPr>
                <w:color w:val="000000"/>
                <w:sz w:val="24"/>
                <w:szCs w:val="24"/>
              </w:rPr>
              <w:lastRenderedPageBreak/>
              <w:t>上投摩根基金管理有限公司，历任研究员、投资经理兼研究员，现任组合基金投资部基金经理。自</w:t>
            </w:r>
            <w:r>
              <w:rPr>
                <w:color w:val="000000"/>
                <w:sz w:val="24"/>
                <w:szCs w:val="24"/>
              </w:rPr>
              <w:t>2019</w:t>
            </w:r>
            <w:r>
              <w:rPr>
                <w:color w:val="000000"/>
                <w:sz w:val="24"/>
                <w:szCs w:val="24"/>
              </w:rPr>
              <w:t>年</w:t>
            </w:r>
            <w:r>
              <w:rPr>
                <w:color w:val="000000"/>
                <w:sz w:val="24"/>
                <w:szCs w:val="24"/>
              </w:rPr>
              <w:t>9</w:t>
            </w:r>
            <w:r>
              <w:rPr>
                <w:color w:val="000000"/>
                <w:sz w:val="24"/>
                <w:szCs w:val="24"/>
              </w:rPr>
              <w:t>月起担任上投摩根锦程均衡养老目标三年持有期混合型基金中基金（</w:t>
            </w:r>
            <w:r>
              <w:rPr>
                <w:color w:val="000000"/>
                <w:sz w:val="24"/>
                <w:szCs w:val="24"/>
              </w:rPr>
              <w:t>FOF</w:t>
            </w:r>
            <w:r>
              <w:rPr>
                <w:color w:val="000000"/>
                <w:sz w:val="24"/>
                <w:szCs w:val="24"/>
              </w:rPr>
              <w:t>）基金经理，自</w:t>
            </w:r>
            <w:r>
              <w:rPr>
                <w:color w:val="000000"/>
                <w:sz w:val="24"/>
                <w:szCs w:val="24"/>
              </w:rPr>
              <w:t>2020</w:t>
            </w:r>
            <w:r>
              <w:rPr>
                <w:color w:val="000000"/>
                <w:sz w:val="24"/>
                <w:szCs w:val="24"/>
              </w:rPr>
              <w:t>年</w:t>
            </w:r>
            <w:r>
              <w:rPr>
                <w:color w:val="000000"/>
                <w:sz w:val="24"/>
                <w:szCs w:val="24"/>
              </w:rPr>
              <w:t>4</w:t>
            </w:r>
            <w:r>
              <w:rPr>
                <w:color w:val="000000"/>
                <w:sz w:val="24"/>
                <w:szCs w:val="24"/>
              </w:rPr>
              <w:t>月起同时担任上投摩根锦程稳健养老目标一年持有期混合型基金中基金</w:t>
            </w:r>
            <w:r>
              <w:rPr>
                <w:color w:val="000000"/>
                <w:sz w:val="24"/>
                <w:szCs w:val="24"/>
              </w:rPr>
              <w:t>(FOF)</w:t>
            </w:r>
            <w:r>
              <w:rPr>
                <w:color w:val="000000"/>
                <w:sz w:val="24"/>
                <w:szCs w:val="24"/>
              </w:rPr>
              <w:t>基金经理及上投摩根锦程积极成长养老目标五年持有期混合型发起式基金中基金</w:t>
            </w:r>
            <w:r>
              <w:rPr>
                <w:color w:val="000000"/>
                <w:sz w:val="24"/>
                <w:szCs w:val="24"/>
              </w:rPr>
              <w:t xml:space="preserve">(FOF) </w:t>
            </w:r>
            <w:r>
              <w:rPr>
                <w:color w:val="000000"/>
                <w:sz w:val="24"/>
                <w:szCs w:val="24"/>
              </w:rPr>
              <w:t>基金经理，自</w:t>
            </w:r>
            <w:r>
              <w:rPr>
                <w:color w:val="000000"/>
                <w:sz w:val="24"/>
                <w:szCs w:val="24"/>
              </w:rPr>
              <w:t>2020</w:t>
            </w:r>
            <w:r>
              <w:rPr>
                <w:color w:val="000000"/>
                <w:sz w:val="24"/>
                <w:szCs w:val="24"/>
              </w:rPr>
              <w:t>年</w:t>
            </w:r>
            <w:r>
              <w:rPr>
                <w:color w:val="000000"/>
                <w:sz w:val="24"/>
                <w:szCs w:val="24"/>
              </w:rPr>
              <w:t>12</w:t>
            </w:r>
            <w:r>
              <w:rPr>
                <w:color w:val="000000"/>
                <w:sz w:val="24"/>
                <w:szCs w:val="24"/>
              </w:rPr>
              <w:t>月起同时担任上投摩根尚睿混合型基金中基金</w:t>
            </w:r>
            <w:r>
              <w:rPr>
                <w:color w:val="000000"/>
                <w:sz w:val="24"/>
                <w:szCs w:val="24"/>
              </w:rPr>
              <w:t>(FOF)</w:t>
            </w:r>
            <w:r>
              <w:rPr>
                <w:color w:val="000000"/>
                <w:sz w:val="24"/>
                <w:szCs w:val="24"/>
              </w:rPr>
              <w:t>基金经理。</w:t>
            </w:r>
          </w:p>
        </w:tc>
      </w:tr>
    </w:tbl>
    <w:p w:rsidR="0004147D" w:rsidRDefault="005A6D6C">
      <w:pPr>
        <w:autoSpaceDE w:val="0"/>
        <w:autoSpaceDN w:val="0"/>
        <w:adjustRightInd w:val="0"/>
        <w:spacing w:before="29" w:line="288" w:lineRule="auto"/>
        <w:jc w:val="left"/>
        <w:rPr>
          <w:color w:val="000000"/>
          <w:sz w:val="24"/>
          <w:szCs w:val="24"/>
        </w:rPr>
      </w:pPr>
      <w:r>
        <w:rPr>
          <w:color w:val="000000"/>
          <w:sz w:val="24"/>
          <w:szCs w:val="24"/>
        </w:rPr>
        <w:lastRenderedPageBreak/>
        <w:t>注：</w:t>
      </w:r>
      <w:r>
        <w:rPr>
          <w:color w:val="000000"/>
          <w:sz w:val="24"/>
          <w:szCs w:val="24"/>
        </w:rPr>
        <w:t xml:space="preserve">1. </w:t>
      </w:r>
      <w:r>
        <w:rPr>
          <w:color w:val="000000"/>
          <w:sz w:val="24"/>
          <w:szCs w:val="24"/>
        </w:rPr>
        <w:t>任职日期和离任日期均指根据公司决定确定的聘任日期和解聘日期。</w:t>
      </w:r>
    </w:p>
    <w:p w:rsidR="0004147D" w:rsidRDefault="005A6D6C">
      <w:pPr>
        <w:autoSpaceDE w:val="0"/>
        <w:autoSpaceDN w:val="0"/>
        <w:adjustRightInd w:val="0"/>
        <w:spacing w:before="29" w:line="288" w:lineRule="auto"/>
        <w:jc w:val="left"/>
        <w:rPr>
          <w:color w:val="000000"/>
          <w:sz w:val="24"/>
          <w:szCs w:val="24"/>
        </w:rPr>
      </w:pPr>
      <w:r>
        <w:rPr>
          <w:color w:val="000000"/>
          <w:sz w:val="24"/>
          <w:szCs w:val="24"/>
        </w:rPr>
        <w:t xml:space="preserve">2. </w:t>
      </w:r>
      <w:r>
        <w:rPr>
          <w:color w:val="000000"/>
          <w:sz w:val="24"/>
          <w:szCs w:val="24"/>
        </w:rPr>
        <w:t>杜习杰先生为本基金首任基金经理，其任职日期为本基金基金合同生效之日；</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3. </w:t>
      </w:r>
      <w:r w:rsidRPr="00414345">
        <w:rPr>
          <w:color w:val="000000"/>
          <w:sz w:val="24"/>
          <w:szCs w:val="24"/>
        </w:rPr>
        <w:t>证券从业的含义遵从行业协会《证券业从业人员资格管理办法》的相关规定。</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本报告期内，基金管理人不存在损害基金份额持有人利益的行为，勤勉尽责地为基金份额持有人谋求利益。基金管理人遵守了《证券投资基金法》及其他有关法律法规、《上投摩根锦程稳健养老目标一年持有期混合型基金中基金</w:t>
      </w:r>
      <w:r w:rsidRPr="00414345">
        <w:rPr>
          <w:color w:val="000000"/>
          <w:sz w:val="24"/>
          <w:szCs w:val="24"/>
        </w:rPr>
        <w:t>(FOF)</w:t>
      </w:r>
      <w:r w:rsidRPr="00414345">
        <w:rPr>
          <w:color w:val="000000"/>
          <w:sz w:val="24"/>
          <w:szCs w:val="24"/>
        </w:rPr>
        <w:t>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04147D" w:rsidRDefault="005A6D6C">
      <w:pPr>
        <w:spacing w:before="29" w:line="288" w:lineRule="auto"/>
        <w:ind w:firstLineChars="200" w:firstLine="480"/>
        <w:rPr>
          <w:color w:val="000000"/>
          <w:sz w:val="24"/>
          <w:szCs w:val="24"/>
        </w:rPr>
      </w:pPr>
      <w:r>
        <w:rPr>
          <w:color w:val="000000"/>
          <w:sz w:val="24"/>
          <w:szCs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4147D" w:rsidRDefault="005A6D6C">
      <w:pPr>
        <w:spacing w:before="29" w:line="288" w:lineRule="auto"/>
        <w:ind w:firstLineChars="200" w:firstLine="480"/>
        <w:rPr>
          <w:color w:val="000000"/>
          <w:sz w:val="24"/>
          <w:szCs w:val="24"/>
        </w:rPr>
      </w:pPr>
      <w:r>
        <w:rPr>
          <w:color w:val="000000"/>
          <w:sz w:val="24"/>
          <w:szCs w:val="24"/>
        </w:rPr>
        <w:t>对于交易所市场投资活动，本公司执行集中交易制度，确保不同投资组合在买卖同</w:t>
      </w:r>
      <w:r>
        <w:rPr>
          <w:color w:val="000000"/>
          <w:sz w:val="24"/>
          <w:szCs w:val="24"/>
        </w:rPr>
        <w:lastRenderedPageBreak/>
        <w:t>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报告期内，通过对不同投资组合之间的收益率差异比较、对同向交易和反向交易的交易时机和交易价差监控分析，未发现整体公平交易执行出现异常的情况。</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04147D" w:rsidRDefault="005A6D6C">
      <w:pPr>
        <w:spacing w:before="29" w:line="288" w:lineRule="auto"/>
        <w:ind w:firstLineChars="200" w:firstLine="480"/>
        <w:rPr>
          <w:color w:val="000000"/>
          <w:sz w:val="24"/>
          <w:szCs w:val="24"/>
        </w:rPr>
      </w:pPr>
      <w:r>
        <w:rPr>
          <w:color w:val="000000"/>
          <w:sz w:val="24"/>
          <w:szCs w:val="24"/>
        </w:rPr>
        <w:t>报告期内，通过对交易价格、交易时间、交易方向等的分析，未发现有可能导致不公平交易和利益输送的异常交易行为。</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所有投资组合参与的交易所公开竞价同日反向交易成交较少的单边交易量超过该证券当日成交量的</w:t>
      </w:r>
      <w:r w:rsidRPr="00414345">
        <w:rPr>
          <w:color w:val="000000"/>
          <w:sz w:val="24"/>
          <w:szCs w:val="24"/>
        </w:rPr>
        <w:t>5%</w:t>
      </w:r>
      <w:r w:rsidRPr="00414345">
        <w:rPr>
          <w:color w:val="000000"/>
          <w:sz w:val="24"/>
          <w:szCs w:val="24"/>
        </w:rPr>
        <w:t>的情形：无。</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04147D" w:rsidRDefault="005A6D6C">
      <w:pPr>
        <w:spacing w:before="29" w:line="288" w:lineRule="auto"/>
        <w:ind w:firstLineChars="200" w:firstLine="480"/>
        <w:rPr>
          <w:color w:val="000000"/>
          <w:sz w:val="24"/>
          <w:szCs w:val="24"/>
        </w:rPr>
      </w:pPr>
      <w:r>
        <w:rPr>
          <w:color w:val="000000"/>
          <w:sz w:val="24"/>
          <w:szCs w:val="24"/>
        </w:rPr>
        <w:t>回顾四季度，经济下行压力较大已被市场充分预期，央行适度降准降息，稳增长的政策持续加码。政策推出的力度和节奏成为市场关注的焦点。临近年底市场资金博弈的氛围较浓，严格监管北上资金的政策压低了市场风险偏好。高估值的行业和板块波动较大。国内权益本季度小幅上涨，成长风格跑赢价值风格，小市值风格有较好的表现。海外虽有疫情的扰动，但是经济复苏依然明确，欧美权益市场大幅上涨。发达市场</w:t>
      </w:r>
      <w:r>
        <w:rPr>
          <w:color w:val="000000"/>
          <w:sz w:val="24"/>
          <w:szCs w:val="24"/>
        </w:rPr>
        <w:t>REITs</w:t>
      </w:r>
      <w:r>
        <w:rPr>
          <w:color w:val="000000"/>
          <w:sz w:val="24"/>
          <w:szCs w:val="24"/>
        </w:rPr>
        <w:t>在基本面改善的驱动下表现突出。</w:t>
      </w:r>
      <w:r>
        <w:rPr>
          <w:color w:val="000000"/>
          <w:sz w:val="24"/>
          <w:szCs w:val="24"/>
        </w:rPr>
        <w:t xml:space="preserve"> </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近期制造业</w:t>
      </w:r>
      <w:r w:rsidRPr="00414345">
        <w:rPr>
          <w:color w:val="000000"/>
          <w:sz w:val="24"/>
          <w:szCs w:val="24"/>
        </w:rPr>
        <w:t>PMI</w:t>
      </w:r>
      <w:r w:rsidRPr="00414345">
        <w:rPr>
          <w:color w:val="000000"/>
          <w:sz w:val="24"/>
          <w:szCs w:val="24"/>
        </w:rPr>
        <w:t>连续</w:t>
      </w:r>
      <w:r w:rsidRPr="00414345">
        <w:rPr>
          <w:color w:val="000000"/>
          <w:sz w:val="24"/>
          <w:szCs w:val="24"/>
        </w:rPr>
        <w:t>2</w:t>
      </w:r>
      <w:r w:rsidRPr="00414345">
        <w:rPr>
          <w:color w:val="000000"/>
          <w:sz w:val="24"/>
          <w:szCs w:val="24"/>
        </w:rPr>
        <w:t>个月回升，虽然经济有较大的下行压力，但是宽松的货币政策和积极的财政政策发力会适当靠前。市场的整体预期也在逐步转好，制造业的景气度大概率会得到一定的延续。财政政策有较大的发力空间，基建特别是和新基建相关的行业和板块具有一定的投资机会。在目前国内经济和政策环境下债券收益率大概率维持在低位，对信用债仍旧保持谨慎态度。美国经济复苏明确，通胀和美联储的政策将带来较高的不确定性，但长期依旧对美国权益保持乐观。发达市场</w:t>
      </w:r>
      <w:r w:rsidRPr="00414345">
        <w:rPr>
          <w:color w:val="000000"/>
          <w:sz w:val="24"/>
          <w:szCs w:val="24"/>
        </w:rPr>
        <w:t>REITs</w:t>
      </w:r>
      <w:r w:rsidRPr="00414345">
        <w:rPr>
          <w:color w:val="000000"/>
          <w:sz w:val="24"/>
          <w:szCs w:val="24"/>
        </w:rPr>
        <w:t>基本面持续改善，在通胀的环境中预计将会有不错的表现，美债收益率过快上升会对其表现造成一定的波动。</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本报告期上投摩根锦程稳健养老一年持有混合</w:t>
      </w:r>
      <w:r w:rsidRPr="00414345">
        <w:rPr>
          <w:color w:val="000000"/>
          <w:sz w:val="24"/>
          <w:szCs w:val="24"/>
        </w:rPr>
        <w:t>(FOF)</w:t>
      </w:r>
      <w:r w:rsidRPr="00414345">
        <w:rPr>
          <w:color w:val="000000"/>
          <w:sz w:val="24"/>
          <w:szCs w:val="24"/>
        </w:rPr>
        <w:t>份额净值增长率为</w:t>
      </w:r>
      <w:r w:rsidRPr="00414345">
        <w:rPr>
          <w:color w:val="000000"/>
          <w:sz w:val="24"/>
          <w:szCs w:val="24"/>
        </w:rPr>
        <w:t>:0.98%</w:t>
      </w:r>
      <w:r w:rsidRPr="00414345">
        <w:rPr>
          <w:color w:val="000000"/>
          <w:sz w:val="24"/>
          <w:szCs w:val="24"/>
        </w:rPr>
        <w:t>，同期业绩比较基准收益率为</w:t>
      </w:r>
      <w:r w:rsidRPr="00414345">
        <w:rPr>
          <w:color w:val="000000"/>
          <w:sz w:val="24"/>
          <w:szCs w:val="24"/>
        </w:rPr>
        <w:t>:1.29%</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无。</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lastRenderedPageBreak/>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f2"/>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88,727,075.54</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89.70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4,877,125.80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4.93</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4,877,125.80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4.93</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2,800,000.00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2.83</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1,486,784.77</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1.50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1,020,063.51</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1.03</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98,911,049.62</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E133DE" w:rsidRPr="00E133DE" w:rsidRDefault="004061AC" w:rsidP="00C15CAC">
      <w:pPr>
        <w:autoSpaceDE w:val="0"/>
        <w:autoSpaceDN w:val="0"/>
        <w:adjustRightInd w:val="0"/>
        <w:spacing w:before="29" w:line="288" w:lineRule="auto"/>
        <w:jc w:val="left"/>
        <w:rPr>
          <w:b/>
          <w:bCs/>
          <w:kern w:val="0"/>
          <w:sz w:val="24"/>
          <w:szCs w:val="24"/>
        </w:rPr>
      </w:pPr>
      <w:r w:rsidRPr="00E133DE">
        <w:rPr>
          <w:b/>
          <w:bCs/>
          <w:kern w:val="0"/>
          <w:sz w:val="24"/>
          <w:szCs w:val="24"/>
        </w:rPr>
        <w:t xml:space="preserve">5.3 </w:t>
      </w:r>
      <w:r w:rsidR="00E133DE" w:rsidRPr="00E133DE">
        <w:rPr>
          <w:rFonts w:asciiTheme="minorEastAsia" w:eastAsiaTheme="minorEastAsia" w:hAnsiTheme="minorEastAsia" w:hint="eastAsia"/>
          <w:b/>
          <w:bCs/>
          <w:kern w:val="0"/>
          <w:sz w:val="24"/>
          <w:szCs w:val="24"/>
        </w:rPr>
        <w:t>期末按公允价值占基金资产净值比例大小排序的股票投资明细</w:t>
      </w:r>
      <w:r w:rsidR="00E133DE" w:rsidRPr="00E133DE">
        <w:rPr>
          <w:rFonts w:asciiTheme="minorEastAsia" w:eastAsiaTheme="minorEastAsia" w:hAnsiTheme="minorEastAsia" w:hint="eastAsia"/>
          <w:b/>
          <w:bCs/>
          <w:kern w:val="0"/>
          <w:sz w:val="24"/>
          <w:szCs w:val="24"/>
        </w:rPr>
        <w:cr/>
      </w:r>
    </w:p>
    <w:p w:rsidR="004061AC" w:rsidRPr="00E133DE" w:rsidRDefault="00E133DE" w:rsidP="00C15CAC">
      <w:pPr>
        <w:autoSpaceDE w:val="0"/>
        <w:autoSpaceDN w:val="0"/>
        <w:adjustRightInd w:val="0"/>
        <w:spacing w:before="29" w:line="288" w:lineRule="auto"/>
        <w:jc w:val="left"/>
        <w:rPr>
          <w:b/>
          <w:bCs/>
          <w:kern w:val="0"/>
          <w:sz w:val="24"/>
          <w:szCs w:val="24"/>
        </w:rPr>
      </w:pPr>
      <w:r w:rsidRPr="00E133DE">
        <w:rPr>
          <w:rFonts w:eastAsiaTheme="minorEastAsia"/>
          <w:b/>
          <w:bCs/>
          <w:kern w:val="0"/>
          <w:sz w:val="24"/>
          <w:szCs w:val="24"/>
        </w:rPr>
        <w:t xml:space="preserve">5.3.1 </w:t>
      </w:r>
      <w:r w:rsidR="004061AC" w:rsidRPr="00E133DE">
        <w:rPr>
          <w:b/>
          <w:bCs/>
          <w:kern w:val="0"/>
          <w:sz w:val="24"/>
          <w:szCs w:val="24"/>
        </w:rPr>
        <w:t>报告期末按公允价值占基金资产净值比例大小排序的前十名股票投资明细</w:t>
      </w:r>
    </w:p>
    <w:p w:rsidR="004061AC" w:rsidRPr="00E133DE" w:rsidRDefault="004061AC" w:rsidP="00C15CAC">
      <w:pPr>
        <w:autoSpaceDE w:val="0"/>
        <w:autoSpaceDN w:val="0"/>
        <w:adjustRightInd w:val="0"/>
        <w:spacing w:before="29" w:line="288" w:lineRule="auto"/>
        <w:jc w:val="left"/>
        <w:rPr>
          <w:sz w:val="24"/>
          <w:szCs w:val="24"/>
        </w:rPr>
      </w:pPr>
      <w:r w:rsidRPr="00E133DE">
        <w:rPr>
          <w:sz w:val="24"/>
          <w:szCs w:val="24"/>
        </w:rPr>
        <w:t>本基金本报告期末未持有股票。</w:t>
      </w:r>
    </w:p>
    <w:p w:rsidR="004061AC" w:rsidRPr="00E133DE" w:rsidRDefault="004061AC" w:rsidP="00C15CAC">
      <w:pPr>
        <w:autoSpaceDE w:val="0"/>
        <w:autoSpaceDN w:val="0"/>
        <w:adjustRightInd w:val="0"/>
        <w:spacing w:before="29" w:line="288" w:lineRule="auto"/>
        <w:jc w:val="left"/>
        <w:rPr>
          <w:b/>
          <w:bCs/>
          <w:kern w:val="0"/>
          <w:sz w:val="24"/>
          <w:szCs w:val="24"/>
        </w:rPr>
      </w:pPr>
    </w:p>
    <w:p w:rsidR="00E133DE" w:rsidRPr="00E133DE" w:rsidRDefault="00E133DE"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f2"/>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lastRenderedPageBreak/>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4,788,125.80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4.87</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89,000.00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0.09</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4,877,125.80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4.97</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f2"/>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04147D">
        <w:trPr>
          <w:jc w:val="center"/>
        </w:trPr>
        <w:tc>
          <w:tcPr>
            <w:tcW w:w="850" w:type="dxa"/>
            <w:vAlign w:val="center"/>
          </w:tcPr>
          <w:p w:rsidR="0004147D" w:rsidRDefault="005A6D6C">
            <w:pPr>
              <w:jc w:val="center"/>
            </w:pPr>
            <w:r>
              <w:rPr>
                <w:color w:val="000000"/>
                <w:sz w:val="24"/>
                <w:szCs w:val="24"/>
              </w:rPr>
              <w:t>1</w:t>
            </w:r>
          </w:p>
        </w:tc>
        <w:tc>
          <w:tcPr>
            <w:tcW w:w="1475" w:type="dxa"/>
            <w:vAlign w:val="center"/>
          </w:tcPr>
          <w:p w:rsidR="0004147D" w:rsidRDefault="005A6D6C">
            <w:pPr>
              <w:jc w:val="center"/>
            </w:pPr>
            <w:r>
              <w:rPr>
                <w:color w:val="000000"/>
                <w:sz w:val="24"/>
                <w:szCs w:val="24"/>
              </w:rPr>
              <w:t>019649</w:t>
            </w:r>
          </w:p>
        </w:tc>
        <w:tc>
          <w:tcPr>
            <w:tcW w:w="1769" w:type="dxa"/>
            <w:vAlign w:val="center"/>
          </w:tcPr>
          <w:p w:rsidR="0004147D" w:rsidRDefault="005A6D6C">
            <w:pPr>
              <w:jc w:val="center"/>
            </w:pPr>
            <w:r>
              <w:rPr>
                <w:color w:val="000000"/>
                <w:sz w:val="24"/>
                <w:szCs w:val="24"/>
              </w:rPr>
              <w:t>21</w:t>
            </w:r>
            <w:r>
              <w:rPr>
                <w:color w:val="000000"/>
                <w:sz w:val="24"/>
                <w:szCs w:val="24"/>
              </w:rPr>
              <w:t>国债</w:t>
            </w:r>
            <w:r>
              <w:rPr>
                <w:color w:val="000000"/>
                <w:sz w:val="24"/>
                <w:szCs w:val="24"/>
              </w:rPr>
              <w:t>01</w:t>
            </w:r>
          </w:p>
        </w:tc>
        <w:tc>
          <w:tcPr>
            <w:tcW w:w="1387" w:type="dxa"/>
            <w:vAlign w:val="center"/>
          </w:tcPr>
          <w:p w:rsidR="0004147D" w:rsidRDefault="005A6D6C">
            <w:pPr>
              <w:jc w:val="right"/>
            </w:pPr>
            <w:r>
              <w:rPr>
                <w:color w:val="000000"/>
                <w:sz w:val="24"/>
                <w:szCs w:val="24"/>
              </w:rPr>
              <w:t>31,240</w:t>
            </w:r>
          </w:p>
        </w:tc>
        <w:tc>
          <w:tcPr>
            <w:tcW w:w="2150" w:type="dxa"/>
            <w:vAlign w:val="center"/>
          </w:tcPr>
          <w:p w:rsidR="0004147D" w:rsidRDefault="005A6D6C">
            <w:pPr>
              <w:jc w:val="right"/>
            </w:pPr>
            <w:r>
              <w:rPr>
                <w:color w:val="000000"/>
                <w:sz w:val="24"/>
                <w:szCs w:val="24"/>
              </w:rPr>
              <w:t>3,124,624.80</w:t>
            </w:r>
          </w:p>
        </w:tc>
        <w:tc>
          <w:tcPr>
            <w:tcW w:w="1237" w:type="dxa"/>
            <w:vAlign w:val="center"/>
          </w:tcPr>
          <w:p w:rsidR="0004147D" w:rsidRDefault="005A6D6C">
            <w:pPr>
              <w:jc w:val="right"/>
            </w:pPr>
            <w:r>
              <w:rPr>
                <w:color w:val="000000"/>
                <w:sz w:val="24"/>
                <w:szCs w:val="24"/>
              </w:rPr>
              <w:t>3.18</w:t>
            </w:r>
          </w:p>
        </w:tc>
      </w:tr>
      <w:tr w:rsidR="0004147D">
        <w:trPr>
          <w:jc w:val="center"/>
        </w:trPr>
        <w:tc>
          <w:tcPr>
            <w:tcW w:w="850" w:type="dxa"/>
            <w:vAlign w:val="center"/>
          </w:tcPr>
          <w:p w:rsidR="0004147D" w:rsidRDefault="005A6D6C">
            <w:pPr>
              <w:jc w:val="center"/>
            </w:pPr>
            <w:r>
              <w:rPr>
                <w:color w:val="000000"/>
                <w:sz w:val="24"/>
                <w:szCs w:val="24"/>
              </w:rPr>
              <w:t>2</w:t>
            </w:r>
          </w:p>
        </w:tc>
        <w:tc>
          <w:tcPr>
            <w:tcW w:w="1475" w:type="dxa"/>
            <w:vAlign w:val="center"/>
          </w:tcPr>
          <w:p w:rsidR="0004147D" w:rsidRDefault="005A6D6C">
            <w:pPr>
              <w:jc w:val="center"/>
            </w:pPr>
            <w:r>
              <w:rPr>
                <w:color w:val="000000"/>
                <w:sz w:val="24"/>
                <w:szCs w:val="24"/>
              </w:rPr>
              <w:t>019658</w:t>
            </w:r>
          </w:p>
        </w:tc>
        <w:tc>
          <w:tcPr>
            <w:tcW w:w="1769" w:type="dxa"/>
            <w:vAlign w:val="center"/>
          </w:tcPr>
          <w:p w:rsidR="0004147D" w:rsidRDefault="005A6D6C">
            <w:pPr>
              <w:jc w:val="center"/>
            </w:pPr>
            <w:r>
              <w:rPr>
                <w:color w:val="000000"/>
                <w:sz w:val="24"/>
                <w:szCs w:val="24"/>
              </w:rPr>
              <w:t>21</w:t>
            </w:r>
            <w:r>
              <w:rPr>
                <w:color w:val="000000"/>
                <w:sz w:val="24"/>
                <w:szCs w:val="24"/>
              </w:rPr>
              <w:t>国债</w:t>
            </w:r>
            <w:r>
              <w:rPr>
                <w:color w:val="000000"/>
                <w:sz w:val="24"/>
                <w:szCs w:val="24"/>
              </w:rPr>
              <w:t>10</w:t>
            </w:r>
          </w:p>
        </w:tc>
        <w:tc>
          <w:tcPr>
            <w:tcW w:w="1387" w:type="dxa"/>
            <w:vAlign w:val="center"/>
          </w:tcPr>
          <w:p w:rsidR="0004147D" w:rsidRDefault="005A6D6C">
            <w:pPr>
              <w:jc w:val="right"/>
            </w:pPr>
            <w:r>
              <w:rPr>
                <w:color w:val="000000"/>
                <w:sz w:val="24"/>
                <w:szCs w:val="24"/>
              </w:rPr>
              <w:t>16,660</w:t>
            </w:r>
          </w:p>
        </w:tc>
        <w:tc>
          <w:tcPr>
            <w:tcW w:w="2150" w:type="dxa"/>
            <w:vAlign w:val="center"/>
          </w:tcPr>
          <w:p w:rsidR="0004147D" w:rsidRDefault="005A6D6C">
            <w:pPr>
              <w:jc w:val="right"/>
            </w:pPr>
            <w:r>
              <w:rPr>
                <w:color w:val="000000"/>
                <w:sz w:val="24"/>
                <w:szCs w:val="24"/>
              </w:rPr>
              <w:t>1,663,501.00</w:t>
            </w:r>
          </w:p>
        </w:tc>
        <w:tc>
          <w:tcPr>
            <w:tcW w:w="1237" w:type="dxa"/>
            <w:vAlign w:val="center"/>
          </w:tcPr>
          <w:p w:rsidR="0004147D" w:rsidRDefault="005A6D6C">
            <w:pPr>
              <w:jc w:val="right"/>
            </w:pPr>
            <w:r>
              <w:rPr>
                <w:color w:val="000000"/>
                <w:sz w:val="24"/>
                <w:szCs w:val="24"/>
              </w:rPr>
              <w:t>1.69</w:t>
            </w:r>
          </w:p>
        </w:tc>
      </w:tr>
      <w:tr w:rsidR="0004147D">
        <w:trPr>
          <w:jc w:val="center"/>
        </w:trPr>
        <w:tc>
          <w:tcPr>
            <w:tcW w:w="850" w:type="dxa"/>
            <w:vAlign w:val="center"/>
          </w:tcPr>
          <w:p w:rsidR="0004147D" w:rsidRDefault="005A6D6C">
            <w:pPr>
              <w:jc w:val="center"/>
            </w:pPr>
            <w:r>
              <w:rPr>
                <w:color w:val="000000"/>
                <w:sz w:val="24"/>
                <w:szCs w:val="24"/>
              </w:rPr>
              <w:t>3</w:t>
            </w:r>
          </w:p>
        </w:tc>
        <w:tc>
          <w:tcPr>
            <w:tcW w:w="1475" w:type="dxa"/>
            <w:vAlign w:val="center"/>
          </w:tcPr>
          <w:p w:rsidR="0004147D" w:rsidRDefault="005A6D6C">
            <w:pPr>
              <w:jc w:val="center"/>
            </w:pPr>
            <w:r>
              <w:rPr>
                <w:color w:val="000000"/>
                <w:sz w:val="24"/>
                <w:szCs w:val="24"/>
              </w:rPr>
              <w:t>113052</w:t>
            </w:r>
          </w:p>
        </w:tc>
        <w:tc>
          <w:tcPr>
            <w:tcW w:w="1769" w:type="dxa"/>
            <w:vAlign w:val="center"/>
          </w:tcPr>
          <w:p w:rsidR="0004147D" w:rsidRDefault="005A6D6C">
            <w:pPr>
              <w:jc w:val="center"/>
            </w:pPr>
            <w:r>
              <w:rPr>
                <w:color w:val="000000"/>
                <w:sz w:val="24"/>
                <w:szCs w:val="24"/>
              </w:rPr>
              <w:t>兴业转债</w:t>
            </w:r>
          </w:p>
        </w:tc>
        <w:tc>
          <w:tcPr>
            <w:tcW w:w="1387" w:type="dxa"/>
            <w:vAlign w:val="center"/>
          </w:tcPr>
          <w:p w:rsidR="0004147D" w:rsidRDefault="005A6D6C">
            <w:pPr>
              <w:jc w:val="right"/>
            </w:pPr>
            <w:r>
              <w:rPr>
                <w:color w:val="000000"/>
                <w:sz w:val="24"/>
                <w:szCs w:val="24"/>
              </w:rPr>
              <w:t>890</w:t>
            </w:r>
          </w:p>
        </w:tc>
        <w:tc>
          <w:tcPr>
            <w:tcW w:w="2150" w:type="dxa"/>
            <w:vAlign w:val="center"/>
          </w:tcPr>
          <w:p w:rsidR="0004147D" w:rsidRDefault="005A6D6C">
            <w:pPr>
              <w:jc w:val="right"/>
            </w:pPr>
            <w:r>
              <w:rPr>
                <w:color w:val="000000"/>
                <w:sz w:val="24"/>
                <w:szCs w:val="24"/>
              </w:rPr>
              <w:t>89,000.00</w:t>
            </w:r>
          </w:p>
        </w:tc>
        <w:tc>
          <w:tcPr>
            <w:tcW w:w="1237" w:type="dxa"/>
            <w:vAlign w:val="center"/>
          </w:tcPr>
          <w:p w:rsidR="0004147D" w:rsidRDefault="005A6D6C">
            <w:pPr>
              <w:jc w:val="right"/>
            </w:pPr>
            <w:r>
              <w:rPr>
                <w:color w:val="000000"/>
                <w:sz w:val="24"/>
                <w:szCs w:val="24"/>
              </w:rPr>
              <w:t>0.09</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报告期内本基金投资的前十名证券的发行主体本期没有出现被监管部门立案调查，或在报告编制日前一年内受到公开谴责、处罚的情形。</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报告期内本基金投资的前十名股票中没有在基金合同规定备选股票库之外的股票。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f2"/>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5,902.31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510,000.00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0.01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88,639.35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415,521.84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1,020,063.51</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因四舍五入的原因，投资组合报告中分项之和与合计数可能存在尾差。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1537B">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tbl>
      <w:tblPr>
        <w:tblStyle w:val="aff2"/>
        <w:tblW w:w="5000" w:type="pct"/>
        <w:tblLayout w:type="fixed"/>
        <w:tblLook w:val="04A0" w:firstRow="1" w:lastRow="0" w:firstColumn="1" w:lastColumn="0" w:noHBand="0" w:noVBand="1"/>
      </w:tblPr>
      <w:tblGrid>
        <w:gridCol w:w="835"/>
        <w:gridCol w:w="1159"/>
        <w:gridCol w:w="1161"/>
        <w:gridCol w:w="1161"/>
        <w:gridCol w:w="1159"/>
        <w:gridCol w:w="1305"/>
        <w:gridCol w:w="1161"/>
        <w:gridCol w:w="1301"/>
      </w:tblGrid>
      <w:tr w:rsidR="001F3E2A" w:rsidRPr="00575270" w:rsidTr="00CD14C0">
        <w:tc>
          <w:tcPr>
            <w:tcW w:w="452"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lastRenderedPageBreak/>
              <w:t>序号</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基金代码</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基金名称</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运作方式</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持有份额（份）</w:t>
            </w:r>
          </w:p>
        </w:tc>
        <w:tc>
          <w:tcPr>
            <w:tcW w:w="706"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公允价值（元）</w:t>
            </w:r>
          </w:p>
        </w:tc>
        <w:tc>
          <w:tcPr>
            <w:tcW w:w="628"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占基金资产净值比例</w:t>
            </w:r>
          </w:p>
        </w:tc>
        <w:tc>
          <w:tcPr>
            <w:tcW w:w="704"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是否属于基金管理人及管理人关联方所管理的基金</w:t>
            </w:r>
          </w:p>
        </w:tc>
      </w:tr>
      <w:tr w:rsidR="0004147D">
        <w:tc>
          <w:tcPr>
            <w:tcW w:w="835" w:type="dxa"/>
            <w:vAlign w:val="center"/>
          </w:tcPr>
          <w:p w:rsidR="0004147D" w:rsidRDefault="005A6D6C">
            <w:pPr>
              <w:jc w:val="center"/>
            </w:pPr>
            <w:r>
              <w:rPr>
                <w:sz w:val="24"/>
                <w:szCs w:val="24"/>
              </w:rPr>
              <w:t>1</w:t>
            </w:r>
          </w:p>
        </w:tc>
        <w:tc>
          <w:tcPr>
            <w:tcW w:w="1159" w:type="dxa"/>
            <w:vAlign w:val="center"/>
          </w:tcPr>
          <w:p w:rsidR="0004147D" w:rsidRDefault="005A6D6C">
            <w:pPr>
              <w:jc w:val="center"/>
            </w:pPr>
            <w:r>
              <w:rPr>
                <w:sz w:val="24"/>
                <w:szCs w:val="24"/>
              </w:rPr>
              <w:t>004200</w:t>
            </w:r>
          </w:p>
        </w:tc>
        <w:tc>
          <w:tcPr>
            <w:tcW w:w="1161" w:type="dxa"/>
            <w:vAlign w:val="center"/>
          </w:tcPr>
          <w:p w:rsidR="0004147D" w:rsidRDefault="005A6D6C">
            <w:pPr>
              <w:jc w:val="center"/>
            </w:pPr>
            <w:r>
              <w:rPr>
                <w:sz w:val="24"/>
                <w:szCs w:val="24"/>
              </w:rPr>
              <w:t>博时富瑞纯债债券</w:t>
            </w:r>
            <w:r>
              <w:rPr>
                <w:sz w:val="24"/>
                <w:szCs w:val="24"/>
              </w:rPr>
              <w:t>A</w:t>
            </w:r>
          </w:p>
        </w:tc>
        <w:tc>
          <w:tcPr>
            <w:tcW w:w="1161" w:type="dxa"/>
            <w:vAlign w:val="center"/>
          </w:tcPr>
          <w:p w:rsidR="0004147D" w:rsidRDefault="005A6D6C">
            <w:pPr>
              <w:jc w:val="center"/>
            </w:pPr>
            <w:r>
              <w:rPr>
                <w:sz w:val="24"/>
                <w:szCs w:val="24"/>
              </w:rPr>
              <w:t>契约型开放式</w:t>
            </w:r>
          </w:p>
        </w:tc>
        <w:tc>
          <w:tcPr>
            <w:tcW w:w="1159" w:type="dxa"/>
            <w:vAlign w:val="center"/>
          </w:tcPr>
          <w:p w:rsidR="0004147D" w:rsidRDefault="005A6D6C">
            <w:pPr>
              <w:jc w:val="center"/>
            </w:pPr>
            <w:r>
              <w:rPr>
                <w:sz w:val="24"/>
                <w:szCs w:val="24"/>
              </w:rPr>
              <w:t>5,863,691.26</w:t>
            </w:r>
          </w:p>
        </w:tc>
        <w:tc>
          <w:tcPr>
            <w:tcW w:w="1305" w:type="dxa"/>
            <w:vAlign w:val="center"/>
          </w:tcPr>
          <w:p w:rsidR="0004147D" w:rsidRDefault="005A6D6C">
            <w:pPr>
              <w:jc w:val="center"/>
            </w:pPr>
            <w:r>
              <w:rPr>
                <w:sz w:val="24"/>
                <w:szCs w:val="24"/>
              </w:rPr>
              <w:t>6,166,257.73</w:t>
            </w:r>
          </w:p>
        </w:tc>
        <w:tc>
          <w:tcPr>
            <w:tcW w:w="1161" w:type="dxa"/>
            <w:vAlign w:val="center"/>
          </w:tcPr>
          <w:p w:rsidR="0004147D" w:rsidRDefault="005A6D6C">
            <w:pPr>
              <w:jc w:val="center"/>
            </w:pPr>
            <w:r>
              <w:rPr>
                <w:sz w:val="24"/>
                <w:szCs w:val="24"/>
              </w:rPr>
              <w:t>6.28%</w:t>
            </w:r>
          </w:p>
        </w:tc>
        <w:tc>
          <w:tcPr>
            <w:tcW w:w="1301" w:type="dxa"/>
            <w:vAlign w:val="center"/>
          </w:tcPr>
          <w:p w:rsidR="0004147D" w:rsidRDefault="005A6D6C">
            <w:pPr>
              <w:jc w:val="center"/>
            </w:pPr>
            <w:r>
              <w:rPr>
                <w:sz w:val="24"/>
                <w:szCs w:val="24"/>
              </w:rPr>
              <w:t>否</w:t>
            </w:r>
          </w:p>
        </w:tc>
      </w:tr>
      <w:tr w:rsidR="0004147D">
        <w:tc>
          <w:tcPr>
            <w:tcW w:w="835" w:type="dxa"/>
            <w:vAlign w:val="center"/>
          </w:tcPr>
          <w:p w:rsidR="0004147D" w:rsidRDefault="005A6D6C">
            <w:pPr>
              <w:jc w:val="center"/>
            </w:pPr>
            <w:r>
              <w:rPr>
                <w:sz w:val="24"/>
                <w:szCs w:val="24"/>
              </w:rPr>
              <w:t>2</w:t>
            </w:r>
          </w:p>
        </w:tc>
        <w:tc>
          <w:tcPr>
            <w:tcW w:w="1159" w:type="dxa"/>
            <w:vAlign w:val="center"/>
          </w:tcPr>
          <w:p w:rsidR="0004147D" w:rsidRDefault="005A6D6C">
            <w:pPr>
              <w:jc w:val="center"/>
            </w:pPr>
            <w:r>
              <w:rPr>
                <w:sz w:val="24"/>
                <w:szCs w:val="24"/>
              </w:rPr>
              <w:t>003949</w:t>
            </w:r>
          </w:p>
        </w:tc>
        <w:tc>
          <w:tcPr>
            <w:tcW w:w="1161" w:type="dxa"/>
            <w:vAlign w:val="center"/>
          </w:tcPr>
          <w:p w:rsidR="0004147D" w:rsidRDefault="005A6D6C">
            <w:pPr>
              <w:jc w:val="center"/>
            </w:pPr>
            <w:r>
              <w:rPr>
                <w:sz w:val="24"/>
                <w:szCs w:val="24"/>
              </w:rPr>
              <w:t>兴全稳泰债券</w:t>
            </w:r>
            <w:r>
              <w:rPr>
                <w:sz w:val="24"/>
                <w:szCs w:val="24"/>
              </w:rPr>
              <w:t>A</w:t>
            </w:r>
          </w:p>
        </w:tc>
        <w:tc>
          <w:tcPr>
            <w:tcW w:w="1161" w:type="dxa"/>
            <w:vAlign w:val="center"/>
          </w:tcPr>
          <w:p w:rsidR="0004147D" w:rsidRDefault="005A6D6C">
            <w:pPr>
              <w:jc w:val="center"/>
            </w:pPr>
            <w:r>
              <w:rPr>
                <w:sz w:val="24"/>
                <w:szCs w:val="24"/>
              </w:rPr>
              <w:t>契约型开放式</w:t>
            </w:r>
          </w:p>
        </w:tc>
        <w:tc>
          <w:tcPr>
            <w:tcW w:w="1159" w:type="dxa"/>
            <w:vAlign w:val="center"/>
          </w:tcPr>
          <w:p w:rsidR="0004147D" w:rsidRDefault="005A6D6C">
            <w:pPr>
              <w:jc w:val="center"/>
            </w:pPr>
            <w:r>
              <w:rPr>
                <w:sz w:val="24"/>
                <w:szCs w:val="24"/>
              </w:rPr>
              <w:t>5,048,747.75</w:t>
            </w:r>
          </w:p>
        </w:tc>
        <w:tc>
          <w:tcPr>
            <w:tcW w:w="1305" w:type="dxa"/>
            <w:vAlign w:val="center"/>
          </w:tcPr>
          <w:p w:rsidR="0004147D" w:rsidRDefault="005A6D6C">
            <w:pPr>
              <w:jc w:val="center"/>
            </w:pPr>
            <w:r>
              <w:rPr>
                <w:sz w:val="24"/>
                <w:szCs w:val="24"/>
              </w:rPr>
              <w:t>5,546,554.28</w:t>
            </w:r>
          </w:p>
        </w:tc>
        <w:tc>
          <w:tcPr>
            <w:tcW w:w="1161" w:type="dxa"/>
            <w:vAlign w:val="center"/>
          </w:tcPr>
          <w:p w:rsidR="0004147D" w:rsidRDefault="005A6D6C">
            <w:pPr>
              <w:jc w:val="center"/>
            </w:pPr>
            <w:r>
              <w:rPr>
                <w:sz w:val="24"/>
                <w:szCs w:val="24"/>
              </w:rPr>
              <w:t>5.65%</w:t>
            </w:r>
          </w:p>
        </w:tc>
        <w:tc>
          <w:tcPr>
            <w:tcW w:w="1301" w:type="dxa"/>
            <w:vAlign w:val="center"/>
          </w:tcPr>
          <w:p w:rsidR="0004147D" w:rsidRDefault="005A6D6C">
            <w:pPr>
              <w:jc w:val="center"/>
            </w:pPr>
            <w:r>
              <w:rPr>
                <w:sz w:val="24"/>
                <w:szCs w:val="24"/>
              </w:rPr>
              <w:t>否</w:t>
            </w:r>
          </w:p>
        </w:tc>
      </w:tr>
      <w:tr w:rsidR="0004147D">
        <w:tc>
          <w:tcPr>
            <w:tcW w:w="835" w:type="dxa"/>
            <w:vAlign w:val="center"/>
          </w:tcPr>
          <w:p w:rsidR="0004147D" w:rsidRDefault="005A6D6C">
            <w:pPr>
              <w:jc w:val="center"/>
            </w:pPr>
            <w:r>
              <w:rPr>
                <w:sz w:val="24"/>
                <w:szCs w:val="24"/>
              </w:rPr>
              <w:t>3</w:t>
            </w:r>
          </w:p>
        </w:tc>
        <w:tc>
          <w:tcPr>
            <w:tcW w:w="1159" w:type="dxa"/>
            <w:vAlign w:val="center"/>
          </w:tcPr>
          <w:p w:rsidR="0004147D" w:rsidRDefault="005A6D6C">
            <w:pPr>
              <w:jc w:val="center"/>
            </w:pPr>
            <w:r>
              <w:rPr>
                <w:sz w:val="24"/>
                <w:szCs w:val="24"/>
              </w:rPr>
              <w:t>006224</w:t>
            </w:r>
          </w:p>
        </w:tc>
        <w:tc>
          <w:tcPr>
            <w:tcW w:w="1161" w:type="dxa"/>
            <w:vAlign w:val="center"/>
          </w:tcPr>
          <w:p w:rsidR="0004147D" w:rsidRDefault="005A6D6C">
            <w:pPr>
              <w:jc w:val="center"/>
            </w:pPr>
            <w:r>
              <w:rPr>
                <w:sz w:val="24"/>
                <w:szCs w:val="24"/>
              </w:rPr>
              <w:t>中银中债</w:t>
            </w:r>
            <w:r>
              <w:rPr>
                <w:sz w:val="24"/>
                <w:szCs w:val="24"/>
              </w:rPr>
              <w:t>3-5</w:t>
            </w:r>
            <w:r>
              <w:rPr>
                <w:sz w:val="24"/>
                <w:szCs w:val="24"/>
              </w:rPr>
              <w:t>年期农发行债券</w:t>
            </w:r>
          </w:p>
        </w:tc>
        <w:tc>
          <w:tcPr>
            <w:tcW w:w="1161" w:type="dxa"/>
            <w:vAlign w:val="center"/>
          </w:tcPr>
          <w:p w:rsidR="0004147D" w:rsidRDefault="005A6D6C">
            <w:pPr>
              <w:jc w:val="center"/>
            </w:pPr>
            <w:r>
              <w:rPr>
                <w:sz w:val="24"/>
                <w:szCs w:val="24"/>
              </w:rPr>
              <w:t>契约型开放式</w:t>
            </w:r>
          </w:p>
        </w:tc>
        <w:tc>
          <w:tcPr>
            <w:tcW w:w="1159" w:type="dxa"/>
            <w:vAlign w:val="center"/>
          </w:tcPr>
          <w:p w:rsidR="0004147D" w:rsidRDefault="005A6D6C">
            <w:pPr>
              <w:jc w:val="center"/>
            </w:pPr>
            <w:r>
              <w:rPr>
                <w:sz w:val="24"/>
                <w:szCs w:val="24"/>
              </w:rPr>
              <w:t>4,924,354.38</w:t>
            </w:r>
          </w:p>
        </w:tc>
        <w:tc>
          <w:tcPr>
            <w:tcW w:w="1305" w:type="dxa"/>
            <w:vAlign w:val="center"/>
          </w:tcPr>
          <w:p w:rsidR="0004147D" w:rsidRDefault="005A6D6C">
            <w:pPr>
              <w:jc w:val="center"/>
            </w:pPr>
            <w:r>
              <w:rPr>
                <w:sz w:val="24"/>
                <w:szCs w:val="24"/>
              </w:rPr>
              <w:t>5,216,368.59</w:t>
            </w:r>
          </w:p>
        </w:tc>
        <w:tc>
          <w:tcPr>
            <w:tcW w:w="1161" w:type="dxa"/>
            <w:vAlign w:val="center"/>
          </w:tcPr>
          <w:p w:rsidR="0004147D" w:rsidRDefault="005A6D6C">
            <w:pPr>
              <w:jc w:val="center"/>
            </w:pPr>
            <w:r>
              <w:rPr>
                <w:sz w:val="24"/>
                <w:szCs w:val="24"/>
              </w:rPr>
              <w:t>5.31%</w:t>
            </w:r>
          </w:p>
        </w:tc>
        <w:tc>
          <w:tcPr>
            <w:tcW w:w="1301" w:type="dxa"/>
            <w:vAlign w:val="center"/>
          </w:tcPr>
          <w:p w:rsidR="0004147D" w:rsidRDefault="005A6D6C">
            <w:pPr>
              <w:jc w:val="center"/>
            </w:pPr>
            <w:r>
              <w:rPr>
                <w:sz w:val="24"/>
                <w:szCs w:val="24"/>
              </w:rPr>
              <w:t>否</w:t>
            </w:r>
          </w:p>
        </w:tc>
      </w:tr>
      <w:tr w:rsidR="0004147D">
        <w:tc>
          <w:tcPr>
            <w:tcW w:w="835" w:type="dxa"/>
            <w:vAlign w:val="center"/>
          </w:tcPr>
          <w:p w:rsidR="0004147D" w:rsidRDefault="005A6D6C">
            <w:pPr>
              <w:jc w:val="center"/>
            </w:pPr>
            <w:r>
              <w:rPr>
                <w:sz w:val="24"/>
                <w:szCs w:val="24"/>
              </w:rPr>
              <w:t>4</w:t>
            </w:r>
          </w:p>
        </w:tc>
        <w:tc>
          <w:tcPr>
            <w:tcW w:w="1159" w:type="dxa"/>
            <w:vAlign w:val="center"/>
          </w:tcPr>
          <w:p w:rsidR="0004147D" w:rsidRDefault="005A6D6C">
            <w:pPr>
              <w:jc w:val="center"/>
            </w:pPr>
            <w:r>
              <w:rPr>
                <w:sz w:val="24"/>
                <w:szCs w:val="24"/>
              </w:rPr>
              <w:t>006451</w:t>
            </w:r>
          </w:p>
        </w:tc>
        <w:tc>
          <w:tcPr>
            <w:tcW w:w="1161" w:type="dxa"/>
            <w:vAlign w:val="center"/>
          </w:tcPr>
          <w:p w:rsidR="0004147D" w:rsidRDefault="005A6D6C">
            <w:pPr>
              <w:jc w:val="center"/>
            </w:pPr>
            <w:r>
              <w:rPr>
                <w:sz w:val="24"/>
                <w:szCs w:val="24"/>
              </w:rPr>
              <w:t>华富中证</w:t>
            </w:r>
            <w:r>
              <w:rPr>
                <w:sz w:val="24"/>
                <w:szCs w:val="24"/>
              </w:rPr>
              <w:t>5</w:t>
            </w:r>
            <w:r>
              <w:rPr>
                <w:sz w:val="24"/>
                <w:szCs w:val="24"/>
              </w:rPr>
              <w:t>年恒定久期国开债指数</w:t>
            </w:r>
            <w:r>
              <w:rPr>
                <w:sz w:val="24"/>
                <w:szCs w:val="24"/>
              </w:rPr>
              <w:t>A</w:t>
            </w:r>
          </w:p>
        </w:tc>
        <w:tc>
          <w:tcPr>
            <w:tcW w:w="1161" w:type="dxa"/>
            <w:vAlign w:val="center"/>
          </w:tcPr>
          <w:p w:rsidR="0004147D" w:rsidRDefault="005A6D6C">
            <w:pPr>
              <w:jc w:val="center"/>
            </w:pPr>
            <w:r>
              <w:rPr>
                <w:sz w:val="24"/>
                <w:szCs w:val="24"/>
              </w:rPr>
              <w:t>契约型开放式</w:t>
            </w:r>
          </w:p>
        </w:tc>
        <w:tc>
          <w:tcPr>
            <w:tcW w:w="1159" w:type="dxa"/>
            <w:vAlign w:val="center"/>
          </w:tcPr>
          <w:p w:rsidR="0004147D" w:rsidRDefault="005A6D6C">
            <w:pPr>
              <w:jc w:val="center"/>
            </w:pPr>
            <w:r>
              <w:rPr>
                <w:sz w:val="24"/>
                <w:szCs w:val="24"/>
              </w:rPr>
              <w:t>4,740,077.31</w:t>
            </w:r>
          </w:p>
        </w:tc>
        <w:tc>
          <w:tcPr>
            <w:tcW w:w="1305" w:type="dxa"/>
            <w:vAlign w:val="center"/>
          </w:tcPr>
          <w:p w:rsidR="0004147D" w:rsidRDefault="005A6D6C">
            <w:pPr>
              <w:jc w:val="center"/>
            </w:pPr>
            <w:r>
              <w:rPr>
                <w:sz w:val="24"/>
                <w:szCs w:val="24"/>
              </w:rPr>
              <w:t>5,180,904.50</w:t>
            </w:r>
          </w:p>
        </w:tc>
        <w:tc>
          <w:tcPr>
            <w:tcW w:w="1161" w:type="dxa"/>
            <w:vAlign w:val="center"/>
          </w:tcPr>
          <w:p w:rsidR="0004147D" w:rsidRDefault="005A6D6C">
            <w:pPr>
              <w:jc w:val="center"/>
            </w:pPr>
            <w:r>
              <w:rPr>
                <w:sz w:val="24"/>
                <w:szCs w:val="24"/>
              </w:rPr>
              <w:t>5.27%</w:t>
            </w:r>
          </w:p>
        </w:tc>
        <w:tc>
          <w:tcPr>
            <w:tcW w:w="1301" w:type="dxa"/>
            <w:vAlign w:val="center"/>
          </w:tcPr>
          <w:p w:rsidR="0004147D" w:rsidRDefault="005A6D6C">
            <w:pPr>
              <w:jc w:val="center"/>
            </w:pPr>
            <w:r>
              <w:rPr>
                <w:sz w:val="24"/>
                <w:szCs w:val="24"/>
              </w:rPr>
              <w:t>否</w:t>
            </w:r>
          </w:p>
        </w:tc>
      </w:tr>
      <w:tr w:rsidR="0004147D">
        <w:tc>
          <w:tcPr>
            <w:tcW w:w="835" w:type="dxa"/>
            <w:vAlign w:val="center"/>
          </w:tcPr>
          <w:p w:rsidR="0004147D" w:rsidRDefault="005A6D6C">
            <w:pPr>
              <w:jc w:val="center"/>
            </w:pPr>
            <w:r>
              <w:rPr>
                <w:sz w:val="24"/>
                <w:szCs w:val="24"/>
              </w:rPr>
              <w:t>5</w:t>
            </w:r>
          </w:p>
        </w:tc>
        <w:tc>
          <w:tcPr>
            <w:tcW w:w="1159" w:type="dxa"/>
            <w:vAlign w:val="center"/>
          </w:tcPr>
          <w:p w:rsidR="0004147D" w:rsidRDefault="005A6D6C">
            <w:pPr>
              <w:jc w:val="center"/>
            </w:pPr>
            <w:r>
              <w:rPr>
                <w:sz w:val="24"/>
                <w:szCs w:val="24"/>
              </w:rPr>
              <w:t>004585</w:t>
            </w:r>
          </w:p>
        </w:tc>
        <w:tc>
          <w:tcPr>
            <w:tcW w:w="1161" w:type="dxa"/>
            <w:vAlign w:val="center"/>
          </w:tcPr>
          <w:p w:rsidR="0004147D" w:rsidRDefault="005A6D6C">
            <w:pPr>
              <w:jc w:val="center"/>
            </w:pPr>
            <w:r>
              <w:rPr>
                <w:sz w:val="24"/>
                <w:szCs w:val="24"/>
              </w:rPr>
              <w:t>鹏扬汇利债券</w:t>
            </w:r>
            <w:r>
              <w:rPr>
                <w:sz w:val="24"/>
                <w:szCs w:val="24"/>
              </w:rPr>
              <w:t>A</w:t>
            </w:r>
          </w:p>
        </w:tc>
        <w:tc>
          <w:tcPr>
            <w:tcW w:w="1161" w:type="dxa"/>
            <w:vAlign w:val="center"/>
          </w:tcPr>
          <w:p w:rsidR="0004147D" w:rsidRDefault="005A6D6C">
            <w:pPr>
              <w:jc w:val="center"/>
            </w:pPr>
            <w:r>
              <w:rPr>
                <w:sz w:val="24"/>
                <w:szCs w:val="24"/>
              </w:rPr>
              <w:t>契约型开放式</w:t>
            </w:r>
          </w:p>
        </w:tc>
        <w:tc>
          <w:tcPr>
            <w:tcW w:w="1159" w:type="dxa"/>
            <w:vAlign w:val="center"/>
          </w:tcPr>
          <w:p w:rsidR="0004147D" w:rsidRDefault="005A6D6C">
            <w:pPr>
              <w:jc w:val="center"/>
            </w:pPr>
            <w:r>
              <w:rPr>
                <w:sz w:val="24"/>
                <w:szCs w:val="24"/>
              </w:rPr>
              <w:t>4,285,250.52</w:t>
            </w:r>
          </w:p>
        </w:tc>
        <w:tc>
          <w:tcPr>
            <w:tcW w:w="1305" w:type="dxa"/>
            <w:vAlign w:val="center"/>
          </w:tcPr>
          <w:p w:rsidR="0004147D" w:rsidRDefault="005A6D6C">
            <w:pPr>
              <w:jc w:val="center"/>
            </w:pPr>
            <w:r>
              <w:rPr>
                <w:sz w:val="24"/>
                <w:szCs w:val="24"/>
              </w:rPr>
              <w:t>5,042,454.29</w:t>
            </w:r>
          </w:p>
        </w:tc>
        <w:tc>
          <w:tcPr>
            <w:tcW w:w="1161" w:type="dxa"/>
            <w:vAlign w:val="center"/>
          </w:tcPr>
          <w:p w:rsidR="0004147D" w:rsidRDefault="005A6D6C">
            <w:pPr>
              <w:jc w:val="center"/>
            </w:pPr>
            <w:r>
              <w:rPr>
                <w:sz w:val="24"/>
                <w:szCs w:val="24"/>
              </w:rPr>
              <w:t>5.13%</w:t>
            </w:r>
          </w:p>
        </w:tc>
        <w:tc>
          <w:tcPr>
            <w:tcW w:w="1301" w:type="dxa"/>
            <w:vAlign w:val="center"/>
          </w:tcPr>
          <w:p w:rsidR="0004147D" w:rsidRDefault="005A6D6C">
            <w:pPr>
              <w:jc w:val="center"/>
            </w:pPr>
            <w:r>
              <w:rPr>
                <w:sz w:val="24"/>
                <w:szCs w:val="24"/>
              </w:rPr>
              <w:t>否</w:t>
            </w:r>
          </w:p>
        </w:tc>
      </w:tr>
      <w:tr w:rsidR="0004147D">
        <w:tc>
          <w:tcPr>
            <w:tcW w:w="835" w:type="dxa"/>
            <w:vAlign w:val="center"/>
          </w:tcPr>
          <w:p w:rsidR="0004147D" w:rsidRDefault="005A6D6C">
            <w:pPr>
              <w:jc w:val="center"/>
            </w:pPr>
            <w:r>
              <w:rPr>
                <w:sz w:val="24"/>
                <w:szCs w:val="24"/>
              </w:rPr>
              <w:t>6</w:t>
            </w:r>
          </w:p>
        </w:tc>
        <w:tc>
          <w:tcPr>
            <w:tcW w:w="1159" w:type="dxa"/>
            <w:vAlign w:val="center"/>
          </w:tcPr>
          <w:p w:rsidR="0004147D" w:rsidRDefault="005A6D6C">
            <w:pPr>
              <w:jc w:val="center"/>
            </w:pPr>
            <w:r>
              <w:rPr>
                <w:sz w:val="24"/>
                <w:szCs w:val="24"/>
              </w:rPr>
              <w:t>003376</w:t>
            </w:r>
          </w:p>
        </w:tc>
        <w:tc>
          <w:tcPr>
            <w:tcW w:w="1161" w:type="dxa"/>
            <w:vAlign w:val="center"/>
          </w:tcPr>
          <w:p w:rsidR="0004147D" w:rsidRDefault="005A6D6C">
            <w:pPr>
              <w:jc w:val="center"/>
            </w:pPr>
            <w:r>
              <w:rPr>
                <w:sz w:val="24"/>
                <w:szCs w:val="24"/>
              </w:rPr>
              <w:t>广发中债</w:t>
            </w:r>
            <w:r>
              <w:rPr>
                <w:sz w:val="24"/>
                <w:szCs w:val="24"/>
              </w:rPr>
              <w:t>7-10</w:t>
            </w:r>
            <w:r>
              <w:rPr>
                <w:sz w:val="24"/>
                <w:szCs w:val="24"/>
              </w:rPr>
              <w:t>年国开债指数</w:t>
            </w:r>
            <w:r>
              <w:rPr>
                <w:sz w:val="24"/>
                <w:szCs w:val="24"/>
              </w:rPr>
              <w:t>A</w:t>
            </w:r>
          </w:p>
        </w:tc>
        <w:tc>
          <w:tcPr>
            <w:tcW w:w="1161" w:type="dxa"/>
            <w:vAlign w:val="center"/>
          </w:tcPr>
          <w:p w:rsidR="0004147D" w:rsidRDefault="005A6D6C">
            <w:pPr>
              <w:jc w:val="center"/>
            </w:pPr>
            <w:r>
              <w:rPr>
                <w:sz w:val="24"/>
                <w:szCs w:val="24"/>
              </w:rPr>
              <w:t>契约型开放式</w:t>
            </w:r>
          </w:p>
        </w:tc>
        <w:tc>
          <w:tcPr>
            <w:tcW w:w="1159" w:type="dxa"/>
            <w:vAlign w:val="center"/>
          </w:tcPr>
          <w:p w:rsidR="0004147D" w:rsidRDefault="005A6D6C">
            <w:pPr>
              <w:jc w:val="center"/>
            </w:pPr>
            <w:r>
              <w:rPr>
                <w:sz w:val="24"/>
                <w:szCs w:val="24"/>
              </w:rPr>
              <w:t>4,152,108.51</w:t>
            </w:r>
          </w:p>
        </w:tc>
        <w:tc>
          <w:tcPr>
            <w:tcW w:w="1305" w:type="dxa"/>
            <w:vAlign w:val="center"/>
          </w:tcPr>
          <w:p w:rsidR="0004147D" w:rsidRDefault="005A6D6C">
            <w:pPr>
              <w:jc w:val="center"/>
            </w:pPr>
            <w:r>
              <w:rPr>
                <w:sz w:val="24"/>
                <w:szCs w:val="24"/>
              </w:rPr>
              <w:t>4,975,886.84</w:t>
            </w:r>
          </w:p>
        </w:tc>
        <w:tc>
          <w:tcPr>
            <w:tcW w:w="1161" w:type="dxa"/>
            <w:vAlign w:val="center"/>
          </w:tcPr>
          <w:p w:rsidR="0004147D" w:rsidRDefault="005A6D6C">
            <w:pPr>
              <w:jc w:val="center"/>
            </w:pPr>
            <w:r>
              <w:rPr>
                <w:sz w:val="24"/>
                <w:szCs w:val="24"/>
              </w:rPr>
              <w:t>5.07%</w:t>
            </w:r>
          </w:p>
        </w:tc>
        <w:tc>
          <w:tcPr>
            <w:tcW w:w="1301" w:type="dxa"/>
            <w:vAlign w:val="center"/>
          </w:tcPr>
          <w:p w:rsidR="0004147D" w:rsidRDefault="005A6D6C">
            <w:pPr>
              <w:jc w:val="center"/>
            </w:pPr>
            <w:r>
              <w:rPr>
                <w:sz w:val="24"/>
                <w:szCs w:val="24"/>
              </w:rPr>
              <w:t>否</w:t>
            </w:r>
          </w:p>
        </w:tc>
      </w:tr>
      <w:tr w:rsidR="0004147D">
        <w:tc>
          <w:tcPr>
            <w:tcW w:w="835" w:type="dxa"/>
            <w:vAlign w:val="center"/>
          </w:tcPr>
          <w:p w:rsidR="0004147D" w:rsidRDefault="005A6D6C">
            <w:pPr>
              <w:jc w:val="center"/>
            </w:pPr>
            <w:r>
              <w:rPr>
                <w:sz w:val="24"/>
                <w:szCs w:val="24"/>
              </w:rPr>
              <w:t>7</w:t>
            </w:r>
          </w:p>
        </w:tc>
        <w:tc>
          <w:tcPr>
            <w:tcW w:w="1159" w:type="dxa"/>
            <w:vAlign w:val="center"/>
          </w:tcPr>
          <w:p w:rsidR="0004147D" w:rsidRDefault="005A6D6C">
            <w:pPr>
              <w:jc w:val="center"/>
            </w:pPr>
            <w:r>
              <w:rPr>
                <w:sz w:val="24"/>
                <w:szCs w:val="24"/>
              </w:rPr>
              <w:t>007078</w:t>
            </w:r>
          </w:p>
        </w:tc>
        <w:tc>
          <w:tcPr>
            <w:tcW w:w="1161" w:type="dxa"/>
            <w:vAlign w:val="center"/>
          </w:tcPr>
          <w:p w:rsidR="0004147D" w:rsidRDefault="005A6D6C">
            <w:pPr>
              <w:jc w:val="center"/>
            </w:pPr>
            <w:r>
              <w:rPr>
                <w:sz w:val="24"/>
                <w:szCs w:val="24"/>
              </w:rPr>
              <w:t>工银</w:t>
            </w:r>
            <w:r>
              <w:rPr>
                <w:sz w:val="24"/>
                <w:szCs w:val="24"/>
              </w:rPr>
              <w:t>3-5</w:t>
            </w:r>
            <w:r>
              <w:rPr>
                <w:sz w:val="24"/>
                <w:szCs w:val="24"/>
              </w:rPr>
              <w:t>年国开债指数</w:t>
            </w:r>
            <w:r>
              <w:rPr>
                <w:sz w:val="24"/>
                <w:szCs w:val="24"/>
              </w:rPr>
              <w:t>A</w:t>
            </w:r>
          </w:p>
        </w:tc>
        <w:tc>
          <w:tcPr>
            <w:tcW w:w="1161" w:type="dxa"/>
            <w:vAlign w:val="center"/>
          </w:tcPr>
          <w:p w:rsidR="0004147D" w:rsidRDefault="005A6D6C">
            <w:pPr>
              <w:jc w:val="center"/>
            </w:pPr>
            <w:r>
              <w:rPr>
                <w:sz w:val="24"/>
                <w:szCs w:val="24"/>
              </w:rPr>
              <w:t>契约型开放式</w:t>
            </w:r>
          </w:p>
        </w:tc>
        <w:tc>
          <w:tcPr>
            <w:tcW w:w="1159" w:type="dxa"/>
            <w:vAlign w:val="center"/>
          </w:tcPr>
          <w:p w:rsidR="0004147D" w:rsidRDefault="005A6D6C">
            <w:pPr>
              <w:jc w:val="center"/>
            </w:pPr>
            <w:r>
              <w:rPr>
                <w:sz w:val="24"/>
                <w:szCs w:val="24"/>
              </w:rPr>
              <w:t>4,665,162.98</w:t>
            </w:r>
          </w:p>
        </w:tc>
        <w:tc>
          <w:tcPr>
            <w:tcW w:w="1305" w:type="dxa"/>
            <w:vAlign w:val="center"/>
          </w:tcPr>
          <w:p w:rsidR="0004147D" w:rsidRDefault="005A6D6C">
            <w:pPr>
              <w:jc w:val="center"/>
            </w:pPr>
            <w:r>
              <w:rPr>
                <w:sz w:val="24"/>
                <w:szCs w:val="24"/>
              </w:rPr>
              <w:t>4,966,999.02</w:t>
            </w:r>
          </w:p>
        </w:tc>
        <w:tc>
          <w:tcPr>
            <w:tcW w:w="1161" w:type="dxa"/>
            <w:vAlign w:val="center"/>
          </w:tcPr>
          <w:p w:rsidR="0004147D" w:rsidRDefault="005A6D6C">
            <w:pPr>
              <w:jc w:val="center"/>
            </w:pPr>
            <w:r>
              <w:rPr>
                <w:sz w:val="24"/>
                <w:szCs w:val="24"/>
              </w:rPr>
              <w:t>5.06%</w:t>
            </w:r>
          </w:p>
        </w:tc>
        <w:tc>
          <w:tcPr>
            <w:tcW w:w="1301" w:type="dxa"/>
            <w:vAlign w:val="center"/>
          </w:tcPr>
          <w:p w:rsidR="0004147D" w:rsidRDefault="005A6D6C">
            <w:pPr>
              <w:jc w:val="center"/>
            </w:pPr>
            <w:r>
              <w:rPr>
                <w:sz w:val="24"/>
                <w:szCs w:val="24"/>
              </w:rPr>
              <w:t>否</w:t>
            </w:r>
          </w:p>
        </w:tc>
      </w:tr>
      <w:tr w:rsidR="0004147D">
        <w:tc>
          <w:tcPr>
            <w:tcW w:w="835" w:type="dxa"/>
            <w:vAlign w:val="center"/>
          </w:tcPr>
          <w:p w:rsidR="0004147D" w:rsidRDefault="005A6D6C">
            <w:pPr>
              <w:jc w:val="center"/>
            </w:pPr>
            <w:r>
              <w:rPr>
                <w:sz w:val="24"/>
                <w:szCs w:val="24"/>
              </w:rPr>
              <w:t>8</w:t>
            </w:r>
          </w:p>
        </w:tc>
        <w:tc>
          <w:tcPr>
            <w:tcW w:w="1159" w:type="dxa"/>
            <w:vAlign w:val="center"/>
          </w:tcPr>
          <w:p w:rsidR="0004147D" w:rsidRDefault="005A6D6C">
            <w:pPr>
              <w:jc w:val="center"/>
            </w:pPr>
            <w:r>
              <w:rPr>
                <w:sz w:val="24"/>
                <w:szCs w:val="24"/>
              </w:rPr>
              <w:t>511260</w:t>
            </w:r>
          </w:p>
        </w:tc>
        <w:tc>
          <w:tcPr>
            <w:tcW w:w="1161" w:type="dxa"/>
            <w:vAlign w:val="center"/>
          </w:tcPr>
          <w:p w:rsidR="0004147D" w:rsidRDefault="005A6D6C">
            <w:pPr>
              <w:jc w:val="center"/>
            </w:pPr>
            <w:r>
              <w:rPr>
                <w:sz w:val="24"/>
                <w:szCs w:val="24"/>
              </w:rPr>
              <w:t>上证</w:t>
            </w:r>
            <w:r>
              <w:rPr>
                <w:sz w:val="24"/>
                <w:szCs w:val="24"/>
              </w:rPr>
              <w:t>10</w:t>
            </w:r>
            <w:r>
              <w:rPr>
                <w:sz w:val="24"/>
                <w:szCs w:val="24"/>
              </w:rPr>
              <w:t>年期国债</w:t>
            </w:r>
            <w:r>
              <w:rPr>
                <w:sz w:val="24"/>
                <w:szCs w:val="24"/>
              </w:rPr>
              <w:t>ETF</w:t>
            </w:r>
          </w:p>
        </w:tc>
        <w:tc>
          <w:tcPr>
            <w:tcW w:w="1161" w:type="dxa"/>
            <w:vAlign w:val="center"/>
          </w:tcPr>
          <w:p w:rsidR="0004147D" w:rsidRDefault="005A6D6C">
            <w:pPr>
              <w:jc w:val="center"/>
            </w:pPr>
            <w:r>
              <w:rPr>
                <w:sz w:val="24"/>
                <w:szCs w:val="24"/>
              </w:rPr>
              <w:t>契约型开放式</w:t>
            </w:r>
          </w:p>
        </w:tc>
        <w:tc>
          <w:tcPr>
            <w:tcW w:w="1159" w:type="dxa"/>
            <w:vAlign w:val="center"/>
          </w:tcPr>
          <w:p w:rsidR="0004147D" w:rsidRDefault="005A6D6C">
            <w:pPr>
              <w:jc w:val="center"/>
            </w:pPr>
            <w:r>
              <w:rPr>
                <w:sz w:val="24"/>
                <w:szCs w:val="24"/>
              </w:rPr>
              <w:t>42,500.00</w:t>
            </w:r>
          </w:p>
        </w:tc>
        <w:tc>
          <w:tcPr>
            <w:tcW w:w="1305" w:type="dxa"/>
            <w:vAlign w:val="center"/>
          </w:tcPr>
          <w:p w:rsidR="0004147D" w:rsidRDefault="005A6D6C">
            <w:pPr>
              <w:jc w:val="center"/>
            </w:pPr>
            <w:r>
              <w:rPr>
                <w:sz w:val="24"/>
                <w:szCs w:val="24"/>
              </w:rPr>
              <w:t>4,938,287.50</w:t>
            </w:r>
          </w:p>
        </w:tc>
        <w:tc>
          <w:tcPr>
            <w:tcW w:w="1161" w:type="dxa"/>
            <w:vAlign w:val="center"/>
          </w:tcPr>
          <w:p w:rsidR="0004147D" w:rsidRDefault="005A6D6C">
            <w:pPr>
              <w:jc w:val="center"/>
            </w:pPr>
            <w:r>
              <w:rPr>
                <w:sz w:val="24"/>
                <w:szCs w:val="24"/>
              </w:rPr>
              <w:t>5.03%</w:t>
            </w:r>
          </w:p>
        </w:tc>
        <w:tc>
          <w:tcPr>
            <w:tcW w:w="1301" w:type="dxa"/>
            <w:vAlign w:val="center"/>
          </w:tcPr>
          <w:p w:rsidR="0004147D" w:rsidRDefault="005A6D6C">
            <w:pPr>
              <w:jc w:val="center"/>
            </w:pPr>
            <w:r>
              <w:rPr>
                <w:sz w:val="24"/>
                <w:szCs w:val="24"/>
              </w:rPr>
              <w:t>否</w:t>
            </w:r>
          </w:p>
        </w:tc>
      </w:tr>
      <w:tr w:rsidR="0004147D">
        <w:tc>
          <w:tcPr>
            <w:tcW w:w="835" w:type="dxa"/>
            <w:vAlign w:val="center"/>
          </w:tcPr>
          <w:p w:rsidR="0004147D" w:rsidRDefault="005A6D6C">
            <w:pPr>
              <w:jc w:val="center"/>
            </w:pPr>
            <w:r>
              <w:rPr>
                <w:sz w:val="24"/>
                <w:szCs w:val="24"/>
              </w:rPr>
              <w:t>9</w:t>
            </w:r>
          </w:p>
        </w:tc>
        <w:tc>
          <w:tcPr>
            <w:tcW w:w="1159" w:type="dxa"/>
            <w:vAlign w:val="center"/>
          </w:tcPr>
          <w:p w:rsidR="0004147D" w:rsidRDefault="005A6D6C">
            <w:pPr>
              <w:jc w:val="center"/>
            </w:pPr>
            <w:r>
              <w:rPr>
                <w:sz w:val="24"/>
                <w:szCs w:val="24"/>
              </w:rPr>
              <w:t>511010</w:t>
            </w:r>
          </w:p>
        </w:tc>
        <w:tc>
          <w:tcPr>
            <w:tcW w:w="1161" w:type="dxa"/>
            <w:vAlign w:val="center"/>
          </w:tcPr>
          <w:p w:rsidR="0004147D" w:rsidRDefault="005A6D6C">
            <w:pPr>
              <w:jc w:val="center"/>
            </w:pPr>
            <w:r>
              <w:rPr>
                <w:sz w:val="24"/>
                <w:szCs w:val="24"/>
              </w:rPr>
              <w:t>国泰上证</w:t>
            </w:r>
            <w:r>
              <w:rPr>
                <w:sz w:val="24"/>
                <w:szCs w:val="24"/>
              </w:rPr>
              <w:t>5</w:t>
            </w:r>
            <w:r>
              <w:rPr>
                <w:sz w:val="24"/>
                <w:szCs w:val="24"/>
              </w:rPr>
              <w:t>年期国债</w:t>
            </w:r>
            <w:r>
              <w:rPr>
                <w:sz w:val="24"/>
                <w:szCs w:val="24"/>
              </w:rPr>
              <w:t>ETF</w:t>
            </w:r>
          </w:p>
        </w:tc>
        <w:tc>
          <w:tcPr>
            <w:tcW w:w="1161" w:type="dxa"/>
            <w:vAlign w:val="center"/>
          </w:tcPr>
          <w:p w:rsidR="0004147D" w:rsidRDefault="005A6D6C">
            <w:pPr>
              <w:jc w:val="center"/>
            </w:pPr>
            <w:r>
              <w:rPr>
                <w:sz w:val="24"/>
                <w:szCs w:val="24"/>
              </w:rPr>
              <w:t>契约型开放式</w:t>
            </w:r>
          </w:p>
        </w:tc>
        <w:tc>
          <w:tcPr>
            <w:tcW w:w="1159" w:type="dxa"/>
            <w:vAlign w:val="center"/>
          </w:tcPr>
          <w:p w:rsidR="0004147D" w:rsidRDefault="005A6D6C">
            <w:pPr>
              <w:jc w:val="center"/>
            </w:pPr>
            <w:r>
              <w:rPr>
                <w:sz w:val="24"/>
                <w:szCs w:val="24"/>
              </w:rPr>
              <w:t>36,300.00</w:t>
            </w:r>
          </w:p>
        </w:tc>
        <w:tc>
          <w:tcPr>
            <w:tcW w:w="1305" w:type="dxa"/>
            <w:vAlign w:val="center"/>
          </w:tcPr>
          <w:p w:rsidR="0004147D" w:rsidRDefault="005A6D6C">
            <w:pPr>
              <w:jc w:val="center"/>
            </w:pPr>
            <w:r>
              <w:rPr>
                <w:sz w:val="24"/>
                <w:szCs w:val="24"/>
              </w:rPr>
              <w:t>4,591,187.70</w:t>
            </w:r>
          </w:p>
        </w:tc>
        <w:tc>
          <w:tcPr>
            <w:tcW w:w="1161" w:type="dxa"/>
            <w:vAlign w:val="center"/>
          </w:tcPr>
          <w:p w:rsidR="0004147D" w:rsidRDefault="005A6D6C">
            <w:pPr>
              <w:jc w:val="center"/>
            </w:pPr>
            <w:r>
              <w:rPr>
                <w:sz w:val="24"/>
                <w:szCs w:val="24"/>
              </w:rPr>
              <w:t>4.67%</w:t>
            </w:r>
          </w:p>
        </w:tc>
        <w:tc>
          <w:tcPr>
            <w:tcW w:w="1301" w:type="dxa"/>
            <w:vAlign w:val="center"/>
          </w:tcPr>
          <w:p w:rsidR="0004147D" w:rsidRDefault="005A6D6C">
            <w:pPr>
              <w:jc w:val="center"/>
            </w:pPr>
            <w:r>
              <w:rPr>
                <w:sz w:val="24"/>
                <w:szCs w:val="24"/>
              </w:rPr>
              <w:t>否</w:t>
            </w:r>
          </w:p>
        </w:tc>
      </w:tr>
      <w:tr w:rsidR="0004147D">
        <w:tc>
          <w:tcPr>
            <w:tcW w:w="835" w:type="dxa"/>
            <w:vAlign w:val="center"/>
          </w:tcPr>
          <w:p w:rsidR="0004147D" w:rsidRDefault="005A6D6C">
            <w:pPr>
              <w:jc w:val="center"/>
            </w:pPr>
            <w:r>
              <w:rPr>
                <w:sz w:val="24"/>
                <w:szCs w:val="24"/>
              </w:rPr>
              <w:t>10</w:t>
            </w:r>
          </w:p>
        </w:tc>
        <w:tc>
          <w:tcPr>
            <w:tcW w:w="1159" w:type="dxa"/>
            <w:vAlign w:val="center"/>
          </w:tcPr>
          <w:p w:rsidR="0004147D" w:rsidRDefault="005A6D6C">
            <w:pPr>
              <w:jc w:val="center"/>
            </w:pPr>
            <w:r>
              <w:rPr>
                <w:sz w:val="24"/>
                <w:szCs w:val="24"/>
              </w:rPr>
              <w:t>040040</w:t>
            </w:r>
          </w:p>
        </w:tc>
        <w:tc>
          <w:tcPr>
            <w:tcW w:w="1161" w:type="dxa"/>
            <w:vAlign w:val="center"/>
          </w:tcPr>
          <w:p w:rsidR="0004147D" w:rsidRDefault="005A6D6C">
            <w:pPr>
              <w:jc w:val="center"/>
            </w:pPr>
            <w:r>
              <w:rPr>
                <w:sz w:val="24"/>
                <w:szCs w:val="24"/>
              </w:rPr>
              <w:t>华安纯债债券</w:t>
            </w:r>
            <w:r>
              <w:rPr>
                <w:sz w:val="24"/>
                <w:szCs w:val="24"/>
              </w:rPr>
              <w:t>A</w:t>
            </w:r>
          </w:p>
        </w:tc>
        <w:tc>
          <w:tcPr>
            <w:tcW w:w="1161" w:type="dxa"/>
            <w:vAlign w:val="center"/>
          </w:tcPr>
          <w:p w:rsidR="0004147D" w:rsidRDefault="005A6D6C">
            <w:pPr>
              <w:jc w:val="center"/>
            </w:pPr>
            <w:r>
              <w:rPr>
                <w:sz w:val="24"/>
                <w:szCs w:val="24"/>
              </w:rPr>
              <w:t>契约型开放式</w:t>
            </w:r>
          </w:p>
        </w:tc>
        <w:tc>
          <w:tcPr>
            <w:tcW w:w="1159" w:type="dxa"/>
            <w:vAlign w:val="center"/>
          </w:tcPr>
          <w:p w:rsidR="0004147D" w:rsidRDefault="005A6D6C">
            <w:pPr>
              <w:jc w:val="center"/>
            </w:pPr>
            <w:r>
              <w:rPr>
                <w:sz w:val="24"/>
                <w:szCs w:val="24"/>
              </w:rPr>
              <w:t>4,210,924.54</w:t>
            </w:r>
          </w:p>
        </w:tc>
        <w:tc>
          <w:tcPr>
            <w:tcW w:w="1305" w:type="dxa"/>
            <w:vAlign w:val="center"/>
          </w:tcPr>
          <w:p w:rsidR="0004147D" w:rsidRDefault="005A6D6C">
            <w:pPr>
              <w:jc w:val="center"/>
            </w:pPr>
            <w:r>
              <w:rPr>
                <w:sz w:val="24"/>
                <w:szCs w:val="24"/>
              </w:rPr>
              <w:t>4,545,693.04</w:t>
            </w:r>
          </w:p>
        </w:tc>
        <w:tc>
          <w:tcPr>
            <w:tcW w:w="1161" w:type="dxa"/>
            <w:vAlign w:val="center"/>
          </w:tcPr>
          <w:p w:rsidR="0004147D" w:rsidRDefault="005A6D6C">
            <w:pPr>
              <w:jc w:val="center"/>
            </w:pPr>
            <w:r>
              <w:rPr>
                <w:sz w:val="24"/>
                <w:szCs w:val="24"/>
              </w:rPr>
              <w:t>4.63%</w:t>
            </w:r>
          </w:p>
        </w:tc>
        <w:tc>
          <w:tcPr>
            <w:tcW w:w="1301" w:type="dxa"/>
            <w:vAlign w:val="center"/>
          </w:tcPr>
          <w:p w:rsidR="0004147D" w:rsidRDefault="005A6D6C">
            <w:pPr>
              <w:jc w:val="center"/>
            </w:pPr>
            <w:r>
              <w:rPr>
                <w:sz w:val="24"/>
                <w:szCs w:val="24"/>
              </w:rPr>
              <w:t>否</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tbl>
      <w:tblPr>
        <w:tblStyle w:val="aff2"/>
        <w:tblW w:w="0" w:type="auto"/>
        <w:tblLayout w:type="fixed"/>
        <w:tblLook w:val="04A0" w:firstRow="1" w:lastRow="0" w:firstColumn="1" w:lastColumn="0" w:noHBand="0" w:noVBand="1"/>
      </w:tblPr>
      <w:tblGrid>
        <w:gridCol w:w="3012"/>
        <w:gridCol w:w="3012"/>
        <w:gridCol w:w="3012"/>
      </w:tblGrid>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jc w:val="center"/>
              <w:rPr>
                <w:rFonts w:eastAsiaTheme="minorEastAsia"/>
                <w:color w:val="000000" w:themeColor="text1"/>
                <w:sz w:val="24"/>
                <w:szCs w:val="24"/>
              </w:rPr>
            </w:pPr>
            <w:r w:rsidRPr="00575270">
              <w:rPr>
                <w:sz w:val="24"/>
                <w:szCs w:val="24"/>
              </w:rPr>
              <w:t>项目</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本期费用</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其中：交易及持有基金管理人以及管理人关联方所管理基金产生的费用</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lastRenderedPageBreak/>
              <w:t>当期交易基金产生的申购费</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当期交易基金产生的赎回费（元）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9,396.44</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4,435.09</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当期持有基金产生的应支付销售服务费（元）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当期持有基金产生的应支付管理费（元）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84,298.54</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40,183.51</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当期持有基金产生的应支付托管费（元）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19,095.95</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7,450.60</w:t>
            </w:r>
          </w:p>
        </w:tc>
      </w:tr>
      <w:tr w:rsidR="0004147D">
        <w:tc>
          <w:tcPr>
            <w:tcW w:w="3012" w:type="dxa"/>
            <w:vAlign w:val="center"/>
          </w:tcPr>
          <w:p w:rsidR="0004147D" w:rsidRDefault="005A6D6C">
            <w:pPr>
              <w:jc w:val="left"/>
            </w:pPr>
            <w:r>
              <w:rPr>
                <w:rFonts w:eastAsiaTheme="minorEastAsia"/>
                <w:color w:val="000000" w:themeColor="text1"/>
                <w:sz w:val="24"/>
                <w:szCs w:val="24"/>
              </w:rPr>
              <w:t>当期交易基金产生的交易费（元）</w:t>
            </w:r>
          </w:p>
        </w:tc>
        <w:tc>
          <w:tcPr>
            <w:tcW w:w="3012" w:type="dxa"/>
            <w:vAlign w:val="center"/>
          </w:tcPr>
          <w:p w:rsidR="0004147D" w:rsidRDefault="005A6D6C">
            <w:pPr>
              <w:jc w:val="right"/>
            </w:pPr>
            <w:r>
              <w:rPr>
                <w:rFonts w:eastAsiaTheme="minorEastAsia"/>
                <w:color w:val="000000" w:themeColor="text1"/>
                <w:sz w:val="24"/>
                <w:szCs w:val="24"/>
              </w:rPr>
              <w:t>6,800.70</w:t>
            </w:r>
          </w:p>
        </w:tc>
        <w:tc>
          <w:tcPr>
            <w:tcW w:w="3012" w:type="dxa"/>
            <w:vAlign w:val="center"/>
          </w:tcPr>
          <w:p w:rsidR="0004147D" w:rsidRDefault="005A6D6C">
            <w:pPr>
              <w:jc w:val="right"/>
            </w:pPr>
            <w:r>
              <w:rPr>
                <w:rFonts w:eastAsiaTheme="minorEastAsia"/>
                <w:color w:val="000000" w:themeColor="text1"/>
                <w:sz w:val="24"/>
                <w:szCs w:val="24"/>
              </w:rPr>
              <w:t>0.00</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55,976,701.53</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38,428,217.83</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6,213,860.36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88,191,059.00</w:t>
            </w:r>
          </w:p>
        </w:tc>
      </w:tr>
    </w:tbl>
    <w:p w:rsidR="00320E90" w:rsidRDefault="00320E90" w:rsidP="00C15CAC">
      <w:pPr>
        <w:autoSpaceDE w:val="0"/>
        <w:autoSpaceDN w:val="0"/>
        <w:adjustRightInd w:val="0"/>
        <w:spacing w:before="29" w:line="288" w:lineRule="auto"/>
        <w:jc w:val="left"/>
        <w:rPr>
          <w:color w:val="000000"/>
          <w:sz w:val="24"/>
          <w:szCs w:val="24"/>
        </w:rPr>
      </w:pPr>
    </w:p>
    <w:p w:rsidR="005A6D6C" w:rsidRPr="00ED2620" w:rsidRDefault="005A6D6C" w:rsidP="005A6D6C">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Pr="00ED2620">
        <w:rPr>
          <w:rFonts w:eastAsiaTheme="minorEastAsia"/>
          <w:color w:val="000000"/>
          <w:kern w:val="0"/>
          <w:sz w:val="24"/>
          <w:szCs w:val="24"/>
        </w:rPr>
        <w:t xml:space="preserve">8  </w:t>
      </w:r>
      <w:r w:rsidRPr="00ED2620">
        <w:rPr>
          <w:sz w:val="24"/>
          <w:szCs w:val="24"/>
        </w:rPr>
        <w:t>基金管理人运用固有资金投资本基金情况</w:t>
      </w:r>
    </w:p>
    <w:p w:rsidR="005A6D6C" w:rsidRPr="00ED2620" w:rsidRDefault="005A6D6C" w:rsidP="005A6D6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无。</w:t>
      </w:r>
    </w:p>
    <w:p w:rsidR="00480B35" w:rsidRPr="00414345" w:rsidRDefault="00480B35" w:rsidP="00C15CAC">
      <w:pPr>
        <w:autoSpaceDE w:val="0"/>
        <w:autoSpaceDN w:val="0"/>
        <w:adjustRightInd w:val="0"/>
        <w:spacing w:before="29" w:line="288" w:lineRule="auto"/>
        <w:jc w:val="left"/>
        <w:rPr>
          <w:color w:val="000000"/>
          <w:sz w:val="24"/>
        </w:rPr>
      </w:pPr>
    </w:p>
    <w:p w:rsidR="005B09FA" w:rsidRPr="00414345" w:rsidRDefault="005B09FA" w:rsidP="00C15CAC">
      <w:pPr>
        <w:autoSpaceDE w:val="0"/>
        <w:autoSpaceDN w:val="0"/>
        <w:adjustRightInd w:val="0"/>
        <w:spacing w:before="29" w:line="288" w:lineRule="auto"/>
        <w:jc w:val="left"/>
        <w:rPr>
          <w:color w:val="000000"/>
          <w:sz w:val="24"/>
          <w:szCs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lastRenderedPageBreak/>
        <w:t>§</w:t>
      </w:r>
      <w:r w:rsidR="005A6D6C">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5A6D6C"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04147D" w:rsidRDefault="005A6D6C">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、中国证监会准予上投摩根锦程稳健养老目标一年持有期混合型基金中基金</w:t>
      </w:r>
      <w:r>
        <w:rPr>
          <w:color w:val="000000"/>
          <w:sz w:val="24"/>
          <w:szCs w:val="24"/>
        </w:rPr>
        <w:t>(FOF)</w:t>
      </w:r>
      <w:r>
        <w:rPr>
          <w:color w:val="000000"/>
          <w:sz w:val="24"/>
          <w:szCs w:val="24"/>
        </w:rPr>
        <w:t>募集注册的文件</w:t>
      </w:r>
    </w:p>
    <w:p w:rsidR="0004147D" w:rsidRDefault="005A6D6C">
      <w:pPr>
        <w:spacing w:before="29" w:line="288" w:lineRule="auto"/>
        <w:ind w:firstLineChars="200" w:firstLine="480"/>
        <w:rPr>
          <w:color w:val="000000"/>
          <w:sz w:val="24"/>
          <w:szCs w:val="24"/>
        </w:rPr>
      </w:pPr>
      <w:r>
        <w:rPr>
          <w:color w:val="000000"/>
          <w:sz w:val="24"/>
          <w:szCs w:val="24"/>
        </w:rPr>
        <w:t>2</w:t>
      </w:r>
      <w:r>
        <w:rPr>
          <w:color w:val="000000"/>
          <w:sz w:val="24"/>
          <w:szCs w:val="24"/>
        </w:rPr>
        <w:t>、上投摩根锦程稳健养老目标一年持有期混合型基金中基金</w:t>
      </w:r>
      <w:r>
        <w:rPr>
          <w:color w:val="000000"/>
          <w:sz w:val="24"/>
          <w:szCs w:val="24"/>
        </w:rPr>
        <w:t>(FOF)</w:t>
      </w:r>
      <w:r>
        <w:rPr>
          <w:color w:val="000000"/>
          <w:sz w:val="24"/>
          <w:szCs w:val="24"/>
        </w:rPr>
        <w:t>基金合同</w:t>
      </w:r>
    </w:p>
    <w:p w:rsidR="0004147D" w:rsidRDefault="005A6D6C">
      <w:pPr>
        <w:spacing w:before="29" w:line="288" w:lineRule="auto"/>
        <w:ind w:firstLineChars="200" w:firstLine="480"/>
        <w:rPr>
          <w:color w:val="000000"/>
          <w:sz w:val="24"/>
          <w:szCs w:val="24"/>
        </w:rPr>
      </w:pPr>
      <w:r>
        <w:rPr>
          <w:color w:val="000000"/>
          <w:sz w:val="24"/>
          <w:szCs w:val="24"/>
        </w:rPr>
        <w:t>3</w:t>
      </w:r>
      <w:r>
        <w:rPr>
          <w:color w:val="000000"/>
          <w:sz w:val="24"/>
          <w:szCs w:val="24"/>
        </w:rPr>
        <w:t>、上投摩根锦程稳健养老目标一年持有期混合型基金中基金</w:t>
      </w:r>
      <w:r>
        <w:rPr>
          <w:color w:val="000000"/>
          <w:sz w:val="24"/>
          <w:szCs w:val="24"/>
        </w:rPr>
        <w:t>(FOF)</w:t>
      </w:r>
      <w:r>
        <w:rPr>
          <w:color w:val="000000"/>
          <w:sz w:val="24"/>
          <w:szCs w:val="24"/>
        </w:rPr>
        <w:t>托管协议</w:t>
      </w:r>
    </w:p>
    <w:p w:rsidR="0004147D" w:rsidRDefault="005A6D6C">
      <w:pPr>
        <w:spacing w:before="29" w:line="288" w:lineRule="auto"/>
        <w:ind w:firstLineChars="200" w:firstLine="480"/>
        <w:rPr>
          <w:color w:val="000000"/>
          <w:sz w:val="24"/>
          <w:szCs w:val="24"/>
        </w:rPr>
      </w:pPr>
      <w:r>
        <w:rPr>
          <w:color w:val="000000"/>
          <w:sz w:val="24"/>
          <w:szCs w:val="24"/>
        </w:rPr>
        <w:t>4</w:t>
      </w:r>
      <w:r>
        <w:rPr>
          <w:color w:val="000000"/>
          <w:sz w:val="24"/>
          <w:szCs w:val="24"/>
        </w:rPr>
        <w:t>、基金管理人业务资格批件、营业执照</w:t>
      </w:r>
    </w:p>
    <w:p w:rsidR="0004147D" w:rsidRDefault="005A6D6C">
      <w:pPr>
        <w:spacing w:before="29" w:line="288" w:lineRule="auto"/>
        <w:ind w:firstLineChars="200" w:firstLine="480"/>
        <w:rPr>
          <w:color w:val="000000"/>
          <w:sz w:val="24"/>
          <w:szCs w:val="24"/>
        </w:rPr>
      </w:pPr>
      <w:r>
        <w:rPr>
          <w:color w:val="000000"/>
          <w:sz w:val="24"/>
          <w:szCs w:val="24"/>
        </w:rPr>
        <w:t>5</w:t>
      </w:r>
      <w:r>
        <w:rPr>
          <w:color w:val="000000"/>
          <w:sz w:val="24"/>
          <w:szCs w:val="24"/>
        </w:rPr>
        <w:t>、基金托管人业务资格批件、营业执照</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6</w:t>
      </w:r>
      <w:r w:rsidRPr="00414345">
        <w:rPr>
          <w:color w:val="000000"/>
          <w:sz w:val="24"/>
          <w:szCs w:val="24"/>
        </w:rPr>
        <w:t>、上投摩根基金管理有限公司开放式基金业务规则</w:t>
      </w:r>
    </w:p>
    <w:p w:rsidR="006A48FD" w:rsidRPr="00414345" w:rsidRDefault="006A48FD" w:rsidP="00C15CAC">
      <w:pPr>
        <w:spacing w:before="29" w:line="288" w:lineRule="auto"/>
        <w:ind w:firstLineChars="200" w:firstLine="480"/>
        <w:rPr>
          <w:color w:val="000000"/>
          <w:sz w:val="24"/>
          <w:szCs w:val="24"/>
        </w:rPr>
      </w:pPr>
    </w:p>
    <w:p w:rsidR="004061AC" w:rsidRPr="00414345" w:rsidRDefault="005A6D6C"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基金管理人或基金托管人住所。</w:t>
      </w:r>
    </w:p>
    <w:p w:rsidR="006A48FD" w:rsidRPr="00414345" w:rsidRDefault="006A48FD" w:rsidP="00C15CAC">
      <w:pPr>
        <w:spacing w:before="29" w:line="288" w:lineRule="auto"/>
        <w:ind w:firstLineChars="200" w:firstLine="480"/>
        <w:rPr>
          <w:color w:val="000000"/>
          <w:sz w:val="24"/>
          <w:szCs w:val="24"/>
        </w:rPr>
      </w:pPr>
    </w:p>
    <w:p w:rsidR="004061AC" w:rsidRPr="00414345" w:rsidRDefault="005A6D6C"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投资者可在营业时间免费查阅，也可按工本费购买复印件。</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23" w:rsidRDefault="00D31323" w:rsidP="00876D65">
      <w:r>
        <w:separator/>
      </w:r>
    </w:p>
  </w:endnote>
  <w:endnote w:type="continuationSeparator" w:id="0">
    <w:p w:rsidR="00D31323" w:rsidRDefault="00D31323"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altName w:val="Arial"/>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0C" w:rsidRPr="001D0DB0" w:rsidRDefault="004D340C" w:rsidP="004D340C">
    <w:pPr>
      <w:pStyle w:val="a8"/>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C16D7A">
      <w:rPr>
        <w:noProof/>
        <w:kern w:val="0"/>
        <w:szCs w:val="21"/>
      </w:rPr>
      <w:t>2</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C16D7A">
      <w:rPr>
        <w:noProof/>
        <w:kern w:val="0"/>
        <w:szCs w:val="21"/>
      </w:rPr>
      <w:t>13</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23" w:rsidRDefault="00D31323" w:rsidP="00876D65">
      <w:r>
        <w:separator/>
      </w:r>
    </w:p>
  </w:footnote>
  <w:footnote w:type="continuationSeparator" w:id="0">
    <w:p w:rsidR="00D31323" w:rsidRDefault="00D31323" w:rsidP="0087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F0" w:rsidRPr="00DC456F" w:rsidRDefault="00DC456F" w:rsidP="00090A26">
    <w:pPr>
      <w:pStyle w:val="ac"/>
      <w:pBdr>
        <w:bottom w:val="single" w:sz="6" w:space="0" w:color="auto"/>
      </w:pBdr>
      <w:jc w:val="right"/>
      <w:rPr>
        <w:sz w:val="24"/>
        <w:szCs w:val="24"/>
      </w:rPr>
    </w:pPr>
    <w:r w:rsidRPr="003E676C">
      <w:rPr>
        <w:sz w:val="24"/>
        <w:szCs w:val="24"/>
      </w:rPr>
      <w:t>上投摩根锦程稳健养老目标一年持有期混合型基金中基金</w:t>
    </w:r>
    <w:r w:rsidRPr="003E676C">
      <w:rPr>
        <w:sz w:val="24"/>
        <w:szCs w:val="24"/>
      </w:rPr>
      <w:t>(FOF)2021</w:t>
    </w:r>
    <w:r w:rsidRPr="003E676C">
      <w:rPr>
        <w:sz w:val="24"/>
        <w:szCs w:val="24"/>
      </w:rPr>
      <w:t>年第</w:t>
    </w:r>
    <w:r w:rsidRPr="003E676C">
      <w:rPr>
        <w:sz w:val="24"/>
        <w:szCs w:val="24"/>
      </w:rPr>
      <w:t>4</w:t>
    </w:r>
    <w:r w:rsidRPr="003E676C">
      <w:rPr>
        <w:sz w:val="24"/>
        <w:szCs w:val="24"/>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147D"/>
    <w:rsid w:val="0004308C"/>
    <w:rsid w:val="00043852"/>
    <w:rsid w:val="000450DD"/>
    <w:rsid w:val="000463DE"/>
    <w:rsid w:val="0006147E"/>
    <w:rsid w:val="000625ED"/>
    <w:rsid w:val="00064D40"/>
    <w:rsid w:val="0006777B"/>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A6D6C"/>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0B06"/>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5FC0"/>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16D7A"/>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1323"/>
    <w:rsid w:val="00D346D9"/>
    <w:rsid w:val="00D43AFB"/>
    <w:rsid w:val="00D44EE8"/>
    <w:rsid w:val="00D57B7C"/>
    <w:rsid w:val="00D65B44"/>
    <w:rsid w:val="00D75E69"/>
    <w:rsid w:val="00D8099B"/>
    <w:rsid w:val="00D817AE"/>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DF25D5"/>
    <w:rsid w:val="00E02660"/>
    <w:rsid w:val="00E04BE1"/>
    <w:rsid w:val="00E12DBF"/>
    <w:rsid w:val="00E133DE"/>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65A4E32-8CFF-46CF-A377-E39D56DA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rsid w:val="004061AC"/>
    <w:rPr>
      <w:rFonts w:ascii="Times New Roman" w:eastAsia="宋体" w:hAnsi="Times New Roman" w:cs="Times New Roman"/>
      <w:b/>
      <w:bCs/>
      <w:kern w:val="44"/>
      <w:sz w:val="44"/>
      <w:szCs w:val="44"/>
    </w:rPr>
  </w:style>
  <w:style w:type="character" w:customStyle="1" w:styleId="20">
    <w:name w:val="标题 2 字符"/>
    <w:basedOn w:val="a1"/>
    <w:link w:val="2"/>
    <w:uiPriority w:val="99"/>
    <w:rsid w:val="004061AC"/>
    <w:rPr>
      <w:rFonts w:ascii="Arial" w:eastAsia="宋体" w:hAnsi="Arial" w:cs="Arial"/>
      <w:b/>
      <w:bCs/>
      <w:sz w:val="24"/>
      <w:szCs w:val="24"/>
    </w:rPr>
  </w:style>
  <w:style w:type="character" w:customStyle="1" w:styleId="30">
    <w:name w:val="标题 3 字符"/>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a5"/>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a5">
    <w:name w:val="正文文本缩进 字符"/>
    <w:basedOn w:val="a1"/>
    <w:link w:val="a4"/>
    <w:uiPriority w:val="99"/>
    <w:rsid w:val="004061AC"/>
    <w:rPr>
      <w:rFonts w:ascii="Arial Unicode MS" w:eastAsia="Arial Unicode MS" w:hAnsi="Arial Unicode MS" w:cs="Arial Unicode MS"/>
      <w:kern w:val="0"/>
      <w:sz w:val="24"/>
      <w:szCs w:val="24"/>
    </w:rPr>
  </w:style>
  <w:style w:type="paragraph" w:styleId="a6">
    <w:name w:val="Plain Text"/>
    <w:basedOn w:val="a"/>
    <w:link w:val="a7"/>
    <w:uiPriority w:val="99"/>
    <w:rsid w:val="004061AC"/>
    <w:rPr>
      <w:rFonts w:ascii="宋体" w:hAnsi="Courier New" w:cs="宋体"/>
    </w:rPr>
  </w:style>
  <w:style w:type="character" w:customStyle="1" w:styleId="a7">
    <w:name w:val="纯文本 字符"/>
    <w:basedOn w:val="a1"/>
    <w:link w:val="a6"/>
    <w:uiPriority w:val="99"/>
    <w:rsid w:val="004061AC"/>
    <w:rPr>
      <w:rFonts w:ascii="宋体" w:eastAsia="宋体" w:hAnsi="Courier New" w:cs="宋体"/>
      <w:szCs w:val="21"/>
    </w:rPr>
  </w:style>
  <w:style w:type="paragraph" w:styleId="21">
    <w:name w:val="Body Text Indent 2"/>
    <w:basedOn w:val="a"/>
    <w:link w:val="22"/>
    <w:uiPriority w:val="99"/>
    <w:rsid w:val="004061AC"/>
    <w:pPr>
      <w:spacing w:line="560" w:lineRule="exact"/>
      <w:ind w:firstLineChars="200" w:firstLine="480"/>
    </w:pPr>
    <w:rPr>
      <w:rFonts w:ascii="宋体" w:hAnsi="宋体" w:cs="宋体"/>
      <w:color w:val="FF0000"/>
      <w:sz w:val="24"/>
      <w:szCs w:val="24"/>
    </w:rPr>
  </w:style>
  <w:style w:type="character" w:customStyle="1" w:styleId="22">
    <w:name w:val="正文文本缩进 2 字符"/>
    <w:basedOn w:val="a1"/>
    <w:link w:val="21"/>
    <w:uiPriority w:val="99"/>
    <w:rsid w:val="004061AC"/>
    <w:rPr>
      <w:rFonts w:ascii="宋体" w:eastAsia="宋体" w:hAnsi="宋体" w:cs="宋体"/>
      <w:color w:val="FF0000"/>
      <w:sz w:val="24"/>
      <w:szCs w:val="24"/>
    </w:rPr>
  </w:style>
  <w:style w:type="paragraph" w:styleId="a8">
    <w:name w:val="footer"/>
    <w:basedOn w:val="a"/>
    <w:link w:val="a9"/>
    <w:rsid w:val="004061AC"/>
    <w:pPr>
      <w:tabs>
        <w:tab w:val="center" w:pos="4153"/>
        <w:tab w:val="right" w:pos="8306"/>
      </w:tabs>
      <w:snapToGrid w:val="0"/>
      <w:jc w:val="left"/>
    </w:pPr>
    <w:rPr>
      <w:sz w:val="18"/>
      <w:szCs w:val="18"/>
    </w:rPr>
  </w:style>
  <w:style w:type="character" w:customStyle="1" w:styleId="a9">
    <w:name w:val="页脚 字符"/>
    <w:basedOn w:val="a1"/>
    <w:link w:val="a8"/>
    <w:uiPriority w:val="99"/>
    <w:rsid w:val="004061AC"/>
    <w:rPr>
      <w:rFonts w:ascii="Times New Roman" w:eastAsia="宋体" w:hAnsi="Times New Roman" w:cs="Times New Roman"/>
      <w:sz w:val="18"/>
      <w:szCs w:val="18"/>
    </w:rPr>
  </w:style>
  <w:style w:type="character" w:styleId="aa">
    <w:name w:val="page number"/>
    <w:basedOn w:val="a1"/>
    <w:uiPriority w:val="99"/>
    <w:rsid w:val="004061AC"/>
  </w:style>
  <w:style w:type="character" w:styleId="ab">
    <w:name w:val="Hyperlink"/>
    <w:basedOn w:val="a1"/>
    <w:uiPriority w:val="99"/>
    <w:rsid w:val="004061AC"/>
    <w:rPr>
      <w:color w:val="0000FF"/>
      <w:u w:val="single"/>
    </w:rPr>
  </w:style>
  <w:style w:type="paragraph" w:styleId="31">
    <w:name w:val="Body Text Indent 3"/>
    <w:basedOn w:val="a"/>
    <w:link w:val="32"/>
    <w:uiPriority w:val="99"/>
    <w:rsid w:val="004061AC"/>
    <w:pPr>
      <w:spacing w:line="560" w:lineRule="exact"/>
      <w:ind w:firstLineChars="200" w:firstLine="420"/>
    </w:pPr>
    <w:rPr>
      <w:rFonts w:ascii="Arial" w:hAnsi="Arial" w:cs="Arial"/>
      <w:color w:val="FF0000"/>
    </w:rPr>
  </w:style>
  <w:style w:type="character" w:customStyle="1" w:styleId="32">
    <w:name w:val="正文文本缩进 3 字符"/>
    <w:basedOn w:val="a1"/>
    <w:link w:val="31"/>
    <w:uiPriority w:val="99"/>
    <w:rsid w:val="004061AC"/>
    <w:rPr>
      <w:rFonts w:ascii="Arial" w:eastAsia="宋体" w:hAnsi="Arial" w:cs="Arial"/>
      <w:color w:val="FF0000"/>
      <w:szCs w:val="21"/>
    </w:rPr>
  </w:style>
  <w:style w:type="paragraph" w:styleId="ac">
    <w:name w:val="header"/>
    <w:basedOn w:val="a"/>
    <w:link w:val="ad"/>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4061AC"/>
    <w:rPr>
      <w:rFonts w:ascii="Times New Roman" w:eastAsia="宋体" w:hAnsi="Times New Roman" w:cs="Times New Roman"/>
      <w:sz w:val="18"/>
      <w:szCs w:val="18"/>
    </w:rPr>
  </w:style>
  <w:style w:type="character" w:styleId="ae">
    <w:name w:val="FollowedHyperlink"/>
    <w:basedOn w:val="a1"/>
    <w:uiPriority w:val="99"/>
    <w:rsid w:val="004061AC"/>
    <w:rPr>
      <w:color w:val="800080"/>
      <w:u w:val="single"/>
    </w:rPr>
  </w:style>
  <w:style w:type="paragraph" w:styleId="af">
    <w:name w:val="List"/>
    <w:basedOn w:val="af0"/>
    <w:uiPriority w:val="99"/>
    <w:rsid w:val="004061AC"/>
    <w:pPr>
      <w:spacing w:after="220" w:line="220" w:lineRule="atLeast"/>
      <w:ind w:left="1440" w:hanging="360"/>
    </w:pPr>
  </w:style>
  <w:style w:type="paragraph" w:styleId="af0">
    <w:name w:val="Body Text"/>
    <w:basedOn w:val="a"/>
    <w:link w:val="af1"/>
    <w:uiPriority w:val="99"/>
    <w:rsid w:val="004061AC"/>
    <w:pPr>
      <w:spacing w:after="120"/>
    </w:pPr>
  </w:style>
  <w:style w:type="character" w:customStyle="1" w:styleId="af1">
    <w:name w:val="正文文本 字符"/>
    <w:basedOn w:val="a1"/>
    <w:link w:val="af0"/>
    <w:uiPriority w:val="99"/>
    <w:rsid w:val="004061AC"/>
    <w:rPr>
      <w:rFonts w:ascii="Times New Roman" w:eastAsia="宋体" w:hAnsi="Times New Roman" w:cs="Times New Roman"/>
      <w:szCs w:val="21"/>
    </w:rPr>
  </w:style>
  <w:style w:type="paragraph" w:styleId="af2">
    <w:name w:val="Date"/>
    <w:basedOn w:val="a"/>
    <w:next w:val="a"/>
    <w:link w:val="af3"/>
    <w:rsid w:val="004061AC"/>
    <w:rPr>
      <w:sz w:val="24"/>
      <w:szCs w:val="24"/>
    </w:rPr>
  </w:style>
  <w:style w:type="character" w:customStyle="1" w:styleId="af3">
    <w:name w:val="日期 字符"/>
    <w:basedOn w:val="a1"/>
    <w:link w:val="af2"/>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1">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uiPriority w:val="99"/>
    <w:semiHidden/>
    <w:rsid w:val="004061AC"/>
    <w:rPr>
      <w:sz w:val="18"/>
      <w:szCs w:val="18"/>
    </w:rPr>
  </w:style>
  <w:style w:type="character" w:customStyle="1" w:styleId="af5">
    <w:name w:val="批注框文本 字符"/>
    <w:basedOn w:val="a1"/>
    <w:link w:val="af4"/>
    <w:uiPriority w:val="99"/>
    <w:semiHidden/>
    <w:rsid w:val="004061AC"/>
    <w:rPr>
      <w:rFonts w:ascii="Times New Roman" w:eastAsia="宋体" w:hAnsi="Times New Roman" w:cs="Times New Roman"/>
      <w:sz w:val="18"/>
      <w:szCs w:val="18"/>
    </w:rPr>
  </w:style>
  <w:style w:type="character" w:styleId="af6">
    <w:name w:val="annotation reference"/>
    <w:basedOn w:val="a1"/>
    <w:uiPriority w:val="99"/>
    <w:semiHidden/>
    <w:rsid w:val="004061AC"/>
    <w:rPr>
      <w:sz w:val="21"/>
      <w:szCs w:val="21"/>
    </w:rPr>
  </w:style>
  <w:style w:type="paragraph" w:styleId="af7">
    <w:name w:val="annotation text"/>
    <w:basedOn w:val="a"/>
    <w:link w:val="af8"/>
    <w:uiPriority w:val="99"/>
    <w:semiHidden/>
    <w:rsid w:val="004061AC"/>
    <w:pPr>
      <w:jc w:val="left"/>
    </w:pPr>
  </w:style>
  <w:style w:type="character" w:customStyle="1" w:styleId="af8">
    <w:name w:val="批注文字 字符"/>
    <w:basedOn w:val="a1"/>
    <w:link w:val="af7"/>
    <w:uiPriority w:val="99"/>
    <w:semiHidden/>
    <w:rsid w:val="004061AC"/>
    <w:rPr>
      <w:rFonts w:ascii="Times New Roman" w:eastAsia="宋体" w:hAnsi="Times New Roman" w:cs="Times New Roman"/>
      <w:szCs w:val="21"/>
    </w:rPr>
  </w:style>
  <w:style w:type="paragraph" w:styleId="af9">
    <w:name w:val="annotation subject"/>
    <w:basedOn w:val="af7"/>
    <w:next w:val="af7"/>
    <w:link w:val="afa"/>
    <w:uiPriority w:val="99"/>
    <w:semiHidden/>
    <w:rsid w:val="004061AC"/>
    <w:rPr>
      <w:b/>
      <w:bCs/>
    </w:rPr>
  </w:style>
  <w:style w:type="character" w:customStyle="1" w:styleId="afa">
    <w:name w:val="批注主题 字符"/>
    <w:basedOn w:val="af8"/>
    <w:link w:val="af9"/>
    <w:uiPriority w:val="99"/>
    <w:semiHidden/>
    <w:rsid w:val="004061AC"/>
    <w:rPr>
      <w:rFonts w:ascii="Times New Roman" w:eastAsia="宋体" w:hAnsi="Times New Roman" w:cs="Times New Roman"/>
      <w:b/>
      <w:bCs/>
      <w:szCs w:val="21"/>
    </w:rPr>
  </w:style>
  <w:style w:type="paragraph" w:customStyle="1" w:styleId="Char">
    <w:name w:val="Char"/>
    <w:basedOn w:val="a"/>
    <w:uiPriority w:val="99"/>
    <w:rsid w:val="004061AC"/>
  </w:style>
  <w:style w:type="paragraph" w:styleId="afb">
    <w:name w:val="Document Map"/>
    <w:basedOn w:val="a"/>
    <w:link w:val="afc"/>
    <w:uiPriority w:val="99"/>
    <w:semiHidden/>
    <w:rsid w:val="004061AC"/>
    <w:pPr>
      <w:shd w:val="clear" w:color="auto" w:fill="000080"/>
    </w:pPr>
  </w:style>
  <w:style w:type="character" w:customStyle="1" w:styleId="afc">
    <w:name w:val="文档结构图 字符"/>
    <w:basedOn w:val="a1"/>
    <w:link w:val="afb"/>
    <w:uiPriority w:val="99"/>
    <w:semiHidden/>
    <w:rsid w:val="004061AC"/>
    <w:rPr>
      <w:rFonts w:ascii="Times New Roman" w:eastAsia="宋体" w:hAnsi="Times New Roman" w:cs="Times New Roman"/>
      <w:szCs w:val="21"/>
      <w:shd w:val="clear" w:color="auto" w:fill="000080"/>
    </w:rPr>
  </w:style>
  <w:style w:type="paragraph" w:customStyle="1" w:styleId="afd">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e">
    <w:name w:val="footnote text"/>
    <w:basedOn w:val="a"/>
    <w:link w:val="aff"/>
    <w:rsid w:val="004061AC"/>
    <w:pPr>
      <w:snapToGrid w:val="0"/>
      <w:jc w:val="left"/>
    </w:pPr>
    <w:rPr>
      <w:sz w:val="18"/>
      <w:szCs w:val="18"/>
    </w:rPr>
  </w:style>
  <w:style w:type="character" w:customStyle="1" w:styleId="aff">
    <w:name w:val="脚注文本 字符"/>
    <w:basedOn w:val="a1"/>
    <w:link w:val="afe"/>
    <w:rsid w:val="004061AC"/>
    <w:rPr>
      <w:rFonts w:ascii="Times New Roman" w:eastAsia="宋体" w:hAnsi="Times New Roman" w:cs="Times New Roman"/>
      <w:sz w:val="18"/>
      <w:szCs w:val="18"/>
    </w:rPr>
  </w:style>
  <w:style w:type="character" w:styleId="aff0">
    <w:name w:val="footnote reference"/>
    <w:basedOn w:val="a1"/>
    <w:rsid w:val="004061AC"/>
    <w:rPr>
      <w:vertAlign w:val="superscript"/>
    </w:rPr>
  </w:style>
  <w:style w:type="paragraph" w:styleId="aff1">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f2">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3">
    <w:name w:val="Title"/>
    <w:basedOn w:val="a"/>
    <w:next w:val="a"/>
    <w:link w:val="aff4"/>
    <w:uiPriority w:val="99"/>
    <w:qFormat/>
    <w:rsid w:val="004061AC"/>
    <w:pPr>
      <w:spacing w:before="240" w:after="60"/>
      <w:jc w:val="center"/>
      <w:outlineLvl w:val="0"/>
    </w:pPr>
    <w:rPr>
      <w:rFonts w:ascii="Cambria" w:hAnsi="Cambria" w:cs="Cambria"/>
      <w:b/>
      <w:bCs/>
      <w:sz w:val="32"/>
      <w:szCs w:val="32"/>
    </w:rPr>
  </w:style>
  <w:style w:type="character" w:customStyle="1" w:styleId="aff4">
    <w:name w:val="标题 字符"/>
    <w:basedOn w:val="a1"/>
    <w:link w:val="aff3"/>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5">
    <w:name w:val="No Spacing"/>
    <w:link w:val="aff6"/>
    <w:uiPriority w:val="1"/>
    <w:qFormat/>
    <w:rsid w:val="004061AC"/>
    <w:rPr>
      <w:rFonts w:ascii="Calibri" w:eastAsia="宋体" w:hAnsi="Calibri" w:cs="Calibri"/>
      <w:kern w:val="0"/>
      <w:sz w:val="22"/>
    </w:rPr>
  </w:style>
  <w:style w:type="character" w:customStyle="1" w:styleId="aff6">
    <w:name w:val="无间隔 字符"/>
    <w:basedOn w:val="a1"/>
    <w:link w:val="aff5"/>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f7">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f8">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004018532">
      <w:bodyDiv w:val="1"/>
      <w:marLeft w:val="0"/>
      <w:marRight w:val="0"/>
      <w:marTop w:val="0"/>
      <w:marBottom w:val="0"/>
      <w:divBdr>
        <w:top w:val="none" w:sz="0" w:space="0" w:color="auto"/>
        <w:left w:val="none" w:sz="0" w:space="0" w:color="auto"/>
        <w:bottom w:val="none" w:sz="0" w:space="0" w:color="auto"/>
        <w:right w:val="none" w:sz="0" w:space="0" w:color="auto"/>
      </w:divBdr>
    </w:div>
    <w:div w:id="1052463783">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C7B8D-381A-4786-9CFB-0AD0B4EC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13</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Wentian.Zhou@FA</cp:lastModifiedBy>
  <cp:revision>584</cp:revision>
  <dcterms:created xsi:type="dcterms:W3CDTF">2012-10-16T06:07:00Z</dcterms:created>
  <dcterms:modified xsi:type="dcterms:W3CDTF">2022-01-21T07:20:00Z</dcterms:modified>
</cp:coreProperties>
</file>