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上投摩根锦程稳健养老目标一年持有期混合型基金中基金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2021</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2021</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二〇二二年一月二十四日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4147D" w:rsidRDefault="005A6D6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4147D" w:rsidRDefault="005A6D6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2022</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4147D" w:rsidRDefault="005A6D6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4147D" w:rsidRDefault="005A6D6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4147D" w:rsidRDefault="005A6D6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2021</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上投摩根锦程稳健养老一年持有混合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009143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009143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88,191,059.00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04147D" w:rsidRDefault="005A6D6C">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04147D" w:rsidRDefault="005A6D6C">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04147D" w:rsidRDefault="005A6D6C">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20%:80%</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04147D" w:rsidRDefault="005A6D6C">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04147D" w:rsidRDefault="005A6D6C">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04147D" w:rsidRDefault="005A6D6C">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*20%+</w:t>
            </w:r>
            <w:r w:rsidRPr="00414345">
              <w:rPr>
                <w:color w:val="000000"/>
                <w:kern w:val="0"/>
                <w:sz w:val="24"/>
                <w:szCs w:val="24"/>
              </w:rPr>
              <w:t>中证综合债指数收益率</w:t>
            </w:r>
            <w:r w:rsidRPr="00414345">
              <w:rPr>
                <w:color w:val="000000"/>
                <w:kern w:val="0"/>
                <w:sz w:val="24"/>
                <w:szCs w:val="24"/>
              </w:rPr>
              <w:t>*70%+</w:t>
            </w:r>
            <w:r w:rsidRPr="00414345">
              <w:rPr>
                <w:color w:val="000000"/>
                <w:kern w:val="0"/>
                <w:sz w:val="24"/>
                <w:szCs w:val="24"/>
              </w:rPr>
              <w:t>活期存款利率（税后）</w:t>
            </w:r>
            <w:r w:rsidRPr="00414345">
              <w:rPr>
                <w:color w:val="000000"/>
                <w:kern w:val="0"/>
                <w:sz w:val="24"/>
                <w:szCs w:val="24"/>
              </w:rPr>
              <w:t>*10%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04147D" w:rsidRDefault="005A6D6C">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20%</w:t>
            </w:r>
            <w:r>
              <w:rPr>
                <w:color w:val="000000"/>
                <w:kern w:val="0"/>
                <w:sz w:val="24"/>
                <w:szCs w:val="24"/>
              </w:rPr>
              <w:t>：</w:t>
            </w:r>
            <w:r>
              <w:rPr>
                <w:color w:val="000000"/>
                <w:kern w:val="0"/>
                <w:sz w:val="24"/>
                <w:szCs w:val="24"/>
              </w:rPr>
              <w:t>80%</w:t>
            </w:r>
            <w:r>
              <w:rPr>
                <w:color w:val="000000"/>
                <w:kern w:val="0"/>
                <w:sz w:val="24"/>
                <w:szCs w:val="24"/>
              </w:rPr>
              <w:t>，在基金管理人管理的养老目标风险基金中，属于高风险类资产的配置比例较低的产品。</w:t>
            </w:r>
          </w:p>
          <w:p w:rsidR="0004147D" w:rsidRDefault="005A6D6C">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w:t>
            </w:r>
            <w:r w:rsidRPr="00414345">
              <w:rPr>
                <w:color w:val="000000"/>
                <w:kern w:val="0"/>
                <w:sz w:val="24"/>
                <w:szCs w:val="24"/>
              </w:rPr>
              <w:lastRenderedPageBreak/>
              <w:t>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A6D6C" w:rsidRPr="00414345" w:rsidTr="005A6D6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(2021</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-2021</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A6D6C" w:rsidRPr="00414345" w:rsidTr="005A6D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294,113.14</w:t>
            </w:r>
          </w:p>
        </w:tc>
      </w:tr>
      <w:tr w:rsidR="005A6D6C" w:rsidRPr="00414345" w:rsidTr="005A6D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681,873.14</w:t>
            </w:r>
          </w:p>
        </w:tc>
      </w:tr>
      <w:tr w:rsidR="005A6D6C" w:rsidRPr="00414345" w:rsidTr="005A6D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0.0098</w:t>
            </w:r>
          </w:p>
        </w:tc>
      </w:tr>
      <w:tr w:rsidR="005A6D6C" w:rsidRPr="00414345" w:rsidTr="005A6D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98,228,900.88</w:t>
            </w:r>
          </w:p>
        </w:tc>
      </w:tr>
      <w:tr w:rsidR="005A6D6C" w:rsidRPr="00414345" w:rsidTr="005A6D6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1.1138</w:t>
            </w:r>
          </w:p>
        </w:tc>
      </w:tr>
    </w:tbl>
    <w:p w:rsidR="0004147D" w:rsidRDefault="005A6D6C">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4147D">
        <w:trPr>
          <w:jc w:val="center"/>
        </w:trPr>
        <w:tc>
          <w:tcPr>
            <w:tcW w:w="1701" w:type="dxa"/>
            <w:vAlign w:val="center"/>
          </w:tcPr>
          <w:p w:rsidR="0004147D" w:rsidRDefault="005A6D6C">
            <w:pPr>
              <w:jc w:val="left"/>
            </w:pPr>
            <w:r>
              <w:rPr>
                <w:color w:val="000000"/>
                <w:sz w:val="24"/>
                <w:szCs w:val="24"/>
              </w:rPr>
              <w:t>过去三个月</w:t>
            </w:r>
          </w:p>
        </w:tc>
        <w:tc>
          <w:tcPr>
            <w:tcW w:w="1045" w:type="dxa"/>
            <w:vAlign w:val="center"/>
          </w:tcPr>
          <w:p w:rsidR="0004147D" w:rsidRDefault="005A6D6C">
            <w:pPr>
              <w:jc w:val="center"/>
            </w:pPr>
            <w:r>
              <w:rPr>
                <w:color w:val="000000"/>
                <w:sz w:val="24"/>
                <w:szCs w:val="24"/>
              </w:rPr>
              <w:t>0.98%</w:t>
            </w:r>
          </w:p>
        </w:tc>
        <w:tc>
          <w:tcPr>
            <w:tcW w:w="1344" w:type="dxa"/>
            <w:vAlign w:val="center"/>
          </w:tcPr>
          <w:p w:rsidR="0004147D" w:rsidRDefault="005A6D6C">
            <w:pPr>
              <w:jc w:val="center"/>
            </w:pPr>
            <w:r>
              <w:rPr>
                <w:color w:val="000000"/>
                <w:sz w:val="24"/>
                <w:szCs w:val="24"/>
              </w:rPr>
              <w:t>0.19%</w:t>
            </w:r>
          </w:p>
        </w:tc>
        <w:tc>
          <w:tcPr>
            <w:tcW w:w="1194" w:type="dxa"/>
            <w:vAlign w:val="center"/>
          </w:tcPr>
          <w:p w:rsidR="0004147D" w:rsidRDefault="005A6D6C">
            <w:pPr>
              <w:jc w:val="center"/>
            </w:pPr>
            <w:r>
              <w:rPr>
                <w:color w:val="000000"/>
                <w:sz w:val="24"/>
                <w:szCs w:val="24"/>
              </w:rPr>
              <w:t>1.29%</w:t>
            </w:r>
          </w:p>
        </w:tc>
        <w:tc>
          <w:tcPr>
            <w:tcW w:w="1492" w:type="dxa"/>
            <w:vAlign w:val="center"/>
          </w:tcPr>
          <w:p w:rsidR="0004147D" w:rsidRDefault="005A6D6C">
            <w:pPr>
              <w:jc w:val="center"/>
            </w:pPr>
            <w:r>
              <w:rPr>
                <w:color w:val="000000"/>
                <w:sz w:val="24"/>
                <w:szCs w:val="24"/>
              </w:rPr>
              <w:t>0.14%</w:t>
            </w:r>
          </w:p>
        </w:tc>
        <w:tc>
          <w:tcPr>
            <w:tcW w:w="1194" w:type="dxa"/>
            <w:vAlign w:val="center"/>
          </w:tcPr>
          <w:p w:rsidR="0004147D" w:rsidRDefault="005A6D6C">
            <w:pPr>
              <w:jc w:val="center"/>
            </w:pPr>
            <w:r>
              <w:rPr>
                <w:color w:val="000000"/>
                <w:sz w:val="24"/>
                <w:szCs w:val="24"/>
              </w:rPr>
              <w:t>-0.31%</w:t>
            </w:r>
          </w:p>
        </w:tc>
        <w:tc>
          <w:tcPr>
            <w:tcW w:w="898" w:type="dxa"/>
            <w:vAlign w:val="center"/>
          </w:tcPr>
          <w:p w:rsidR="0004147D" w:rsidRDefault="005A6D6C">
            <w:pPr>
              <w:jc w:val="center"/>
            </w:pPr>
            <w:r>
              <w:rPr>
                <w:color w:val="000000"/>
                <w:sz w:val="24"/>
                <w:szCs w:val="24"/>
              </w:rPr>
              <w:t>0.05%</w:t>
            </w:r>
          </w:p>
        </w:tc>
      </w:tr>
      <w:tr w:rsidR="0004147D">
        <w:trPr>
          <w:jc w:val="center"/>
        </w:trPr>
        <w:tc>
          <w:tcPr>
            <w:tcW w:w="1701" w:type="dxa"/>
            <w:vAlign w:val="center"/>
          </w:tcPr>
          <w:p w:rsidR="0004147D" w:rsidRDefault="005A6D6C">
            <w:pPr>
              <w:jc w:val="left"/>
            </w:pPr>
            <w:r>
              <w:rPr>
                <w:color w:val="000000"/>
                <w:sz w:val="24"/>
                <w:szCs w:val="24"/>
              </w:rPr>
              <w:t>过去六个月</w:t>
            </w:r>
          </w:p>
        </w:tc>
        <w:tc>
          <w:tcPr>
            <w:tcW w:w="1045" w:type="dxa"/>
            <w:vAlign w:val="center"/>
          </w:tcPr>
          <w:p w:rsidR="0004147D" w:rsidRDefault="005A6D6C">
            <w:pPr>
              <w:jc w:val="center"/>
            </w:pPr>
            <w:r>
              <w:rPr>
                <w:color w:val="000000"/>
                <w:sz w:val="24"/>
                <w:szCs w:val="24"/>
              </w:rPr>
              <w:t>1.58%</w:t>
            </w:r>
          </w:p>
        </w:tc>
        <w:tc>
          <w:tcPr>
            <w:tcW w:w="1344" w:type="dxa"/>
            <w:vAlign w:val="center"/>
          </w:tcPr>
          <w:p w:rsidR="0004147D" w:rsidRDefault="005A6D6C">
            <w:pPr>
              <w:jc w:val="center"/>
            </w:pPr>
            <w:r>
              <w:rPr>
                <w:color w:val="000000"/>
                <w:sz w:val="24"/>
                <w:szCs w:val="24"/>
              </w:rPr>
              <w:t>0.21%</w:t>
            </w:r>
          </w:p>
        </w:tc>
        <w:tc>
          <w:tcPr>
            <w:tcW w:w="1194" w:type="dxa"/>
            <w:vAlign w:val="center"/>
          </w:tcPr>
          <w:p w:rsidR="0004147D" w:rsidRDefault="005A6D6C">
            <w:pPr>
              <w:jc w:val="center"/>
            </w:pPr>
            <w:r>
              <w:rPr>
                <w:color w:val="000000"/>
                <w:sz w:val="24"/>
                <w:szCs w:val="24"/>
              </w:rPr>
              <w:t>1.64%</w:t>
            </w:r>
          </w:p>
        </w:tc>
        <w:tc>
          <w:tcPr>
            <w:tcW w:w="1492" w:type="dxa"/>
            <w:vAlign w:val="center"/>
          </w:tcPr>
          <w:p w:rsidR="0004147D" w:rsidRDefault="005A6D6C">
            <w:pPr>
              <w:jc w:val="center"/>
            </w:pPr>
            <w:r>
              <w:rPr>
                <w:color w:val="000000"/>
                <w:sz w:val="24"/>
                <w:szCs w:val="24"/>
              </w:rPr>
              <w:t>0.19%</w:t>
            </w:r>
          </w:p>
        </w:tc>
        <w:tc>
          <w:tcPr>
            <w:tcW w:w="1194" w:type="dxa"/>
            <w:vAlign w:val="center"/>
          </w:tcPr>
          <w:p w:rsidR="0004147D" w:rsidRDefault="005A6D6C">
            <w:pPr>
              <w:jc w:val="center"/>
            </w:pPr>
            <w:r>
              <w:rPr>
                <w:color w:val="000000"/>
                <w:sz w:val="24"/>
                <w:szCs w:val="24"/>
              </w:rPr>
              <w:t>-0.06%</w:t>
            </w:r>
          </w:p>
        </w:tc>
        <w:tc>
          <w:tcPr>
            <w:tcW w:w="898" w:type="dxa"/>
            <w:vAlign w:val="center"/>
          </w:tcPr>
          <w:p w:rsidR="0004147D" w:rsidRDefault="005A6D6C">
            <w:pPr>
              <w:jc w:val="center"/>
            </w:pPr>
            <w:r>
              <w:rPr>
                <w:color w:val="000000"/>
                <w:sz w:val="24"/>
                <w:szCs w:val="24"/>
              </w:rPr>
              <w:t>0.02%</w:t>
            </w:r>
          </w:p>
        </w:tc>
      </w:tr>
      <w:tr w:rsidR="0004147D">
        <w:trPr>
          <w:jc w:val="center"/>
        </w:trPr>
        <w:tc>
          <w:tcPr>
            <w:tcW w:w="1701" w:type="dxa"/>
            <w:vAlign w:val="center"/>
          </w:tcPr>
          <w:p w:rsidR="0004147D" w:rsidRDefault="005A6D6C">
            <w:pPr>
              <w:jc w:val="left"/>
            </w:pPr>
            <w:r>
              <w:rPr>
                <w:color w:val="000000"/>
                <w:sz w:val="24"/>
                <w:szCs w:val="24"/>
              </w:rPr>
              <w:t>过去一年</w:t>
            </w:r>
          </w:p>
        </w:tc>
        <w:tc>
          <w:tcPr>
            <w:tcW w:w="1045" w:type="dxa"/>
            <w:vAlign w:val="center"/>
          </w:tcPr>
          <w:p w:rsidR="0004147D" w:rsidRDefault="005A6D6C">
            <w:pPr>
              <w:jc w:val="center"/>
            </w:pPr>
            <w:r>
              <w:rPr>
                <w:color w:val="000000"/>
                <w:sz w:val="24"/>
                <w:szCs w:val="24"/>
              </w:rPr>
              <w:t>3.71%</w:t>
            </w:r>
          </w:p>
        </w:tc>
        <w:tc>
          <w:tcPr>
            <w:tcW w:w="1344" w:type="dxa"/>
            <w:vAlign w:val="center"/>
          </w:tcPr>
          <w:p w:rsidR="0004147D" w:rsidRDefault="005A6D6C">
            <w:pPr>
              <w:jc w:val="center"/>
            </w:pPr>
            <w:r>
              <w:rPr>
                <w:color w:val="000000"/>
                <w:sz w:val="24"/>
                <w:szCs w:val="24"/>
              </w:rPr>
              <w:t>0.23%</w:t>
            </w:r>
          </w:p>
        </w:tc>
        <w:tc>
          <w:tcPr>
            <w:tcW w:w="1194" w:type="dxa"/>
            <w:vAlign w:val="center"/>
          </w:tcPr>
          <w:p w:rsidR="0004147D" w:rsidRDefault="005A6D6C">
            <w:pPr>
              <w:jc w:val="center"/>
            </w:pPr>
            <w:r>
              <w:rPr>
                <w:color w:val="000000"/>
                <w:sz w:val="24"/>
                <w:szCs w:val="24"/>
              </w:rPr>
              <w:t>3.60%</w:t>
            </w:r>
          </w:p>
        </w:tc>
        <w:tc>
          <w:tcPr>
            <w:tcW w:w="1492" w:type="dxa"/>
            <w:vAlign w:val="center"/>
          </w:tcPr>
          <w:p w:rsidR="0004147D" w:rsidRDefault="005A6D6C">
            <w:pPr>
              <w:jc w:val="center"/>
            </w:pPr>
            <w:r>
              <w:rPr>
                <w:color w:val="000000"/>
                <w:sz w:val="24"/>
                <w:szCs w:val="24"/>
              </w:rPr>
              <w:t>0.22%</w:t>
            </w:r>
          </w:p>
        </w:tc>
        <w:tc>
          <w:tcPr>
            <w:tcW w:w="1194" w:type="dxa"/>
            <w:vAlign w:val="center"/>
          </w:tcPr>
          <w:p w:rsidR="0004147D" w:rsidRDefault="005A6D6C">
            <w:pPr>
              <w:jc w:val="center"/>
            </w:pPr>
            <w:r>
              <w:rPr>
                <w:color w:val="000000"/>
                <w:sz w:val="24"/>
                <w:szCs w:val="24"/>
              </w:rPr>
              <w:t>0.11%</w:t>
            </w:r>
          </w:p>
        </w:tc>
        <w:tc>
          <w:tcPr>
            <w:tcW w:w="898" w:type="dxa"/>
            <w:vAlign w:val="center"/>
          </w:tcPr>
          <w:p w:rsidR="0004147D" w:rsidRDefault="005A6D6C">
            <w:pPr>
              <w:jc w:val="center"/>
            </w:pPr>
            <w:r>
              <w:rPr>
                <w:color w:val="000000"/>
                <w:sz w:val="24"/>
                <w:szCs w:val="24"/>
              </w:rPr>
              <w:t>0.01%</w:t>
            </w:r>
          </w:p>
        </w:tc>
      </w:tr>
      <w:tr w:rsidR="0004147D">
        <w:trPr>
          <w:jc w:val="center"/>
        </w:trPr>
        <w:tc>
          <w:tcPr>
            <w:tcW w:w="1701" w:type="dxa"/>
            <w:vAlign w:val="center"/>
          </w:tcPr>
          <w:p w:rsidR="0004147D" w:rsidRDefault="005A6D6C">
            <w:pPr>
              <w:jc w:val="left"/>
            </w:pPr>
            <w:r>
              <w:rPr>
                <w:color w:val="000000"/>
                <w:sz w:val="24"/>
                <w:szCs w:val="24"/>
              </w:rPr>
              <w:t>过去三年</w:t>
            </w:r>
          </w:p>
        </w:tc>
        <w:tc>
          <w:tcPr>
            <w:tcW w:w="1045" w:type="dxa"/>
            <w:vAlign w:val="center"/>
          </w:tcPr>
          <w:p w:rsidR="0004147D" w:rsidRDefault="005A6D6C">
            <w:pPr>
              <w:jc w:val="center"/>
            </w:pPr>
            <w:r>
              <w:rPr>
                <w:color w:val="000000"/>
                <w:sz w:val="24"/>
                <w:szCs w:val="24"/>
              </w:rPr>
              <w:t>-</w:t>
            </w:r>
          </w:p>
        </w:tc>
        <w:tc>
          <w:tcPr>
            <w:tcW w:w="1344" w:type="dxa"/>
            <w:vAlign w:val="center"/>
          </w:tcPr>
          <w:p w:rsidR="0004147D" w:rsidRDefault="005A6D6C">
            <w:pPr>
              <w:jc w:val="center"/>
            </w:pPr>
            <w:r>
              <w:rPr>
                <w:color w:val="000000"/>
                <w:sz w:val="24"/>
                <w:szCs w:val="24"/>
              </w:rPr>
              <w:t>-</w:t>
            </w:r>
          </w:p>
        </w:tc>
        <w:tc>
          <w:tcPr>
            <w:tcW w:w="1194" w:type="dxa"/>
            <w:vAlign w:val="center"/>
          </w:tcPr>
          <w:p w:rsidR="0004147D" w:rsidRDefault="005A6D6C">
            <w:pPr>
              <w:jc w:val="center"/>
            </w:pPr>
            <w:r>
              <w:rPr>
                <w:color w:val="000000"/>
                <w:sz w:val="24"/>
                <w:szCs w:val="24"/>
              </w:rPr>
              <w:t>-</w:t>
            </w:r>
          </w:p>
        </w:tc>
        <w:tc>
          <w:tcPr>
            <w:tcW w:w="1492" w:type="dxa"/>
            <w:vAlign w:val="center"/>
          </w:tcPr>
          <w:p w:rsidR="0004147D" w:rsidRDefault="005A6D6C">
            <w:pPr>
              <w:jc w:val="center"/>
            </w:pPr>
            <w:r>
              <w:rPr>
                <w:color w:val="000000"/>
                <w:sz w:val="24"/>
                <w:szCs w:val="24"/>
              </w:rPr>
              <w:t>-</w:t>
            </w:r>
          </w:p>
        </w:tc>
        <w:tc>
          <w:tcPr>
            <w:tcW w:w="1194" w:type="dxa"/>
            <w:vAlign w:val="center"/>
          </w:tcPr>
          <w:p w:rsidR="0004147D" w:rsidRDefault="005A6D6C">
            <w:pPr>
              <w:jc w:val="center"/>
            </w:pPr>
            <w:r>
              <w:rPr>
                <w:color w:val="000000"/>
                <w:sz w:val="24"/>
                <w:szCs w:val="24"/>
              </w:rPr>
              <w:t>-</w:t>
            </w:r>
          </w:p>
        </w:tc>
        <w:tc>
          <w:tcPr>
            <w:tcW w:w="898" w:type="dxa"/>
            <w:vAlign w:val="center"/>
          </w:tcPr>
          <w:p w:rsidR="0004147D" w:rsidRDefault="005A6D6C">
            <w:pPr>
              <w:jc w:val="center"/>
            </w:pPr>
            <w:r>
              <w:rPr>
                <w:color w:val="000000"/>
                <w:sz w:val="24"/>
                <w:szCs w:val="24"/>
              </w:rPr>
              <w:t>-</w:t>
            </w:r>
          </w:p>
        </w:tc>
      </w:tr>
      <w:tr w:rsidR="0004147D">
        <w:trPr>
          <w:jc w:val="center"/>
        </w:trPr>
        <w:tc>
          <w:tcPr>
            <w:tcW w:w="1701" w:type="dxa"/>
            <w:vAlign w:val="center"/>
          </w:tcPr>
          <w:p w:rsidR="0004147D" w:rsidRDefault="005A6D6C">
            <w:pPr>
              <w:jc w:val="left"/>
            </w:pPr>
            <w:r>
              <w:rPr>
                <w:color w:val="000000"/>
                <w:sz w:val="24"/>
                <w:szCs w:val="24"/>
              </w:rPr>
              <w:t>过去五年</w:t>
            </w:r>
          </w:p>
        </w:tc>
        <w:tc>
          <w:tcPr>
            <w:tcW w:w="1045" w:type="dxa"/>
            <w:vAlign w:val="center"/>
          </w:tcPr>
          <w:p w:rsidR="0004147D" w:rsidRDefault="005A6D6C">
            <w:pPr>
              <w:jc w:val="center"/>
            </w:pPr>
            <w:r>
              <w:rPr>
                <w:color w:val="000000"/>
                <w:sz w:val="24"/>
                <w:szCs w:val="24"/>
              </w:rPr>
              <w:t>-</w:t>
            </w:r>
          </w:p>
        </w:tc>
        <w:tc>
          <w:tcPr>
            <w:tcW w:w="1344" w:type="dxa"/>
            <w:vAlign w:val="center"/>
          </w:tcPr>
          <w:p w:rsidR="0004147D" w:rsidRDefault="005A6D6C">
            <w:pPr>
              <w:jc w:val="center"/>
            </w:pPr>
            <w:r>
              <w:rPr>
                <w:color w:val="000000"/>
                <w:sz w:val="24"/>
                <w:szCs w:val="24"/>
              </w:rPr>
              <w:t>-</w:t>
            </w:r>
          </w:p>
        </w:tc>
        <w:tc>
          <w:tcPr>
            <w:tcW w:w="1194" w:type="dxa"/>
            <w:vAlign w:val="center"/>
          </w:tcPr>
          <w:p w:rsidR="0004147D" w:rsidRDefault="005A6D6C">
            <w:pPr>
              <w:jc w:val="center"/>
            </w:pPr>
            <w:r>
              <w:rPr>
                <w:color w:val="000000"/>
                <w:sz w:val="24"/>
                <w:szCs w:val="24"/>
              </w:rPr>
              <w:t>-</w:t>
            </w:r>
          </w:p>
        </w:tc>
        <w:tc>
          <w:tcPr>
            <w:tcW w:w="1492" w:type="dxa"/>
            <w:vAlign w:val="center"/>
          </w:tcPr>
          <w:p w:rsidR="0004147D" w:rsidRDefault="005A6D6C">
            <w:pPr>
              <w:jc w:val="center"/>
            </w:pPr>
            <w:r>
              <w:rPr>
                <w:color w:val="000000"/>
                <w:sz w:val="24"/>
                <w:szCs w:val="24"/>
              </w:rPr>
              <w:t>-</w:t>
            </w:r>
          </w:p>
        </w:tc>
        <w:tc>
          <w:tcPr>
            <w:tcW w:w="1194" w:type="dxa"/>
            <w:vAlign w:val="center"/>
          </w:tcPr>
          <w:p w:rsidR="0004147D" w:rsidRDefault="005A6D6C">
            <w:pPr>
              <w:jc w:val="center"/>
            </w:pPr>
            <w:r>
              <w:rPr>
                <w:color w:val="000000"/>
                <w:sz w:val="24"/>
                <w:szCs w:val="24"/>
              </w:rPr>
              <w:t>-</w:t>
            </w:r>
          </w:p>
        </w:tc>
        <w:tc>
          <w:tcPr>
            <w:tcW w:w="898" w:type="dxa"/>
            <w:vAlign w:val="center"/>
          </w:tcPr>
          <w:p w:rsidR="0004147D" w:rsidRDefault="005A6D6C">
            <w:pPr>
              <w:jc w:val="center"/>
            </w:pPr>
            <w:r>
              <w:rPr>
                <w:color w:val="000000"/>
                <w:sz w:val="24"/>
                <w:szCs w:val="24"/>
              </w:rPr>
              <w:t>-</w:t>
            </w:r>
          </w:p>
        </w:tc>
      </w:tr>
      <w:tr w:rsidR="0004147D">
        <w:trPr>
          <w:jc w:val="center"/>
        </w:trPr>
        <w:tc>
          <w:tcPr>
            <w:tcW w:w="1701" w:type="dxa"/>
            <w:vAlign w:val="center"/>
          </w:tcPr>
          <w:p w:rsidR="0004147D" w:rsidRDefault="005A6D6C">
            <w:pPr>
              <w:jc w:val="left"/>
            </w:pPr>
            <w:r>
              <w:rPr>
                <w:color w:val="000000"/>
                <w:sz w:val="24"/>
                <w:szCs w:val="24"/>
              </w:rPr>
              <w:t>自基金合同生效起至今</w:t>
            </w:r>
          </w:p>
        </w:tc>
        <w:tc>
          <w:tcPr>
            <w:tcW w:w="1045" w:type="dxa"/>
            <w:vAlign w:val="center"/>
          </w:tcPr>
          <w:p w:rsidR="0004147D" w:rsidRDefault="005A6D6C">
            <w:pPr>
              <w:jc w:val="center"/>
            </w:pPr>
            <w:r>
              <w:rPr>
                <w:color w:val="000000"/>
                <w:sz w:val="24"/>
                <w:szCs w:val="24"/>
              </w:rPr>
              <w:t>11.38%</w:t>
            </w:r>
          </w:p>
        </w:tc>
        <w:tc>
          <w:tcPr>
            <w:tcW w:w="1344" w:type="dxa"/>
            <w:vAlign w:val="center"/>
          </w:tcPr>
          <w:p w:rsidR="0004147D" w:rsidRDefault="005A6D6C">
            <w:pPr>
              <w:jc w:val="center"/>
            </w:pPr>
            <w:r>
              <w:rPr>
                <w:color w:val="000000"/>
                <w:sz w:val="24"/>
                <w:szCs w:val="24"/>
              </w:rPr>
              <w:t>0.25%</w:t>
            </w:r>
          </w:p>
        </w:tc>
        <w:tc>
          <w:tcPr>
            <w:tcW w:w="1194" w:type="dxa"/>
            <w:vAlign w:val="center"/>
          </w:tcPr>
          <w:p w:rsidR="0004147D" w:rsidRDefault="005A6D6C">
            <w:pPr>
              <w:jc w:val="center"/>
            </w:pPr>
            <w:r>
              <w:rPr>
                <w:color w:val="000000"/>
                <w:sz w:val="24"/>
                <w:szCs w:val="24"/>
              </w:rPr>
              <w:t>9.12%</w:t>
            </w:r>
          </w:p>
        </w:tc>
        <w:tc>
          <w:tcPr>
            <w:tcW w:w="1492" w:type="dxa"/>
            <w:vAlign w:val="center"/>
          </w:tcPr>
          <w:p w:rsidR="0004147D" w:rsidRDefault="005A6D6C">
            <w:pPr>
              <w:jc w:val="center"/>
            </w:pPr>
            <w:r>
              <w:rPr>
                <w:color w:val="000000"/>
                <w:sz w:val="24"/>
                <w:szCs w:val="24"/>
              </w:rPr>
              <w:t>0.23%</w:t>
            </w:r>
          </w:p>
        </w:tc>
        <w:tc>
          <w:tcPr>
            <w:tcW w:w="1194" w:type="dxa"/>
            <w:vAlign w:val="center"/>
          </w:tcPr>
          <w:p w:rsidR="0004147D" w:rsidRDefault="005A6D6C">
            <w:pPr>
              <w:jc w:val="center"/>
            </w:pPr>
            <w:r>
              <w:rPr>
                <w:color w:val="000000"/>
                <w:sz w:val="24"/>
                <w:szCs w:val="24"/>
              </w:rPr>
              <w:t>2.26%</w:t>
            </w:r>
          </w:p>
        </w:tc>
        <w:tc>
          <w:tcPr>
            <w:tcW w:w="898" w:type="dxa"/>
            <w:vAlign w:val="center"/>
          </w:tcPr>
          <w:p w:rsidR="0004147D" w:rsidRDefault="005A6D6C">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上投摩根锦程稳健养老目标一年持有期混合型基金中基金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2021</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04147D" w:rsidRDefault="005A6D6C">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23</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4147D">
        <w:trPr>
          <w:jc w:val="center"/>
        </w:trPr>
        <w:tc>
          <w:tcPr>
            <w:tcW w:w="846" w:type="dxa"/>
            <w:vAlign w:val="center"/>
          </w:tcPr>
          <w:p w:rsidR="0004147D" w:rsidRDefault="005A6D6C">
            <w:pPr>
              <w:jc w:val="center"/>
            </w:pPr>
            <w:r>
              <w:rPr>
                <w:color w:val="000000"/>
                <w:sz w:val="24"/>
                <w:szCs w:val="24"/>
              </w:rPr>
              <w:t>杜习杰</w:t>
            </w:r>
          </w:p>
        </w:tc>
        <w:tc>
          <w:tcPr>
            <w:tcW w:w="845" w:type="dxa"/>
            <w:vAlign w:val="center"/>
          </w:tcPr>
          <w:p w:rsidR="0004147D" w:rsidRDefault="005A6D6C">
            <w:pPr>
              <w:jc w:val="center"/>
            </w:pPr>
            <w:r>
              <w:rPr>
                <w:color w:val="000000"/>
                <w:sz w:val="24"/>
                <w:szCs w:val="24"/>
              </w:rPr>
              <w:t>本基金基金经理</w:t>
            </w:r>
          </w:p>
        </w:tc>
        <w:tc>
          <w:tcPr>
            <w:tcW w:w="1549" w:type="dxa"/>
            <w:vAlign w:val="center"/>
          </w:tcPr>
          <w:p w:rsidR="0004147D" w:rsidRDefault="005A6D6C">
            <w:pPr>
              <w:jc w:val="center"/>
            </w:pPr>
            <w:r>
              <w:rPr>
                <w:color w:val="000000"/>
                <w:sz w:val="24"/>
                <w:szCs w:val="24"/>
              </w:rPr>
              <w:t>2020-04-23</w:t>
            </w:r>
          </w:p>
        </w:tc>
        <w:tc>
          <w:tcPr>
            <w:tcW w:w="1548" w:type="dxa"/>
            <w:vAlign w:val="center"/>
          </w:tcPr>
          <w:p w:rsidR="0004147D" w:rsidRDefault="005A6D6C">
            <w:pPr>
              <w:jc w:val="center"/>
            </w:pPr>
            <w:r>
              <w:rPr>
                <w:color w:val="000000"/>
                <w:sz w:val="24"/>
                <w:szCs w:val="24"/>
              </w:rPr>
              <w:t>-</w:t>
            </w:r>
          </w:p>
        </w:tc>
        <w:tc>
          <w:tcPr>
            <w:tcW w:w="1407" w:type="dxa"/>
            <w:vAlign w:val="center"/>
          </w:tcPr>
          <w:p w:rsidR="0004147D" w:rsidRDefault="005A6D6C">
            <w:pPr>
              <w:jc w:val="center"/>
            </w:pPr>
            <w:r>
              <w:rPr>
                <w:color w:val="000000"/>
                <w:sz w:val="24"/>
                <w:szCs w:val="24"/>
              </w:rPr>
              <w:t>13</w:t>
            </w:r>
            <w:r>
              <w:rPr>
                <w:color w:val="000000"/>
                <w:sz w:val="24"/>
                <w:szCs w:val="24"/>
              </w:rPr>
              <w:t>年</w:t>
            </w:r>
          </w:p>
        </w:tc>
        <w:tc>
          <w:tcPr>
            <w:tcW w:w="2673" w:type="dxa"/>
            <w:vAlign w:val="center"/>
          </w:tcPr>
          <w:p w:rsidR="0004147D" w:rsidRDefault="005A6D6C">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w:t>
            </w:r>
            <w:r>
              <w:rPr>
                <w:color w:val="000000"/>
                <w:sz w:val="24"/>
                <w:szCs w:val="24"/>
              </w:rPr>
              <w:lastRenderedPageBreak/>
              <w:t>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bl>
    <w:p w:rsidR="0004147D" w:rsidRDefault="005A6D6C">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04147D" w:rsidRDefault="005A6D6C">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稳健养老目标一年持有期混合型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4147D" w:rsidRDefault="005A6D6C">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4147D" w:rsidRDefault="005A6D6C">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w:t>
      </w:r>
      <w:r>
        <w:rPr>
          <w:color w:val="000000"/>
          <w:sz w:val="24"/>
          <w:szCs w:val="24"/>
        </w:rPr>
        <w:lastRenderedPageBreak/>
        <w:t>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04147D" w:rsidRDefault="005A6D6C">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4147D" w:rsidRDefault="005A6D6C">
      <w:pPr>
        <w:spacing w:before="29" w:line="288" w:lineRule="auto"/>
        <w:ind w:firstLineChars="200" w:firstLine="480"/>
        <w:rPr>
          <w:color w:val="000000"/>
          <w:sz w:val="24"/>
          <w:szCs w:val="24"/>
        </w:rPr>
      </w:pPr>
      <w:r>
        <w:rPr>
          <w:color w:val="000000"/>
          <w:sz w:val="24"/>
          <w:szCs w:val="24"/>
        </w:rPr>
        <w:t>回顾四季度，经济下行压力较大已被市场充分预期，央行适度降准降息，稳增长的政策持续加码。政策推出的力度和节奏成为市场关注的焦点。临近年底市场资金博弈的氛围较浓，严格监管北上资金的政策压低了市场风险偏好。高估值的行业和板块波动较大。国内权益本季度小幅上涨，成长风格跑赢价值风格，小市值风格有较好的表现。海外虽有疫情的扰动，但是经济复苏依然明确，欧美权益市场大幅上涨。发达市场</w:t>
      </w:r>
      <w:r>
        <w:rPr>
          <w:color w:val="000000"/>
          <w:sz w:val="24"/>
          <w:szCs w:val="24"/>
        </w:rPr>
        <w:t>REITs</w:t>
      </w:r>
      <w:r>
        <w:rPr>
          <w:color w:val="000000"/>
          <w:sz w:val="24"/>
          <w:szCs w:val="24"/>
        </w:rPr>
        <w:t>在基本面改善的驱动下表现突出。</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近期制造业</w:t>
      </w:r>
      <w:r w:rsidRPr="00414345">
        <w:rPr>
          <w:color w:val="000000"/>
          <w:sz w:val="24"/>
          <w:szCs w:val="24"/>
        </w:rPr>
        <w:t>PMI</w:t>
      </w:r>
      <w:r w:rsidRPr="00414345">
        <w:rPr>
          <w:color w:val="000000"/>
          <w:sz w:val="24"/>
          <w:szCs w:val="24"/>
        </w:rPr>
        <w:t>连续</w:t>
      </w:r>
      <w:r w:rsidRPr="00414345">
        <w:rPr>
          <w:color w:val="000000"/>
          <w:sz w:val="24"/>
          <w:szCs w:val="24"/>
        </w:rPr>
        <w:t>2</w:t>
      </w:r>
      <w:r w:rsidRPr="00414345">
        <w:rPr>
          <w:color w:val="000000"/>
          <w:sz w:val="24"/>
          <w:szCs w:val="24"/>
        </w:rPr>
        <w:t>个月回升，虽然经济有较大的下行压力，但是宽松的货币政策和积极的财政政策发力会适当靠前。市场的整体预期也在逐步转好，制造业的景气度大概率会得到一定的延续。财政政策有较大的发力空间，基建特别是和新基建相关的行业和板块具有一定的投资机会。在目前国内经济和政策环境下债券收益率大概率维持在低位，对信用债仍旧保持谨慎态度。美国经济复苏明确，通胀和美联储的政策将带来较高的不确定性，但长期依旧对美国权益保持乐观。发达市场</w:t>
      </w:r>
      <w:r w:rsidRPr="00414345">
        <w:rPr>
          <w:color w:val="000000"/>
          <w:sz w:val="24"/>
          <w:szCs w:val="24"/>
        </w:rPr>
        <w:t>REITs</w:t>
      </w:r>
      <w:r w:rsidRPr="00414345">
        <w:rPr>
          <w:color w:val="000000"/>
          <w:sz w:val="24"/>
          <w:szCs w:val="24"/>
        </w:rPr>
        <w:t>基本面持续改善，在通胀的环境中预计将会有不错的表现，美债收益率过快上升会对其表现造成一定的波动。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本报告期上投摩根锦程稳健养老一年持有混合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:0.98%</w:t>
      </w:r>
      <w:r w:rsidRPr="00414345">
        <w:rPr>
          <w:color w:val="000000"/>
          <w:sz w:val="24"/>
          <w:szCs w:val="24"/>
        </w:rPr>
        <w:t>，同期业绩比较基准收益率为</w:t>
      </w:r>
      <w:r w:rsidRPr="00414345">
        <w:rPr>
          <w:color w:val="000000"/>
          <w:sz w:val="24"/>
          <w:szCs w:val="24"/>
        </w:rPr>
        <w:t>:1.29%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88,727,075.54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89.70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4,877,125.80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4,877,125.80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1,486,784.77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1,020,063.51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98,911,049.62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4,788,125.80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4,877,125.80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4147D">
        <w:trPr>
          <w:jc w:val="center"/>
        </w:trPr>
        <w:tc>
          <w:tcPr>
            <w:tcW w:w="850" w:type="dxa"/>
            <w:vAlign w:val="center"/>
          </w:tcPr>
          <w:p w:rsidR="0004147D" w:rsidRDefault="005A6D6C">
            <w:pPr>
              <w:jc w:val="center"/>
            </w:pPr>
            <w:r>
              <w:rPr>
                <w:color w:val="000000"/>
                <w:sz w:val="24"/>
                <w:szCs w:val="24"/>
              </w:rPr>
              <w:t>1</w:t>
            </w:r>
          </w:p>
        </w:tc>
        <w:tc>
          <w:tcPr>
            <w:tcW w:w="1475" w:type="dxa"/>
            <w:vAlign w:val="center"/>
          </w:tcPr>
          <w:p w:rsidR="0004147D" w:rsidRDefault="005A6D6C">
            <w:pPr>
              <w:jc w:val="center"/>
            </w:pPr>
            <w:r>
              <w:rPr>
                <w:color w:val="000000"/>
                <w:sz w:val="24"/>
                <w:szCs w:val="24"/>
              </w:rPr>
              <w:t>019649</w:t>
            </w:r>
          </w:p>
        </w:tc>
        <w:tc>
          <w:tcPr>
            <w:tcW w:w="1769" w:type="dxa"/>
            <w:vAlign w:val="center"/>
          </w:tcPr>
          <w:p w:rsidR="0004147D" w:rsidRDefault="005A6D6C">
            <w:pPr>
              <w:jc w:val="center"/>
            </w:pPr>
            <w:r>
              <w:rPr>
                <w:color w:val="000000"/>
                <w:sz w:val="24"/>
                <w:szCs w:val="24"/>
              </w:rPr>
              <w:t>21</w:t>
            </w:r>
            <w:r>
              <w:rPr>
                <w:color w:val="000000"/>
                <w:sz w:val="24"/>
                <w:szCs w:val="24"/>
              </w:rPr>
              <w:t>国债</w:t>
            </w:r>
            <w:r>
              <w:rPr>
                <w:color w:val="000000"/>
                <w:sz w:val="24"/>
                <w:szCs w:val="24"/>
              </w:rPr>
              <w:t>01</w:t>
            </w:r>
          </w:p>
        </w:tc>
        <w:tc>
          <w:tcPr>
            <w:tcW w:w="1387" w:type="dxa"/>
            <w:vAlign w:val="center"/>
          </w:tcPr>
          <w:p w:rsidR="0004147D" w:rsidRDefault="005A6D6C">
            <w:pPr>
              <w:jc w:val="right"/>
            </w:pPr>
            <w:r>
              <w:rPr>
                <w:color w:val="000000"/>
                <w:sz w:val="24"/>
                <w:szCs w:val="24"/>
              </w:rPr>
              <w:t>31,240</w:t>
            </w:r>
          </w:p>
        </w:tc>
        <w:tc>
          <w:tcPr>
            <w:tcW w:w="2150" w:type="dxa"/>
            <w:vAlign w:val="center"/>
          </w:tcPr>
          <w:p w:rsidR="0004147D" w:rsidRDefault="005A6D6C">
            <w:pPr>
              <w:jc w:val="right"/>
            </w:pPr>
            <w:r>
              <w:rPr>
                <w:color w:val="000000"/>
                <w:sz w:val="24"/>
                <w:szCs w:val="24"/>
              </w:rPr>
              <w:t>3,124,624.80</w:t>
            </w:r>
          </w:p>
        </w:tc>
        <w:tc>
          <w:tcPr>
            <w:tcW w:w="1237" w:type="dxa"/>
            <w:vAlign w:val="center"/>
          </w:tcPr>
          <w:p w:rsidR="0004147D" w:rsidRDefault="005A6D6C">
            <w:pPr>
              <w:jc w:val="right"/>
            </w:pPr>
            <w:r>
              <w:rPr>
                <w:color w:val="000000"/>
                <w:sz w:val="24"/>
                <w:szCs w:val="24"/>
              </w:rPr>
              <w:t>3.18</w:t>
            </w:r>
          </w:p>
        </w:tc>
      </w:tr>
      <w:tr w:rsidR="0004147D">
        <w:trPr>
          <w:jc w:val="center"/>
        </w:trPr>
        <w:tc>
          <w:tcPr>
            <w:tcW w:w="850" w:type="dxa"/>
            <w:vAlign w:val="center"/>
          </w:tcPr>
          <w:p w:rsidR="0004147D" w:rsidRDefault="005A6D6C">
            <w:pPr>
              <w:jc w:val="center"/>
            </w:pPr>
            <w:r>
              <w:rPr>
                <w:color w:val="000000"/>
                <w:sz w:val="24"/>
                <w:szCs w:val="24"/>
              </w:rPr>
              <w:t>2</w:t>
            </w:r>
          </w:p>
        </w:tc>
        <w:tc>
          <w:tcPr>
            <w:tcW w:w="1475" w:type="dxa"/>
            <w:vAlign w:val="center"/>
          </w:tcPr>
          <w:p w:rsidR="0004147D" w:rsidRDefault="005A6D6C">
            <w:pPr>
              <w:jc w:val="center"/>
            </w:pPr>
            <w:r>
              <w:rPr>
                <w:color w:val="000000"/>
                <w:sz w:val="24"/>
                <w:szCs w:val="24"/>
              </w:rPr>
              <w:t>019658</w:t>
            </w:r>
          </w:p>
        </w:tc>
        <w:tc>
          <w:tcPr>
            <w:tcW w:w="1769" w:type="dxa"/>
            <w:vAlign w:val="center"/>
          </w:tcPr>
          <w:p w:rsidR="0004147D" w:rsidRDefault="005A6D6C">
            <w:pPr>
              <w:jc w:val="center"/>
            </w:pPr>
            <w:r>
              <w:rPr>
                <w:color w:val="000000"/>
                <w:sz w:val="24"/>
                <w:szCs w:val="24"/>
              </w:rPr>
              <w:t>21</w:t>
            </w:r>
            <w:r>
              <w:rPr>
                <w:color w:val="000000"/>
                <w:sz w:val="24"/>
                <w:szCs w:val="24"/>
              </w:rPr>
              <w:t>国债</w:t>
            </w:r>
            <w:r>
              <w:rPr>
                <w:color w:val="000000"/>
                <w:sz w:val="24"/>
                <w:szCs w:val="24"/>
              </w:rPr>
              <w:t>10</w:t>
            </w:r>
          </w:p>
        </w:tc>
        <w:tc>
          <w:tcPr>
            <w:tcW w:w="1387" w:type="dxa"/>
            <w:vAlign w:val="center"/>
          </w:tcPr>
          <w:p w:rsidR="0004147D" w:rsidRDefault="005A6D6C">
            <w:pPr>
              <w:jc w:val="right"/>
            </w:pPr>
            <w:r>
              <w:rPr>
                <w:color w:val="000000"/>
                <w:sz w:val="24"/>
                <w:szCs w:val="24"/>
              </w:rPr>
              <w:t>16,660</w:t>
            </w:r>
          </w:p>
        </w:tc>
        <w:tc>
          <w:tcPr>
            <w:tcW w:w="2150" w:type="dxa"/>
            <w:vAlign w:val="center"/>
          </w:tcPr>
          <w:p w:rsidR="0004147D" w:rsidRDefault="005A6D6C">
            <w:pPr>
              <w:jc w:val="right"/>
            </w:pPr>
            <w:r>
              <w:rPr>
                <w:color w:val="000000"/>
                <w:sz w:val="24"/>
                <w:szCs w:val="24"/>
              </w:rPr>
              <w:t>1,663,501.00</w:t>
            </w:r>
          </w:p>
        </w:tc>
        <w:tc>
          <w:tcPr>
            <w:tcW w:w="1237" w:type="dxa"/>
            <w:vAlign w:val="center"/>
          </w:tcPr>
          <w:p w:rsidR="0004147D" w:rsidRDefault="005A6D6C">
            <w:pPr>
              <w:jc w:val="right"/>
            </w:pPr>
            <w:r>
              <w:rPr>
                <w:color w:val="000000"/>
                <w:sz w:val="24"/>
                <w:szCs w:val="24"/>
              </w:rPr>
              <w:t>1.69</w:t>
            </w:r>
          </w:p>
        </w:tc>
      </w:tr>
      <w:tr w:rsidR="0004147D">
        <w:trPr>
          <w:jc w:val="center"/>
        </w:trPr>
        <w:tc>
          <w:tcPr>
            <w:tcW w:w="850" w:type="dxa"/>
            <w:vAlign w:val="center"/>
          </w:tcPr>
          <w:p w:rsidR="0004147D" w:rsidRDefault="005A6D6C">
            <w:pPr>
              <w:jc w:val="center"/>
            </w:pPr>
            <w:r>
              <w:rPr>
                <w:color w:val="000000"/>
                <w:sz w:val="24"/>
                <w:szCs w:val="24"/>
              </w:rPr>
              <w:t>3</w:t>
            </w:r>
          </w:p>
        </w:tc>
        <w:tc>
          <w:tcPr>
            <w:tcW w:w="1475" w:type="dxa"/>
            <w:vAlign w:val="center"/>
          </w:tcPr>
          <w:p w:rsidR="0004147D" w:rsidRDefault="005A6D6C">
            <w:pPr>
              <w:jc w:val="center"/>
            </w:pPr>
            <w:r>
              <w:rPr>
                <w:color w:val="000000"/>
                <w:sz w:val="24"/>
                <w:szCs w:val="24"/>
              </w:rPr>
              <w:t>113052</w:t>
            </w:r>
          </w:p>
        </w:tc>
        <w:tc>
          <w:tcPr>
            <w:tcW w:w="1769" w:type="dxa"/>
            <w:vAlign w:val="center"/>
          </w:tcPr>
          <w:p w:rsidR="0004147D" w:rsidRDefault="005A6D6C">
            <w:pPr>
              <w:jc w:val="center"/>
            </w:pPr>
            <w:r>
              <w:rPr>
                <w:color w:val="000000"/>
                <w:sz w:val="24"/>
                <w:szCs w:val="24"/>
              </w:rPr>
              <w:t>兴业转债</w:t>
            </w:r>
          </w:p>
        </w:tc>
        <w:tc>
          <w:tcPr>
            <w:tcW w:w="1387" w:type="dxa"/>
            <w:vAlign w:val="center"/>
          </w:tcPr>
          <w:p w:rsidR="0004147D" w:rsidRDefault="005A6D6C">
            <w:pPr>
              <w:jc w:val="right"/>
            </w:pPr>
            <w:r>
              <w:rPr>
                <w:color w:val="000000"/>
                <w:sz w:val="24"/>
                <w:szCs w:val="24"/>
              </w:rPr>
              <w:t>890</w:t>
            </w:r>
          </w:p>
        </w:tc>
        <w:tc>
          <w:tcPr>
            <w:tcW w:w="2150" w:type="dxa"/>
            <w:vAlign w:val="center"/>
          </w:tcPr>
          <w:p w:rsidR="0004147D" w:rsidRDefault="005A6D6C">
            <w:pPr>
              <w:jc w:val="right"/>
            </w:pPr>
            <w:r>
              <w:rPr>
                <w:color w:val="000000"/>
                <w:sz w:val="24"/>
                <w:szCs w:val="24"/>
              </w:rPr>
              <w:t>89,000.00</w:t>
            </w:r>
          </w:p>
        </w:tc>
        <w:tc>
          <w:tcPr>
            <w:tcW w:w="1237" w:type="dxa"/>
            <w:vAlign w:val="center"/>
          </w:tcPr>
          <w:p w:rsidR="0004147D" w:rsidRDefault="005A6D6C">
            <w:pPr>
              <w:jc w:val="right"/>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5,902.31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0.01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88,639.35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415,521.84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1,020,063.51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4147D">
        <w:tc>
          <w:tcPr>
            <w:tcW w:w="835" w:type="dxa"/>
            <w:vAlign w:val="center"/>
          </w:tcPr>
          <w:p w:rsidR="0004147D" w:rsidRDefault="005A6D6C">
            <w:pPr>
              <w:jc w:val="center"/>
            </w:pPr>
            <w:r>
              <w:rPr>
                <w:sz w:val="24"/>
                <w:szCs w:val="24"/>
              </w:rPr>
              <w:t>1</w:t>
            </w:r>
          </w:p>
        </w:tc>
        <w:tc>
          <w:tcPr>
            <w:tcW w:w="1159" w:type="dxa"/>
            <w:vAlign w:val="center"/>
          </w:tcPr>
          <w:p w:rsidR="0004147D" w:rsidRDefault="005A6D6C">
            <w:pPr>
              <w:jc w:val="center"/>
            </w:pPr>
            <w:r>
              <w:rPr>
                <w:sz w:val="24"/>
                <w:szCs w:val="24"/>
              </w:rPr>
              <w:t>004200</w:t>
            </w:r>
          </w:p>
        </w:tc>
        <w:tc>
          <w:tcPr>
            <w:tcW w:w="1161" w:type="dxa"/>
            <w:vAlign w:val="center"/>
          </w:tcPr>
          <w:p w:rsidR="0004147D" w:rsidRDefault="005A6D6C">
            <w:pPr>
              <w:jc w:val="center"/>
            </w:pPr>
            <w:r>
              <w:rPr>
                <w:sz w:val="24"/>
                <w:szCs w:val="24"/>
              </w:rPr>
              <w:t>博时富瑞纯债债券</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5,863,691.26</w:t>
            </w:r>
          </w:p>
        </w:tc>
        <w:tc>
          <w:tcPr>
            <w:tcW w:w="1305" w:type="dxa"/>
            <w:vAlign w:val="center"/>
          </w:tcPr>
          <w:p w:rsidR="0004147D" w:rsidRDefault="005A6D6C">
            <w:pPr>
              <w:jc w:val="center"/>
            </w:pPr>
            <w:r>
              <w:rPr>
                <w:sz w:val="24"/>
                <w:szCs w:val="24"/>
              </w:rPr>
              <w:t>6,166,257.73</w:t>
            </w:r>
          </w:p>
        </w:tc>
        <w:tc>
          <w:tcPr>
            <w:tcW w:w="1161" w:type="dxa"/>
            <w:vAlign w:val="center"/>
          </w:tcPr>
          <w:p w:rsidR="0004147D" w:rsidRDefault="005A6D6C">
            <w:pPr>
              <w:jc w:val="center"/>
            </w:pPr>
            <w:r>
              <w:rPr>
                <w:sz w:val="24"/>
                <w:szCs w:val="24"/>
              </w:rPr>
              <w:t>6.28%</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2</w:t>
            </w:r>
          </w:p>
        </w:tc>
        <w:tc>
          <w:tcPr>
            <w:tcW w:w="1159" w:type="dxa"/>
            <w:vAlign w:val="center"/>
          </w:tcPr>
          <w:p w:rsidR="0004147D" w:rsidRDefault="005A6D6C">
            <w:pPr>
              <w:jc w:val="center"/>
            </w:pPr>
            <w:r>
              <w:rPr>
                <w:sz w:val="24"/>
                <w:szCs w:val="24"/>
              </w:rPr>
              <w:t>003949</w:t>
            </w:r>
          </w:p>
        </w:tc>
        <w:tc>
          <w:tcPr>
            <w:tcW w:w="1161" w:type="dxa"/>
            <w:vAlign w:val="center"/>
          </w:tcPr>
          <w:p w:rsidR="0004147D" w:rsidRDefault="005A6D6C">
            <w:pPr>
              <w:jc w:val="center"/>
            </w:pPr>
            <w:r>
              <w:rPr>
                <w:sz w:val="24"/>
                <w:szCs w:val="24"/>
              </w:rPr>
              <w:t>兴全稳泰债券</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5,048,747.75</w:t>
            </w:r>
          </w:p>
        </w:tc>
        <w:tc>
          <w:tcPr>
            <w:tcW w:w="1305" w:type="dxa"/>
            <w:vAlign w:val="center"/>
          </w:tcPr>
          <w:p w:rsidR="0004147D" w:rsidRDefault="005A6D6C">
            <w:pPr>
              <w:jc w:val="center"/>
            </w:pPr>
            <w:r>
              <w:rPr>
                <w:sz w:val="24"/>
                <w:szCs w:val="24"/>
              </w:rPr>
              <w:t>5,546,554.28</w:t>
            </w:r>
          </w:p>
        </w:tc>
        <w:tc>
          <w:tcPr>
            <w:tcW w:w="1161" w:type="dxa"/>
            <w:vAlign w:val="center"/>
          </w:tcPr>
          <w:p w:rsidR="0004147D" w:rsidRDefault="005A6D6C">
            <w:pPr>
              <w:jc w:val="center"/>
            </w:pPr>
            <w:r>
              <w:rPr>
                <w:sz w:val="24"/>
                <w:szCs w:val="24"/>
              </w:rPr>
              <w:t>5.65%</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3</w:t>
            </w:r>
          </w:p>
        </w:tc>
        <w:tc>
          <w:tcPr>
            <w:tcW w:w="1159" w:type="dxa"/>
            <w:vAlign w:val="center"/>
          </w:tcPr>
          <w:p w:rsidR="0004147D" w:rsidRDefault="005A6D6C">
            <w:pPr>
              <w:jc w:val="center"/>
            </w:pPr>
            <w:r>
              <w:rPr>
                <w:sz w:val="24"/>
                <w:szCs w:val="24"/>
              </w:rPr>
              <w:t>006224</w:t>
            </w:r>
          </w:p>
        </w:tc>
        <w:tc>
          <w:tcPr>
            <w:tcW w:w="1161" w:type="dxa"/>
            <w:vAlign w:val="center"/>
          </w:tcPr>
          <w:p w:rsidR="0004147D" w:rsidRDefault="005A6D6C">
            <w:pPr>
              <w:jc w:val="center"/>
            </w:pPr>
            <w:r>
              <w:rPr>
                <w:sz w:val="24"/>
                <w:szCs w:val="24"/>
              </w:rPr>
              <w:t>中银中债</w:t>
            </w:r>
            <w:r>
              <w:rPr>
                <w:sz w:val="24"/>
                <w:szCs w:val="24"/>
              </w:rPr>
              <w:t>3-5</w:t>
            </w:r>
            <w:r>
              <w:rPr>
                <w:sz w:val="24"/>
                <w:szCs w:val="24"/>
              </w:rPr>
              <w:t>年期农发行债券</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4,924,354.38</w:t>
            </w:r>
          </w:p>
        </w:tc>
        <w:tc>
          <w:tcPr>
            <w:tcW w:w="1305" w:type="dxa"/>
            <w:vAlign w:val="center"/>
          </w:tcPr>
          <w:p w:rsidR="0004147D" w:rsidRDefault="005A6D6C">
            <w:pPr>
              <w:jc w:val="center"/>
            </w:pPr>
            <w:r>
              <w:rPr>
                <w:sz w:val="24"/>
                <w:szCs w:val="24"/>
              </w:rPr>
              <w:t>5,216,368.59</w:t>
            </w:r>
          </w:p>
        </w:tc>
        <w:tc>
          <w:tcPr>
            <w:tcW w:w="1161" w:type="dxa"/>
            <w:vAlign w:val="center"/>
          </w:tcPr>
          <w:p w:rsidR="0004147D" w:rsidRDefault="005A6D6C">
            <w:pPr>
              <w:jc w:val="center"/>
            </w:pPr>
            <w:r>
              <w:rPr>
                <w:sz w:val="24"/>
                <w:szCs w:val="24"/>
              </w:rPr>
              <w:t>5.31%</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4</w:t>
            </w:r>
          </w:p>
        </w:tc>
        <w:tc>
          <w:tcPr>
            <w:tcW w:w="1159" w:type="dxa"/>
            <w:vAlign w:val="center"/>
          </w:tcPr>
          <w:p w:rsidR="0004147D" w:rsidRDefault="005A6D6C">
            <w:pPr>
              <w:jc w:val="center"/>
            </w:pPr>
            <w:r>
              <w:rPr>
                <w:sz w:val="24"/>
                <w:szCs w:val="24"/>
              </w:rPr>
              <w:t>006451</w:t>
            </w:r>
          </w:p>
        </w:tc>
        <w:tc>
          <w:tcPr>
            <w:tcW w:w="1161" w:type="dxa"/>
            <w:vAlign w:val="center"/>
          </w:tcPr>
          <w:p w:rsidR="0004147D" w:rsidRDefault="005A6D6C">
            <w:pPr>
              <w:jc w:val="center"/>
            </w:pPr>
            <w:r>
              <w:rPr>
                <w:sz w:val="24"/>
                <w:szCs w:val="24"/>
              </w:rPr>
              <w:t>华富中证</w:t>
            </w:r>
            <w:r>
              <w:rPr>
                <w:sz w:val="24"/>
                <w:szCs w:val="24"/>
              </w:rPr>
              <w:t>5</w:t>
            </w:r>
            <w:r>
              <w:rPr>
                <w:sz w:val="24"/>
                <w:szCs w:val="24"/>
              </w:rPr>
              <w:t>年恒定久期国开债指数</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4,740,077.31</w:t>
            </w:r>
          </w:p>
        </w:tc>
        <w:tc>
          <w:tcPr>
            <w:tcW w:w="1305" w:type="dxa"/>
            <w:vAlign w:val="center"/>
          </w:tcPr>
          <w:p w:rsidR="0004147D" w:rsidRDefault="005A6D6C">
            <w:pPr>
              <w:jc w:val="center"/>
            </w:pPr>
            <w:r>
              <w:rPr>
                <w:sz w:val="24"/>
                <w:szCs w:val="24"/>
              </w:rPr>
              <w:t>5,180,904.50</w:t>
            </w:r>
          </w:p>
        </w:tc>
        <w:tc>
          <w:tcPr>
            <w:tcW w:w="1161" w:type="dxa"/>
            <w:vAlign w:val="center"/>
          </w:tcPr>
          <w:p w:rsidR="0004147D" w:rsidRDefault="005A6D6C">
            <w:pPr>
              <w:jc w:val="center"/>
            </w:pPr>
            <w:r>
              <w:rPr>
                <w:sz w:val="24"/>
                <w:szCs w:val="24"/>
              </w:rPr>
              <w:t>5.27%</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5</w:t>
            </w:r>
          </w:p>
        </w:tc>
        <w:tc>
          <w:tcPr>
            <w:tcW w:w="1159" w:type="dxa"/>
            <w:vAlign w:val="center"/>
          </w:tcPr>
          <w:p w:rsidR="0004147D" w:rsidRDefault="005A6D6C">
            <w:pPr>
              <w:jc w:val="center"/>
            </w:pPr>
            <w:r>
              <w:rPr>
                <w:sz w:val="24"/>
                <w:szCs w:val="24"/>
              </w:rPr>
              <w:t>004585</w:t>
            </w:r>
          </w:p>
        </w:tc>
        <w:tc>
          <w:tcPr>
            <w:tcW w:w="1161" w:type="dxa"/>
            <w:vAlign w:val="center"/>
          </w:tcPr>
          <w:p w:rsidR="0004147D" w:rsidRDefault="005A6D6C">
            <w:pPr>
              <w:jc w:val="center"/>
            </w:pPr>
            <w:r>
              <w:rPr>
                <w:sz w:val="24"/>
                <w:szCs w:val="24"/>
              </w:rPr>
              <w:t>鹏扬汇利债券</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4,285,250.52</w:t>
            </w:r>
          </w:p>
        </w:tc>
        <w:tc>
          <w:tcPr>
            <w:tcW w:w="1305" w:type="dxa"/>
            <w:vAlign w:val="center"/>
          </w:tcPr>
          <w:p w:rsidR="0004147D" w:rsidRDefault="005A6D6C">
            <w:pPr>
              <w:jc w:val="center"/>
            </w:pPr>
            <w:r>
              <w:rPr>
                <w:sz w:val="24"/>
                <w:szCs w:val="24"/>
              </w:rPr>
              <w:t>5,042,454.29</w:t>
            </w:r>
          </w:p>
        </w:tc>
        <w:tc>
          <w:tcPr>
            <w:tcW w:w="1161" w:type="dxa"/>
            <w:vAlign w:val="center"/>
          </w:tcPr>
          <w:p w:rsidR="0004147D" w:rsidRDefault="005A6D6C">
            <w:pPr>
              <w:jc w:val="center"/>
            </w:pPr>
            <w:r>
              <w:rPr>
                <w:sz w:val="24"/>
                <w:szCs w:val="24"/>
              </w:rPr>
              <w:t>5.13%</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6</w:t>
            </w:r>
          </w:p>
        </w:tc>
        <w:tc>
          <w:tcPr>
            <w:tcW w:w="1159" w:type="dxa"/>
            <w:vAlign w:val="center"/>
          </w:tcPr>
          <w:p w:rsidR="0004147D" w:rsidRDefault="005A6D6C">
            <w:pPr>
              <w:jc w:val="center"/>
            </w:pPr>
            <w:r>
              <w:rPr>
                <w:sz w:val="24"/>
                <w:szCs w:val="24"/>
              </w:rPr>
              <w:t>003376</w:t>
            </w:r>
          </w:p>
        </w:tc>
        <w:tc>
          <w:tcPr>
            <w:tcW w:w="1161" w:type="dxa"/>
            <w:vAlign w:val="center"/>
          </w:tcPr>
          <w:p w:rsidR="0004147D" w:rsidRDefault="005A6D6C">
            <w:pPr>
              <w:jc w:val="center"/>
            </w:pPr>
            <w:r>
              <w:rPr>
                <w:sz w:val="24"/>
                <w:szCs w:val="24"/>
              </w:rPr>
              <w:t>广发中债</w:t>
            </w:r>
            <w:r>
              <w:rPr>
                <w:sz w:val="24"/>
                <w:szCs w:val="24"/>
              </w:rPr>
              <w:t>7-10</w:t>
            </w:r>
            <w:r>
              <w:rPr>
                <w:sz w:val="24"/>
                <w:szCs w:val="24"/>
              </w:rPr>
              <w:t>年国开债指数</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4,152,108.51</w:t>
            </w:r>
          </w:p>
        </w:tc>
        <w:tc>
          <w:tcPr>
            <w:tcW w:w="1305" w:type="dxa"/>
            <w:vAlign w:val="center"/>
          </w:tcPr>
          <w:p w:rsidR="0004147D" w:rsidRDefault="005A6D6C">
            <w:pPr>
              <w:jc w:val="center"/>
            </w:pPr>
            <w:r>
              <w:rPr>
                <w:sz w:val="24"/>
                <w:szCs w:val="24"/>
              </w:rPr>
              <w:t>4,975,886.84</w:t>
            </w:r>
          </w:p>
        </w:tc>
        <w:tc>
          <w:tcPr>
            <w:tcW w:w="1161" w:type="dxa"/>
            <w:vAlign w:val="center"/>
          </w:tcPr>
          <w:p w:rsidR="0004147D" w:rsidRDefault="005A6D6C">
            <w:pPr>
              <w:jc w:val="center"/>
            </w:pPr>
            <w:r>
              <w:rPr>
                <w:sz w:val="24"/>
                <w:szCs w:val="24"/>
              </w:rPr>
              <w:t>5.07%</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7</w:t>
            </w:r>
          </w:p>
        </w:tc>
        <w:tc>
          <w:tcPr>
            <w:tcW w:w="1159" w:type="dxa"/>
            <w:vAlign w:val="center"/>
          </w:tcPr>
          <w:p w:rsidR="0004147D" w:rsidRDefault="005A6D6C">
            <w:pPr>
              <w:jc w:val="center"/>
            </w:pPr>
            <w:r>
              <w:rPr>
                <w:sz w:val="24"/>
                <w:szCs w:val="24"/>
              </w:rPr>
              <w:t>007078</w:t>
            </w:r>
          </w:p>
        </w:tc>
        <w:tc>
          <w:tcPr>
            <w:tcW w:w="1161" w:type="dxa"/>
            <w:vAlign w:val="center"/>
          </w:tcPr>
          <w:p w:rsidR="0004147D" w:rsidRDefault="005A6D6C">
            <w:pPr>
              <w:jc w:val="center"/>
            </w:pPr>
            <w:r>
              <w:rPr>
                <w:sz w:val="24"/>
                <w:szCs w:val="24"/>
              </w:rPr>
              <w:t>工银</w:t>
            </w:r>
            <w:r>
              <w:rPr>
                <w:sz w:val="24"/>
                <w:szCs w:val="24"/>
              </w:rPr>
              <w:t>3-5</w:t>
            </w:r>
            <w:r>
              <w:rPr>
                <w:sz w:val="24"/>
                <w:szCs w:val="24"/>
              </w:rPr>
              <w:t>年国开债指数</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4,665,162.98</w:t>
            </w:r>
          </w:p>
        </w:tc>
        <w:tc>
          <w:tcPr>
            <w:tcW w:w="1305" w:type="dxa"/>
            <w:vAlign w:val="center"/>
          </w:tcPr>
          <w:p w:rsidR="0004147D" w:rsidRDefault="005A6D6C">
            <w:pPr>
              <w:jc w:val="center"/>
            </w:pPr>
            <w:r>
              <w:rPr>
                <w:sz w:val="24"/>
                <w:szCs w:val="24"/>
              </w:rPr>
              <w:t>4,966,999.02</w:t>
            </w:r>
          </w:p>
        </w:tc>
        <w:tc>
          <w:tcPr>
            <w:tcW w:w="1161" w:type="dxa"/>
            <w:vAlign w:val="center"/>
          </w:tcPr>
          <w:p w:rsidR="0004147D" w:rsidRDefault="005A6D6C">
            <w:pPr>
              <w:jc w:val="center"/>
            </w:pPr>
            <w:r>
              <w:rPr>
                <w:sz w:val="24"/>
                <w:szCs w:val="24"/>
              </w:rPr>
              <w:t>5.06%</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8</w:t>
            </w:r>
          </w:p>
        </w:tc>
        <w:tc>
          <w:tcPr>
            <w:tcW w:w="1159" w:type="dxa"/>
            <w:vAlign w:val="center"/>
          </w:tcPr>
          <w:p w:rsidR="0004147D" w:rsidRDefault="005A6D6C">
            <w:pPr>
              <w:jc w:val="center"/>
            </w:pPr>
            <w:r>
              <w:rPr>
                <w:sz w:val="24"/>
                <w:szCs w:val="24"/>
              </w:rPr>
              <w:t>511260</w:t>
            </w:r>
          </w:p>
        </w:tc>
        <w:tc>
          <w:tcPr>
            <w:tcW w:w="1161" w:type="dxa"/>
            <w:vAlign w:val="center"/>
          </w:tcPr>
          <w:p w:rsidR="0004147D" w:rsidRDefault="005A6D6C">
            <w:pPr>
              <w:jc w:val="center"/>
            </w:pPr>
            <w:r>
              <w:rPr>
                <w:sz w:val="24"/>
                <w:szCs w:val="24"/>
              </w:rPr>
              <w:t>上证</w:t>
            </w:r>
            <w:r>
              <w:rPr>
                <w:sz w:val="24"/>
                <w:szCs w:val="24"/>
              </w:rPr>
              <w:t>10</w:t>
            </w:r>
            <w:r>
              <w:rPr>
                <w:sz w:val="24"/>
                <w:szCs w:val="24"/>
              </w:rPr>
              <w:t>年期国债</w:t>
            </w:r>
            <w:r>
              <w:rPr>
                <w:sz w:val="24"/>
                <w:szCs w:val="24"/>
              </w:rPr>
              <w:t>ETF</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42,500.00</w:t>
            </w:r>
          </w:p>
        </w:tc>
        <w:tc>
          <w:tcPr>
            <w:tcW w:w="1305" w:type="dxa"/>
            <w:vAlign w:val="center"/>
          </w:tcPr>
          <w:p w:rsidR="0004147D" w:rsidRDefault="005A6D6C">
            <w:pPr>
              <w:jc w:val="center"/>
            </w:pPr>
            <w:r>
              <w:rPr>
                <w:sz w:val="24"/>
                <w:szCs w:val="24"/>
              </w:rPr>
              <w:t>4,938,287.50</w:t>
            </w:r>
          </w:p>
        </w:tc>
        <w:tc>
          <w:tcPr>
            <w:tcW w:w="1161" w:type="dxa"/>
            <w:vAlign w:val="center"/>
          </w:tcPr>
          <w:p w:rsidR="0004147D" w:rsidRDefault="005A6D6C">
            <w:pPr>
              <w:jc w:val="center"/>
            </w:pPr>
            <w:r>
              <w:rPr>
                <w:sz w:val="24"/>
                <w:szCs w:val="24"/>
              </w:rPr>
              <w:t>5.03%</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9</w:t>
            </w:r>
          </w:p>
        </w:tc>
        <w:tc>
          <w:tcPr>
            <w:tcW w:w="1159" w:type="dxa"/>
            <w:vAlign w:val="center"/>
          </w:tcPr>
          <w:p w:rsidR="0004147D" w:rsidRDefault="005A6D6C">
            <w:pPr>
              <w:jc w:val="center"/>
            </w:pPr>
            <w:r>
              <w:rPr>
                <w:sz w:val="24"/>
                <w:szCs w:val="24"/>
              </w:rPr>
              <w:t>511010</w:t>
            </w:r>
          </w:p>
        </w:tc>
        <w:tc>
          <w:tcPr>
            <w:tcW w:w="1161" w:type="dxa"/>
            <w:vAlign w:val="center"/>
          </w:tcPr>
          <w:p w:rsidR="0004147D" w:rsidRDefault="005A6D6C">
            <w:pPr>
              <w:jc w:val="center"/>
            </w:pPr>
            <w:r>
              <w:rPr>
                <w:sz w:val="24"/>
                <w:szCs w:val="24"/>
              </w:rPr>
              <w:t>国泰上证</w:t>
            </w:r>
            <w:r>
              <w:rPr>
                <w:sz w:val="24"/>
                <w:szCs w:val="24"/>
              </w:rPr>
              <w:t>5</w:t>
            </w:r>
            <w:r>
              <w:rPr>
                <w:sz w:val="24"/>
                <w:szCs w:val="24"/>
              </w:rPr>
              <w:t>年期国债</w:t>
            </w:r>
            <w:r>
              <w:rPr>
                <w:sz w:val="24"/>
                <w:szCs w:val="24"/>
              </w:rPr>
              <w:t>ETF</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36,300.00</w:t>
            </w:r>
          </w:p>
        </w:tc>
        <w:tc>
          <w:tcPr>
            <w:tcW w:w="1305" w:type="dxa"/>
            <w:vAlign w:val="center"/>
          </w:tcPr>
          <w:p w:rsidR="0004147D" w:rsidRDefault="005A6D6C">
            <w:pPr>
              <w:jc w:val="center"/>
            </w:pPr>
            <w:r>
              <w:rPr>
                <w:sz w:val="24"/>
                <w:szCs w:val="24"/>
              </w:rPr>
              <w:t>4,591,187.70</w:t>
            </w:r>
          </w:p>
        </w:tc>
        <w:tc>
          <w:tcPr>
            <w:tcW w:w="1161" w:type="dxa"/>
            <w:vAlign w:val="center"/>
          </w:tcPr>
          <w:p w:rsidR="0004147D" w:rsidRDefault="005A6D6C">
            <w:pPr>
              <w:jc w:val="center"/>
            </w:pPr>
            <w:r>
              <w:rPr>
                <w:sz w:val="24"/>
                <w:szCs w:val="24"/>
              </w:rPr>
              <w:t>4.67%</w:t>
            </w:r>
          </w:p>
        </w:tc>
        <w:tc>
          <w:tcPr>
            <w:tcW w:w="1301" w:type="dxa"/>
            <w:vAlign w:val="center"/>
          </w:tcPr>
          <w:p w:rsidR="0004147D" w:rsidRDefault="005A6D6C">
            <w:pPr>
              <w:jc w:val="center"/>
            </w:pPr>
            <w:r>
              <w:rPr>
                <w:sz w:val="24"/>
                <w:szCs w:val="24"/>
              </w:rPr>
              <w:t>否</w:t>
            </w:r>
          </w:p>
        </w:tc>
      </w:tr>
      <w:tr w:rsidR="0004147D">
        <w:tc>
          <w:tcPr>
            <w:tcW w:w="835" w:type="dxa"/>
            <w:vAlign w:val="center"/>
          </w:tcPr>
          <w:p w:rsidR="0004147D" w:rsidRDefault="005A6D6C">
            <w:pPr>
              <w:jc w:val="center"/>
            </w:pPr>
            <w:r>
              <w:rPr>
                <w:sz w:val="24"/>
                <w:szCs w:val="24"/>
              </w:rPr>
              <w:t>10</w:t>
            </w:r>
          </w:p>
        </w:tc>
        <w:tc>
          <w:tcPr>
            <w:tcW w:w="1159" w:type="dxa"/>
            <w:vAlign w:val="center"/>
          </w:tcPr>
          <w:p w:rsidR="0004147D" w:rsidRDefault="005A6D6C">
            <w:pPr>
              <w:jc w:val="center"/>
            </w:pPr>
            <w:r>
              <w:rPr>
                <w:sz w:val="24"/>
                <w:szCs w:val="24"/>
              </w:rPr>
              <w:t>040040</w:t>
            </w:r>
          </w:p>
        </w:tc>
        <w:tc>
          <w:tcPr>
            <w:tcW w:w="1161" w:type="dxa"/>
            <w:vAlign w:val="center"/>
          </w:tcPr>
          <w:p w:rsidR="0004147D" w:rsidRDefault="005A6D6C">
            <w:pPr>
              <w:jc w:val="center"/>
            </w:pPr>
            <w:r>
              <w:rPr>
                <w:sz w:val="24"/>
                <w:szCs w:val="24"/>
              </w:rPr>
              <w:t>华安纯债债券</w:t>
            </w:r>
            <w:r>
              <w:rPr>
                <w:sz w:val="24"/>
                <w:szCs w:val="24"/>
              </w:rPr>
              <w:t>A</w:t>
            </w:r>
          </w:p>
        </w:tc>
        <w:tc>
          <w:tcPr>
            <w:tcW w:w="1161" w:type="dxa"/>
            <w:vAlign w:val="center"/>
          </w:tcPr>
          <w:p w:rsidR="0004147D" w:rsidRDefault="005A6D6C">
            <w:pPr>
              <w:jc w:val="center"/>
            </w:pPr>
            <w:r>
              <w:rPr>
                <w:sz w:val="24"/>
                <w:szCs w:val="24"/>
              </w:rPr>
              <w:t>契约型开放式</w:t>
            </w:r>
          </w:p>
        </w:tc>
        <w:tc>
          <w:tcPr>
            <w:tcW w:w="1159" w:type="dxa"/>
            <w:vAlign w:val="center"/>
          </w:tcPr>
          <w:p w:rsidR="0004147D" w:rsidRDefault="005A6D6C">
            <w:pPr>
              <w:jc w:val="center"/>
            </w:pPr>
            <w:r>
              <w:rPr>
                <w:sz w:val="24"/>
                <w:szCs w:val="24"/>
              </w:rPr>
              <w:t>4,210,924.54</w:t>
            </w:r>
          </w:p>
        </w:tc>
        <w:tc>
          <w:tcPr>
            <w:tcW w:w="1305" w:type="dxa"/>
            <w:vAlign w:val="center"/>
          </w:tcPr>
          <w:p w:rsidR="0004147D" w:rsidRDefault="005A6D6C">
            <w:pPr>
              <w:jc w:val="center"/>
            </w:pPr>
            <w:r>
              <w:rPr>
                <w:sz w:val="24"/>
                <w:szCs w:val="24"/>
              </w:rPr>
              <w:t>4,545,693.04</w:t>
            </w:r>
          </w:p>
        </w:tc>
        <w:tc>
          <w:tcPr>
            <w:tcW w:w="1161" w:type="dxa"/>
            <w:vAlign w:val="center"/>
          </w:tcPr>
          <w:p w:rsidR="0004147D" w:rsidRDefault="005A6D6C">
            <w:pPr>
              <w:jc w:val="center"/>
            </w:pPr>
            <w:r>
              <w:rPr>
                <w:sz w:val="24"/>
                <w:szCs w:val="24"/>
              </w:rPr>
              <w:t>4.63%</w:t>
            </w:r>
          </w:p>
        </w:tc>
        <w:tc>
          <w:tcPr>
            <w:tcW w:w="1301" w:type="dxa"/>
            <w:vAlign w:val="center"/>
          </w:tcPr>
          <w:p w:rsidR="0004147D" w:rsidRDefault="005A6D6C">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lastRenderedPageBreak/>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9,396.44</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4,435.09</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84,298.54</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40,183.51</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19,095.95</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7,450.60</w:t>
            </w:r>
          </w:p>
        </w:tc>
      </w:tr>
      <w:tr w:rsidR="0004147D">
        <w:tc>
          <w:tcPr>
            <w:tcW w:w="3012" w:type="dxa"/>
            <w:vAlign w:val="center"/>
          </w:tcPr>
          <w:p w:rsidR="0004147D" w:rsidRDefault="005A6D6C">
            <w:pPr>
              <w:jc w:val="left"/>
            </w:pPr>
            <w:r>
              <w:rPr>
                <w:rFonts w:eastAsiaTheme="minorEastAsia"/>
                <w:color w:val="000000" w:themeColor="text1"/>
                <w:sz w:val="24"/>
                <w:szCs w:val="24"/>
              </w:rPr>
              <w:t>当期交易基金产生的交易费（元）</w:t>
            </w:r>
          </w:p>
        </w:tc>
        <w:tc>
          <w:tcPr>
            <w:tcW w:w="3012" w:type="dxa"/>
            <w:vAlign w:val="center"/>
          </w:tcPr>
          <w:p w:rsidR="0004147D" w:rsidRDefault="005A6D6C">
            <w:pPr>
              <w:jc w:val="right"/>
            </w:pPr>
            <w:r>
              <w:rPr>
                <w:rFonts w:eastAsiaTheme="minorEastAsia"/>
                <w:color w:val="000000" w:themeColor="text1"/>
                <w:sz w:val="24"/>
                <w:szCs w:val="24"/>
              </w:rPr>
              <w:t>6,800.70</w:t>
            </w:r>
          </w:p>
        </w:tc>
        <w:tc>
          <w:tcPr>
            <w:tcW w:w="3012" w:type="dxa"/>
            <w:vAlign w:val="center"/>
          </w:tcPr>
          <w:p w:rsidR="0004147D" w:rsidRDefault="005A6D6C">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55,976,701.53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38,428,217.83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6,213,860.36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88,191,059.00</w:t>
            </w:r>
          </w:p>
        </w:tc>
      </w:tr>
    </w:tbl>
    <w:p w:rsidR="00320E90" w:rsidRDefault="00320E90" w:rsidP="00C15CAC">
      <w:pPr>
        <w:autoSpaceDE w:val="0"/>
        <w:autoSpaceDN w:val="0"/>
        <w:adjustRightInd w:val="0"/>
        <w:spacing w:before="29" w:line="288" w:lineRule="auto"/>
        <w:jc w:val="left"/>
        <w:rPr>
          <w:color w:val="000000"/>
          <w:sz w:val="24"/>
          <w:szCs w:val="24"/>
        </w:rPr>
      </w:pPr>
    </w:p>
    <w:p w:rsidR="005A6D6C" w:rsidRPr="00ED2620" w:rsidRDefault="005A6D6C" w:rsidP="005A6D6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R="005A6D6C" w:rsidRPr="00ED2620" w:rsidRDefault="005A6D6C" w:rsidP="005A6D6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5B09FA" w:rsidRPr="00414345" w:rsidRDefault="005B09FA"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5A6D6C">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5A6D6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4147D" w:rsidRDefault="005A6D6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、中国证监会准予上投摩根锦程稳健养老目标一年持有期混合型基金中基金</w:t>
      </w:r>
      <w:r>
        <w:rPr>
          <w:color w:val="000000"/>
          <w:sz w:val="24"/>
          <w:szCs w:val="24"/>
        </w:rPr>
        <w:t>(FOF)</w:t>
      </w:r>
      <w:r>
        <w:rPr>
          <w:color w:val="000000"/>
          <w:sz w:val="24"/>
          <w:szCs w:val="24"/>
        </w:rPr>
        <w:t>募集注册的文件</w:t>
      </w:r>
    </w:p>
    <w:p w:rsidR="0004147D" w:rsidRDefault="005A6D6C">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、上投摩根锦程稳健养老目标一年持有期混合型基金中基金</w:t>
      </w:r>
      <w:r>
        <w:rPr>
          <w:color w:val="000000"/>
          <w:sz w:val="24"/>
          <w:szCs w:val="24"/>
        </w:rPr>
        <w:t>(FOF)</w:t>
      </w:r>
      <w:r>
        <w:rPr>
          <w:color w:val="000000"/>
          <w:sz w:val="24"/>
          <w:szCs w:val="24"/>
        </w:rPr>
        <w:t>基金合同</w:t>
      </w:r>
    </w:p>
    <w:p w:rsidR="0004147D" w:rsidRDefault="005A6D6C">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、上投摩根锦程稳健养老目标一年持有期混合型基金中基金</w:t>
      </w:r>
      <w:r>
        <w:rPr>
          <w:color w:val="000000"/>
          <w:sz w:val="24"/>
          <w:szCs w:val="24"/>
        </w:rPr>
        <w:t>(FOF)</w:t>
      </w:r>
      <w:r>
        <w:rPr>
          <w:color w:val="000000"/>
          <w:sz w:val="24"/>
          <w:szCs w:val="24"/>
        </w:rPr>
        <w:t>托管协议</w:t>
      </w:r>
    </w:p>
    <w:p w:rsidR="0004147D" w:rsidRDefault="005A6D6C">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04147D" w:rsidRDefault="005A6D6C">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5A6D6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5A6D6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16D7A">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16D7A">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上投摩根锦程稳健养老目标一年持有期混合型基金中基金</w:t>
    </w:r>
    <w:r w:rsidRPr="003E676C">
      <w:rPr>
        <w:sz w:val="24"/>
        <w:szCs w:val="24"/>
      </w:rPr>
      <w:t>(FOF)2021</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147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A6D6C"/>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16D7A"/>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7B8D-381A-4786-9CFB-0AD0B4EC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13</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584</cp:revision>
  <dcterms:created xsi:type="dcterms:W3CDTF">2012-10-16T06:07:00Z</dcterms:created>
  <dcterms:modified xsi:type="dcterms:W3CDTF">2022-01-21T07:20:00Z</dcterms:modified>
</cp:coreProperties>
</file>