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上投摩根锦程稳健养老目标一年持有期混合型基金中基金</w:t>
      </w:r>
      <w:r w:rsidRPr="0081286B">
        <w:rPr>
          <w:b/>
          <w:sz w:val="36"/>
          <w:szCs w:val="36"/>
        </w:rPr>
        <w:t>(FOF)</w:t>
      </w:r>
    </w:p>
    <w:p w:rsidR="002279D3" w:rsidRPr="0081286B" w:rsidRDefault="002279D3" w:rsidP="00C15CAC">
      <w:pPr>
        <w:spacing w:before="29" w:line="288" w:lineRule="auto"/>
        <w:jc w:val="center"/>
        <w:rPr>
          <w:b/>
          <w:sz w:val="36"/>
          <w:szCs w:val="36"/>
        </w:rPr>
      </w:pPr>
      <w:r w:rsidRPr="0081286B">
        <w:rPr>
          <w:b/>
          <w:sz w:val="36"/>
          <w:szCs w:val="36"/>
        </w:rPr>
        <w:t>2021</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2021</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基金管理人：上投摩根基金管理有限公司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二〇二一年十月二十七日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30969" w:rsidRDefault="001C2BF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30969" w:rsidRDefault="001C2BF9">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2021</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30969" w:rsidRDefault="001C2BF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30969" w:rsidRDefault="001C2BF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30969" w:rsidRDefault="001C2BF9">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2021</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上投摩根锦程稳健养老一年持有混合</w:t>
            </w:r>
            <w:r w:rsidRPr="00414345">
              <w:rPr>
                <w:color w:val="000000"/>
                <w:kern w:val="0"/>
                <w:sz w:val="24"/>
                <w:szCs w:val="24"/>
              </w:rPr>
              <w:t>(FOF)</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009143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009143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55,976,701.53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530969" w:rsidRDefault="001C2BF9">
            <w:pPr>
              <w:adjustRightInd w:val="0"/>
              <w:spacing w:before="29" w:line="288" w:lineRule="auto"/>
              <w:ind w:left="17"/>
              <w:jc w:val="left"/>
              <w:rPr>
                <w:color w:val="000000"/>
                <w:sz w:val="24"/>
                <w:szCs w:val="24"/>
              </w:rPr>
            </w:pPr>
            <w:r>
              <w:rPr>
                <w:color w:val="000000"/>
                <w:kern w:val="0"/>
                <w:sz w:val="24"/>
                <w:szCs w:val="24"/>
              </w:rPr>
              <w:t>1</w:t>
            </w:r>
            <w:r>
              <w:rPr>
                <w:color w:val="000000"/>
                <w:kern w:val="0"/>
                <w:sz w:val="24"/>
                <w:szCs w:val="24"/>
              </w:rPr>
              <w:t>、目标风险投资策略：</w:t>
            </w:r>
          </w:p>
          <w:p w:rsidR="00530969" w:rsidRDefault="001C2BF9">
            <w:pPr>
              <w:adjustRightInd w:val="0"/>
              <w:spacing w:before="29" w:line="288" w:lineRule="auto"/>
              <w:ind w:left="17"/>
              <w:jc w:val="left"/>
              <w:rPr>
                <w:color w:val="000000"/>
                <w:sz w:val="24"/>
                <w:szCs w:val="24"/>
              </w:rPr>
            </w:pPr>
            <w:r>
              <w:rPr>
                <w:color w:val="000000"/>
                <w:kern w:val="0"/>
                <w:sz w:val="24"/>
                <w:szCs w:val="24"/>
              </w:rPr>
              <w:t>（</w:t>
            </w:r>
            <w:r>
              <w:rPr>
                <w:color w:val="000000"/>
                <w:kern w:val="0"/>
                <w:sz w:val="24"/>
                <w:szCs w:val="24"/>
              </w:rPr>
              <w:t>1</w:t>
            </w:r>
            <w:r>
              <w:rPr>
                <w:color w:val="000000"/>
                <w:kern w:val="0"/>
                <w:sz w:val="24"/>
                <w:szCs w:val="24"/>
              </w:rPr>
              <w:t>）大类资产配置策略：本基金的目标风险指通过将基金所投资的高风险类资产和其他资产长期保持在相对恒定的比例，以达到目标的风险水平。</w:t>
            </w:r>
          </w:p>
          <w:p w:rsidR="00530969" w:rsidRDefault="001C2BF9">
            <w:pPr>
              <w:adjustRightInd w:val="0"/>
              <w:spacing w:before="29" w:line="288" w:lineRule="auto"/>
              <w:ind w:left="17"/>
              <w:jc w:val="left"/>
              <w:rPr>
                <w:color w:val="000000"/>
                <w:sz w:val="24"/>
                <w:szCs w:val="24"/>
              </w:rPr>
            </w:pPr>
            <w:r>
              <w:rPr>
                <w:color w:val="000000"/>
                <w:kern w:val="0"/>
                <w:sz w:val="24"/>
                <w:szCs w:val="24"/>
              </w:rPr>
              <w:t>管理人根据对各类资产的中长期预期假设和策略观点以及目标客户的风险收益偏好进行自上而下的资产配置，设定本基金在高风险类资产和其他资产之间的基准配置比例为</w:t>
            </w:r>
            <w:r>
              <w:rPr>
                <w:color w:val="000000"/>
                <w:kern w:val="0"/>
                <w:sz w:val="24"/>
                <w:szCs w:val="24"/>
              </w:rPr>
              <w:t>20%:80%</w:t>
            </w:r>
            <w:r>
              <w:rPr>
                <w:color w:val="000000"/>
                <w:kern w:val="0"/>
                <w:sz w:val="24"/>
                <w:szCs w:val="24"/>
              </w:rPr>
              <w:t>；高风险类资产指股票型基金、</w:t>
            </w:r>
            <w:r>
              <w:rPr>
                <w:color w:val="000000"/>
                <w:kern w:val="0"/>
                <w:sz w:val="24"/>
                <w:szCs w:val="24"/>
              </w:rPr>
              <w:lastRenderedPageBreak/>
              <w:t>应计入高风险类资产的混合型基金、商品基金（含商品期货基金和黄金</w:t>
            </w:r>
            <w:r>
              <w:rPr>
                <w:color w:val="000000"/>
                <w:kern w:val="0"/>
                <w:sz w:val="24"/>
                <w:szCs w:val="24"/>
              </w:rPr>
              <w:t>ETF</w:t>
            </w:r>
            <w:r>
              <w:rPr>
                <w:color w:val="000000"/>
                <w:kern w:val="0"/>
                <w:sz w:val="24"/>
                <w:szCs w:val="24"/>
              </w:rPr>
              <w:t>）等品种（均包含</w:t>
            </w:r>
            <w:r>
              <w:rPr>
                <w:color w:val="000000"/>
                <w:kern w:val="0"/>
                <w:sz w:val="24"/>
                <w:szCs w:val="24"/>
              </w:rPr>
              <w:t>QDII</w:t>
            </w:r>
            <w:r>
              <w:rPr>
                <w:color w:val="000000"/>
                <w:kern w:val="0"/>
                <w:sz w:val="24"/>
                <w:szCs w:val="24"/>
              </w:rPr>
              <w:t>）及股票；其他资产指债券型基金、货币市场基金和不计入高风险类资产的混合型基金（均包含</w:t>
            </w:r>
            <w:r>
              <w:rPr>
                <w:color w:val="000000"/>
                <w:kern w:val="0"/>
                <w:sz w:val="24"/>
                <w:szCs w:val="24"/>
              </w:rPr>
              <w:t>QDII</w:t>
            </w:r>
            <w:r>
              <w:rPr>
                <w:color w:val="000000"/>
                <w:kern w:val="0"/>
                <w:sz w:val="24"/>
                <w:szCs w:val="24"/>
              </w:rPr>
              <w:t>）、债券、资产支持证券、债券回购、银行存款及同业存单等；本基金高风险类资产的向上、向下调整幅度分别不超过</w:t>
            </w:r>
            <w:r>
              <w:rPr>
                <w:color w:val="000000"/>
                <w:kern w:val="0"/>
                <w:sz w:val="24"/>
                <w:szCs w:val="24"/>
              </w:rPr>
              <w:t>5%</w:t>
            </w:r>
            <w:r>
              <w:rPr>
                <w:color w:val="000000"/>
                <w:kern w:val="0"/>
                <w:sz w:val="24"/>
                <w:szCs w:val="24"/>
              </w:rPr>
              <w:t>、</w:t>
            </w:r>
            <w:r>
              <w:rPr>
                <w:color w:val="000000"/>
                <w:kern w:val="0"/>
                <w:sz w:val="24"/>
                <w:szCs w:val="24"/>
              </w:rPr>
              <w:t>10%</w:t>
            </w:r>
            <w:r>
              <w:rPr>
                <w:color w:val="000000"/>
                <w:kern w:val="0"/>
                <w:sz w:val="24"/>
                <w:szCs w:val="24"/>
              </w:rPr>
              <w:t>。</w:t>
            </w:r>
          </w:p>
          <w:p w:rsidR="00530969" w:rsidRDefault="001C2BF9">
            <w:pPr>
              <w:adjustRightInd w:val="0"/>
              <w:spacing w:before="29" w:line="288" w:lineRule="auto"/>
              <w:ind w:left="17"/>
              <w:jc w:val="left"/>
              <w:rPr>
                <w:color w:val="000000"/>
                <w:sz w:val="24"/>
                <w:szCs w:val="24"/>
              </w:rPr>
            </w:pPr>
            <w:r>
              <w:rPr>
                <w:color w:val="000000"/>
                <w:kern w:val="0"/>
                <w:sz w:val="24"/>
                <w:szCs w:val="24"/>
              </w:rPr>
              <w:t>（</w:t>
            </w:r>
            <w:r>
              <w:rPr>
                <w:color w:val="000000"/>
                <w:kern w:val="0"/>
                <w:sz w:val="24"/>
                <w:szCs w:val="24"/>
              </w:rPr>
              <w:t>2</w:t>
            </w:r>
            <w:r>
              <w:rPr>
                <w:color w:val="000000"/>
                <w:kern w:val="0"/>
                <w:sz w:val="24"/>
                <w:szCs w:val="24"/>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530969" w:rsidRDefault="001C2BF9">
            <w:pPr>
              <w:adjustRightInd w:val="0"/>
              <w:spacing w:before="29" w:line="288" w:lineRule="auto"/>
              <w:ind w:left="17"/>
              <w:jc w:val="left"/>
              <w:rPr>
                <w:color w:val="000000"/>
                <w:sz w:val="24"/>
                <w:szCs w:val="24"/>
              </w:rPr>
            </w:pPr>
            <w:r>
              <w:rPr>
                <w:color w:val="000000"/>
                <w:kern w:val="0"/>
                <w:sz w:val="24"/>
                <w:szCs w:val="24"/>
              </w:rPr>
              <w:t>2</w:t>
            </w:r>
            <w:r>
              <w:rPr>
                <w:color w:val="000000"/>
                <w:kern w:val="0"/>
                <w:sz w:val="24"/>
                <w:szCs w:val="24"/>
              </w:rPr>
              <w:t>、主动管理型基金投资策略：通过自下而上的方式优选基金，研究过程中综合运用定量分析和定性分析，优选符合要求且能在中长期创造超额收益的基金。</w:t>
            </w:r>
          </w:p>
          <w:p w:rsidR="00530969" w:rsidRDefault="001C2BF9">
            <w:pPr>
              <w:adjustRightInd w:val="0"/>
              <w:spacing w:before="29" w:line="288" w:lineRule="auto"/>
              <w:ind w:left="17"/>
              <w:jc w:val="left"/>
              <w:rPr>
                <w:color w:val="000000"/>
                <w:sz w:val="24"/>
                <w:szCs w:val="24"/>
              </w:rPr>
            </w:pPr>
            <w:r>
              <w:rPr>
                <w:color w:val="000000"/>
                <w:kern w:val="0"/>
                <w:sz w:val="24"/>
                <w:szCs w:val="24"/>
              </w:rPr>
              <w:t>3</w:t>
            </w:r>
            <w:r>
              <w:rPr>
                <w:color w:val="000000"/>
                <w:kern w:val="0"/>
                <w:sz w:val="24"/>
                <w:szCs w:val="24"/>
              </w:rPr>
              <w:t>、指数基金投资策略：优选中长期景气向好的指数基金进行配置，增厚组合收益，并把握阶段性投资机会，获取超额收益。</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w:t>
            </w:r>
            <w:r w:rsidRPr="00414345">
              <w:rPr>
                <w:color w:val="000000"/>
                <w:kern w:val="0"/>
                <w:sz w:val="24"/>
                <w:szCs w:val="24"/>
              </w:rPr>
              <w:t>、其他投资策略：包括股票投资策略、债券投资策略、证券公司短期公司债投资策略、资产支持证券投资策略、存托凭证投资策略。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*20%+</w:t>
            </w:r>
            <w:r w:rsidRPr="00414345">
              <w:rPr>
                <w:color w:val="000000"/>
                <w:kern w:val="0"/>
                <w:sz w:val="24"/>
                <w:szCs w:val="24"/>
              </w:rPr>
              <w:t>中证综合债指数收益率</w:t>
            </w:r>
            <w:r w:rsidRPr="00414345">
              <w:rPr>
                <w:color w:val="000000"/>
                <w:kern w:val="0"/>
                <w:sz w:val="24"/>
                <w:szCs w:val="24"/>
              </w:rPr>
              <w:t>*70%+</w:t>
            </w:r>
            <w:r w:rsidRPr="00414345">
              <w:rPr>
                <w:color w:val="000000"/>
                <w:kern w:val="0"/>
                <w:sz w:val="24"/>
                <w:szCs w:val="24"/>
              </w:rPr>
              <w:t>活期存款利率（税后）</w:t>
            </w:r>
            <w:r w:rsidRPr="00414345">
              <w:rPr>
                <w:color w:val="000000"/>
                <w:kern w:val="0"/>
                <w:sz w:val="24"/>
                <w:szCs w:val="24"/>
              </w:rPr>
              <w:t>*10%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530969" w:rsidRDefault="001C2BF9">
            <w:pPr>
              <w:adjustRightInd w:val="0"/>
              <w:spacing w:before="29" w:line="288" w:lineRule="auto"/>
              <w:ind w:left="17"/>
              <w:jc w:val="left"/>
              <w:rPr>
                <w:color w:val="000000"/>
                <w:sz w:val="24"/>
                <w:szCs w:val="24"/>
              </w:rPr>
            </w:pPr>
            <w:r>
              <w:rPr>
                <w:color w:val="000000"/>
                <w:kern w:val="0"/>
                <w:sz w:val="24"/>
                <w:szCs w:val="24"/>
              </w:rPr>
              <w:t>基金管理人将养老目标风险基金根据不同风险程度进行划分。本基金的高风险类资产和其他资产的基准配置比例为</w:t>
            </w:r>
            <w:r>
              <w:rPr>
                <w:color w:val="000000"/>
                <w:kern w:val="0"/>
                <w:sz w:val="24"/>
                <w:szCs w:val="24"/>
              </w:rPr>
              <w:t>20%</w:t>
            </w:r>
            <w:r>
              <w:rPr>
                <w:color w:val="000000"/>
                <w:kern w:val="0"/>
                <w:sz w:val="24"/>
                <w:szCs w:val="24"/>
              </w:rPr>
              <w:t>：</w:t>
            </w:r>
            <w:r>
              <w:rPr>
                <w:color w:val="000000"/>
                <w:kern w:val="0"/>
                <w:sz w:val="24"/>
                <w:szCs w:val="24"/>
              </w:rPr>
              <w:t>80%</w:t>
            </w:r>
            <w:r>
              <w:rPr>
                <w:color w:val="000000"/>
                <w:kern w:val="0"/>
                <w:sz w:val="24"/>
                <w:szCs w:val="24"/>
              </w:rPr>
              <w:t>，在基金管理人管理的养老目标风险基金中，属于高风险类资产的配置比例较低的产品。</w:t>
            </w:r>
          </w:p>
          <w:p w:rsidR="00530969" w:rsidRDefault="001C2BF9">
            <w:pPr>
              <w:adjustRightInd w:val="0"/>
              <w:spacing w:before="29" w:line="288" w:lineRule="auto"/>
              <w:ind w:left="17"/>
              <w:jc w:val="left"/>
              <w:rPr>
                <w:color w:val="000000"/>
                <w:sz w:val="24"/>
                <w:szCs w:val="24"/>
              </w:rPr>
            </w:pPr>
            <w:r>
              <w:rPr>
                <w:color w:val="000000"/>
                <w:kern w:val="0"/>
                <w:sz w:val="24"/>
                <w:szCs w:val="24"/>
              </w:rPr>
              <w:t>本基金属于混合型基金中基金，预期风险和收益水平低于股票型基金中基金，高于债券型基金中基金和货币型基金中基金。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w:t>
            </w:r>
            <w:r w:rsidRPr="00414345">
              <w:rPr>
                <w:color w:val="000000"/>
                <w:kern w:val="0"/>
                <w:sz w:val="24"/>
                <w:szCs w:val="24"/>
              </w:rPr>
              <w:t>2017</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上投摩根基金管理有限公司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C2BF9" w:rsidRPr="00414345" w:rsidTr="001C2BF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(2021</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-2021</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1C2BF9" w:rsidRPr="00414345" w:rsidTr="001C2B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253,870.88</w:t>
            </w:r>
          </w:p>
        </w:tc>
      </w:tr>
      <w:tr w:rsidR="001C2BF9" w:rsidRPr="00414345" w:rsidTr="001C2B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497,822.58</w:t>
            </w:r>
          </w:p>
        </w:tc>
      </w:tr>
      <w:tr w:rsidR="001C2BF9" w:rsidRPr="00414345" w:rsidTr="001C2B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0.0079</w:t>
            </w:r>
          </w:p>
        </w:tc>
      </w:tr>
      <w:tr w:rsidR="001C2BF9" w:rsidRPr="00414345" w:rsidTr="001C2B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61,741,162.49</w:t>
            </w:r>
          </w:p>
        </w:tc>
      </w:tr>
      <w:tr w:rsidR="001C2BF9" w:rsidRPr="00414345" w:rsidTr="001C2BF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1.1030</w:t>
            </w:r>
          </w:p>
        </w:tc>
      </w:tr>
    </w:tbl>
    <w:p w:rsidR="00530969" w:rsidRDefault="001C2BF9">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30969">
        <w:trPr>
          <w:jc w:val="center"/>
        </w:trPr>
        <w:tc>
          <w:tcPr>
            <w:tcW w:w="1701" w:type="dxa"/>
            <w:vAlign w:val="center"/>
          </w:tcPr>
          <w:p w:rsidR="00530969" w:rsidRDefault="001C2BF9">
            <w:pPr>
              <w:jc w:val="left"/>
            </w:pPr>
            <w:r>
              <w:rPr>
                <w:color w:val="000000"/>
                <w:sz w:val="24"/>
                <w:szCs w:val="24"/>
              </w:rPr>
              <w:t>过去三个月</w:t>
            </w:r>
          </w:p>
        </w:tc>
        <w:tc>
          <w:tcPr>
            <w:tcW w:w="1045" w:type="dxa"/>
            <w:vAlign w:val="center"/>
          </w:tcPr>
          <w:p w:rsidR="00530969" w:rsidRDefault="001C2BF9">
            <w:pPr>
              <w:jc w:val="center"/>
            </w:pPr>
            <w:r>
              <w:rPr>
                <w:color w:val="000000"/>
                <w:sz w:val="24"/>
                <w:szCs w:val="24"/>
              </w:rPr>
              <w:t>0.59%</w:t>
            </w:r>
          </w:p>
        </w:tc>
        <w:tc>
          <w:tcPr>
            <w:tcW w:w="1344" w:type="dxa"/>
            <w:vAlign w:val="center"/>
          </w:tcPr>
          <w:p w:rsidR="00530969" w:rsidRDefault="001C2BF9">
            <w:pPr>
              <w:jc w:val="center"/>
            </w:pPr>
            <w:r>
              <w:rPr>
                <w:color w:val="000000"/>
                <w:sz w:val="24"/>
                <w:szCs w:val="24"/>
              </w:rPr>
              <w:t>0.24%</w:t>
            </w:r>
          </w:p>
        </w:tc>
        <w:tc>
          <w:tcPr>
            <w:tcW w:w="1194" w:type="dxa"/>
            <w:vAlign w:val="center"/>
          </w:tcPr>
          <w:p w:rsidR="00530969" w:rsidRDefault="001C2BF9">
            <w:pPr>
              <w:jc w:val="center"/>
            </w:pPr>
            <w:r>
              <w:rPr>
                <w:color w:val="000000"/>
                <w:sz w:val="24"/>
                <w:szCs w:val="24"/>
              </w:rPr>
              <w:t>0.34%</w:t>
            </w:r>
          </w:p>
        </w:tc>
        <w:tc>
          <w:tcPr>
            <w:tcW w:w="1492" w:type="dxa"/>
            <w:vAlign w:val="center"/>
          </w:tcPr>
          <w:p w:rsidR="00530969" w:rsidRDefault="001C2BF9">
            <w:pPr>
              <w:jc w:val="center"/>
            </w:pPr>
            <w:r>
              <w:rPr>
                <w:color w:val="000000"/>
                <w:sz w:val="24"/>
                <w:szCs w:val="24"/>
              </w:rPr>
              <w:t>0.22%</w:t>
            </w:r>
          </w:p>
        </w:tc>
        <w:tc>
          <w:tcPr>
            <w:tcW w:w="1194" w:type="dxa"/>
            <w:vAlign w:val="center"/>
          </w:tcPr>
          <w:p w:rsidR="00530969" w:rsidRDefault="001C2BF9">
            <w:pPr>
              <w:jc w:val="center"/>
            </w:pPr>
            <w:r>
              <w:rPr>
                <w:color w:val="000000"/>
                <w:sz w:val="24"/>
                <w:szCs w:val="24"/>
              </w:rPr>
              <w:t>0.25%</w:t>
            </w:r>
          </w:p>
        </w:tc>
        <w:tc>
          <w:tcPr>
            <w:tcW w:w="898" w:type="dxa"/>
            <w:vAlign w:val="center"/>
          </w:tcPr>
          <w:p w:rsidR="00530969" w:rsidRDefault="001C2BF9">
            <w:pPr>
              <w:jc w:val="center"/>
            </w:pPr>
            <w:r>
              <w:rPr>
                <w:color w:val="000000"/>
                <w:sz w:val="24"/>
                <w:szCs w:val="24"/>
              </w:rPr>
              <w:t>0.02%</w:t>
            </w:r>
          </w:p>
        </w:tc>
      </w:tr>
      <w:tr w:rsidR="00530969">
        <w:trPr>
          <w:jc w:val="center"/>
        </w:trPr>
        <w:tc>
          <w:tcPr>
            <w:tcW w:w="1701" w:type="dxa"/>
            <w:vAlign w:val="center"/>
          </w:tcPr>
          <w:p w:rsidR="00530969" w:rsidRDefault="001C2BF9">
            <w:pPr>
              <w:jc w:val="left"/>
            </w:pPr>
            <w:r>
              <w:rPr>
                <w:color w:val="000000"/>
                <w:sz w:val="24"/>
                <w:szCs w:val="24"/>
              </w:rPr>
              <w:t>过去六个月</w:t>
            </w:r>
          </w:p>
        </w:tc>
        <w:tc>
          <w:tcPr>
            <w:tcW w:w="1045" w:type="dxa"/>
            <w:vAlign w:val="center"/>
          </w:tcPr>
          <w:p w:rsidR="00530969" w:rsidRDefault="001C2BF9">
            <w:pPr>
              <w:jc w:val="center"/>
            </w:pPr>
            <w:r>
              <w:rPr>
                <w:color w:val="000000"/>
                <w:sz w:val="24"/>
                <w:szCs w:val="24"/>
              </w:rPr>
              <w:t>2.47%</w:t>
            </w:r>
          </w:p>
        </w:tc>
        <w:tc>
          <w:tcPr>
            <w:tcW w:w="1344" w:type="dxa"/>
            <w:vAlign w:val="center"/>
          </w:tcPr>
          <w:p w:rsidR="00530969" w:rsidRDefault="001C2BF9">
            <w:pPr>
              <w:jc w:val="center"/>
            </w:pPr>
            <w:r>
              <w:rPr>
                <w:color w:val="000000"/>
                <w:sz w:val="24"/>
                <w:szCs w:val="24"/>
              </w:rPr>
              <w:t>0.20%</w:t>
            </w:r>
          </w:p>
        </w:tc>
        <w:tc>
          <w:tcPr>
            <w:tcW w:w="1194" w:type="dxa"/>
            <w:vAlign w:val="center"/>
          </w:tcPr>
          <w:p w:rsidR="00530969" w:rsidRDefault="001C2BF9">
            <w:pPr>
              <w:jc w:val="center"/>
            </w:pPr>
            <w:r>
              <w:rPr>
                <w:color w:val="000000"/>
                <w:sz w:val="24"/>
                <w:szCs w:val="24"/>
              </w:rPr>
              <w:t>2.16%</w:t>
            </w:r>
          </w:p>
        </w:tc>
        <w:tc>
          <w:tcPr>
            <w:tcW w:w="1492" w:type="dxa"/>
            <w:vAlign w:val="center"/>
          </w:tcPr>
          <w:p w:rsidR="00530969" w:rsidRDefault="001C2BF9">
            <w:pPr>
              <w:jc w:val="center"/>
            </w:pPr>
            <w:r>
              <w:rPr>
                <w:color w:val="000000"/>
                <w:sz w:val="24"/>
                <w:szCs w:val="24"/>
              </w:rPr>
              <w:t>0.20%</w:t>
            </w:r>
          </w:p>
        </w:tc>
        <w:tc>
          <w:tcPr>
            <w:tcW w:w="1194" w:type="dxa"/>
            <w:vAlign w:val="center"/>
          </w:tcPr>
          <w:p w:rsidR="00530969" w:rsidRDefault="001C2BF9">
            <w:pPr>
              <w:jc w:val="center"/>
            </w:pPr>
            <w:r>
              <w:rPr>
                <w:color w:val="000000"/>
                <w:sz w:val="24"/>
                <w:szCs w:val="24"/>
              </w:rPr>
              <w:t>0.31%</w:t>
            </w:r>
          </w:p>
        </w:tc>
        <w:tc>
          <w:tcPr>
            <w:tcW w:w="898" w:type="dxa"/>
            <w:vAlign w:val="center"/>
          </w:tcPr>
          <w:p w:rsidR="00530969" w:rsidRDefault="001C2BF9">
            <w:pPr>
              <w:jc w:val="center"/>
            </w:pPr>
            <w:r>
              <w:rPr>
                <w:color w:val="000000"/>
                <w:sz w:val="24"/>
                <w:szCs w:val="24"/>
              </w:rPr>
              <w:t>0.00%</w:t>
            </w:r>
          </w:p>
        </w:tc>
      </w:tr>
      <w:tr w:rsidR="00530969">
        <w:trPr>
          <w:jc w:val="center"/>
        </w:trPr>
        <w:tc>
          <w:tcPr>
            <w:tcW w:w="1701" w:type="dxa"/>
            <w:vAlign w:val="center"/>
          </w:tcPr>
          <w:p w:rsidR="00530969" w:rsidRDefault="001C2BF9">
            <w:pPr>
              <w:jc w:val="left"/>
            </w:pPr>
            <w:r>
              <w:rPr>
                <w:color w:val="000000"/>
                <w:sz w:val="24"/>
                <w:szCs w:val="24"/>
              </w:rPr>
              <w:t>过去一年</w:t>
            </w:r>
          </w:p>
        </w:tc>
        <w:tc>
          <w:tcPr>
            <w:tcW w:w="1045" w:type="dxa"/>
            <w:vAlign w:val="center"/>
          </w:tcPr>
          <w:p w:rsidR="00530969" w:rsidRDefault="001C2BF9">
            <w:pPr>
              <w:jc w:val="center"/>
            </w:pPr>
            <w:r>
              <w:rPr>
                <w:color w:val="000000"/>
                <w:sz w:val="24"/>
                <w:szCs w:val="24"/>
              </w:rPr>
              <w:t>7.44%</w:t>
            </w:r>
          </w:p>
        </w:tc>
        <w:tc>
          <w:tcPr>
            <w:tcW w:w="1344" w:type="dxa"/>
            <w:vAlign w:val="center"/>
          </w:tcPr>
          <w:p w:rsidR="00530969" w:rsidRDefault="001C2BF9">
            <w:pPr>
              <w:jc w:val="center"/>
            </w:pPr>
            <w:r>
              <w:rPr>
                <w:color w:val="000000"/>
                <w:sz w:val="24"/>
                <w:szCs w:val="24"/>
              </w:rPr>
              <w:t>0.25%</w:t>
            </w:r>
          </w:p>
        </w:tc>
        <w:tc>
          <w:tcPr>
            <w:tcW w:w="1194" w:type="dxa"/>
            <w:vAlign w:val="center"/>
          </w:tcPr>
          <w:p w:rsidR="00530969" w:rsidRDefault="001C2BF9">
            <w:pPr>
              <w:jc w:val="center"/>
            </w:pPr>
            <w:r>
              <w:rPr>
                <w:color w:val="000000"/>
                <w:sz w:val="24"/>
                <w:szCs w:val="24"/>
              </w:rPr>
              <w:t>5.37%</w:t>
            </w:r>
          </w:p>
        </w:tc>
        <w:tc>
          <w:tcPr>
            <w:tcW w:w="1492" w:type="dxa"/>
            <w:vAlign w:val="center"/>
          </w:tcPr>
          <w:p w:rsidR="00530969" w:rsidRDefault="001C2BF9">
            <w:pPr>
              <w:jc w:val="center"/>
            </w:pPr>
            <w:r>
              <w:rPr>
                <w:color w:val="000000"/>
                <w:sz w:val="24"/>
                <w:szCs w:val="24"/>
              </w:rPr>
              <w:t>0.23%</w:t>
            </w:r>
          </w:p>
        </w:tc>
        <w:tc>
          <w:tcPr>
            <w:tcW w:w="1194" w:type="dxa"/>
            <w:vAlign w:val="center"/>
          </w:tcPr>
          <w:p w:rsidR="00530969" w:rsidRDefault="001C2BF9">
            <w:pPr>
              <w:jc w:val="center"/>
            </w:pPr>
            <w:r>
              <w:rPr>
                <w:color w:val="000000"/>
                <w:sz w:val="24"/>
                <w:szCs w:val="24"/>
              </w:rPr>
              <w:t>2.07%</w:t>
            </w:r>
          </w:p>
        </w:tc>
        <w:tc>
          <w:tcPr>
            <w:tcW w:w="898" w:type="dxa"/>
            <w:vAlign w:val="center"/>
          </w:tcPr>
          <w:p w:rsidR="00530969" w:rsidRDefault="001C2BF9">
            <w:pPr>
              <w:jc w:val="center"/>
            </w:pPr>
            <w:r>
              <w:rPr>
                <w:color w:val="000000"/>
                <w:sz w:val="24"/>
                <w:szCs w:val="24"/>
              </w:rPr>
              <w:t>0.02%</w:t>
            </w:r>
          </w:p>
        </w:tc>
      </w:tr>
      <w:tr w:rsidR="00530969">
        <w:trPr>
          <w:jc w:val="center"/>
        </w:trPr>
        <w:tc>
          <w:tcPr>
            <w:tcW w:w="1701" w:type="dxa"/>
            <w:vAlign w:val="center"/>
          </w:tcPr>
          <w:p w:rsidR="00530969" w:rsidRDefault="001C2BF9">
            <w:pPr>
              <w:jc w:val="left"/>
            </w:pPr>
            <w:r>
              <w:rPr>
                <w:color w:val="000000"/>
                <w:sz w:val="24"/>
                <w:szCs w:val="24"/>
              </w:rPr>
              <w:t>过去三年</w:t>
            </w:r>
          </w:p>
        </w:tc>
        <w:tc>
          <w:tcPr>
            <w:tcW w:w="1045" w:type="dxa"/>
            <w:vAlign w:val="center"/>
          </w:tcPr>
          <w:p w:rsidR="00530969" w:rsidRDefault="001C2BF9">
            <w:pPr>
              <w:jc w:val="center"/>
            </w:pPr>
            <w:r>
              <w:rPr>
                <w:color w:val="000000"/>
                <w:sz w:val="24"/>
                <w:szCs w:val="24"/>
              </w:rPr>
              <w:t>-</w:t>
            </w:r>
          </w:p>
        </w:tc>
        <w:tc>
          <w:tcPr>
            <w:tcW w:w="1344" w:type="dxa"/>
            <w:vAlign w:val="center"/>
          </w:tcPr>
          <w:p w:rsidR="00530969" w:rsidRDefault="001C2BF9">
            <w:pPr>
              <w:jc w:val="center"/>
            </w:pPr>
            <w:r>
              <w:rPr>
                <w:color w:val="000000"/>
                <w:sz w:val="24"/>
                <w:szCs w:val="24"/>
              </w:rPr>
              <w:t>-</w:t>
            </w:r>
          </w:p>
        </w:tc>
        <w:tc>
          <w:tcPr>
            <w:tcW w:w="1194" w:type="dxa"/>
            <w:vAlign w:val="center"/>
          </w:tcPr>
          <w:p w:rsidR="00530969" w:rsidRDefault="001C2BF9">
            <w:pPr>
              <w:jc w:val="center"/>
            </w:pPr>
            <w:r>
              <w:rPr>
                <w:color w:val="000000"/>
                <w:sz w:val="24"/>
                <w:szCs w:val="24"/>
              </w:rPr>
              <w:t>-</w:t>
            </w:r>
          </w:p>
        </w:tc>
        <w:tc>
          <w:tcPr>
            <w:tcW w:w="1492" w:type="dxa"/>
            <w:vAlign w:val="center"/>
          </w:tcPr>
          <w:p w:rsidR="00530969" w:rsidRDefault="001C2BF9">
            <w:pPr>
              <w:jc w:val="center"/>
            </w:pPr>
            <w:r>
              <w:rPr>
                <w:color w:val="000000"/>
                <w:sz w:val="24"/>
                <w:szCs w:val="24"/>
              </w:rPr>
              <w:t>-</w:t>
            </w:r>
          </w:p>
        </w:tc>
        <w:tc>
          <w:tcPr>
            <w:tcW w:w="1194" w:type="dxa"/>
            <w:vAlign w:val="center"/>
          </w:tcPr>
          <w:p w:rsidR="00530969" w:rsidRDefault="001C2BF9">
            <w:pPr>
              <w:jc w:val="center"/>
            </w:pPr>
            <w:r>
              <w:rPr>
                <w:color w:val="000000"/>
                <w:sz w:val="24"/>
                <w:szCs w:val="24"/>
              </w:rPr>
              <w:t>-</w:t>
            </w:r>
          </w:p>
        </w:tc>
        <w:tc>
          <w:tcPr>
            <w:tcW w:w="898" w:type="dxa"/>
            <w:vAlign w:val="center"/>
          </w:tcPr>
          <w:p w:rsidR="00530969" w:rsidRDefault="001C2BF9">
            <w:pPr>
              <w:jc w:val="center"/>
            </w:pPr>
            <w:r>
              <w:rPr>
                <w:color w:val="000000"/>
                <w:sz w:val="24"/>
                <w:szCs w:val="24"/>
              </w:rPr>
              <w:t>-</w:t>
            </w:r>
          </w:p>
        </w:tc>
      </w:tr>
      <w:tr w:rsidR="00530969">
        <w:trPr>
          <w:jc w:val="center"/>
        </w:trPr>
        <w:tc>
          <w:tcPr>
            <w:tcW w:w="1701" w:type="dxa"/>
            <w:vAlign w:val="center"/>
          </w:tcPr>
          <w:p w:rsidR="00530969" w:rsidRDefault="001C2BF9">
            <w:pPr>
              <w:jc w:val="left"/>
            </w:pPr>
            <w:r>
              <w:rPr>
                <w:color w:val="000000"/>
                <w:sz w:val="24"/>
                <w:szCs w:val="24"/>
              </w:rPr>
              <w:t>过去五年</w:t>
            </w:r>
          </w:p>
        </w:tc>
        <w:tc>
          <w:tcPr>
            <w:tcW w:w="1045" w:type="dxa"/>
            <w:vAlign w:val="center"/>
          </w:tcPr>
          <w:p w:rsidR="00530969" w:rsidRDefault="001C2BF9">
            <w:pPr>
              <w:jc w:val="center"/>
            </w:pPr>
            <w:r>
              <w:rPr>
                <w:color w:val="000000"/>
                <w:sz w:val="24"/>
                <w:szCs w:val="24"/>
              </w:rPr>
              <w:t>-</w:t>
            </w:r>
          </w:p>
        </w:tc>
        <w:tc>
          <w:tcPr>
            <w:tcW w:w="1344" w:type="dxa"/>
            <w:vAlign w:val="center"/>
          </w:tcPr>
          <w:p w:rsidR="00530969" w:rsidRDefault="001C2BF9">
            <w:pPr>
              <w:jc w:val="center"/>
            </w:pPr>
            <w:r>
              <w:rPr>
                <w:color w:val="000000"/>
                <w:sz w:val="24"/>
                <w:szCs w:val="24"/>
              </w:rPr>
              <w:t>-</w:t>
            </w:r>
          </w:p>
        </w:tc>
        <w:tc>
          <w:tcPr>
            <w:tcW w:w="1194" w:type="dxa"/>
            <w:vAlign w:val="center"/>
          </w:tcPr>
          <w:p w:rsidR="00530969" w:rsidRDefault="001C2BF9">
            <w:pPr>
              <w:jc w:val="center"/>
            </w:pPr>
            <w:r>
              <w:rPr>
                <w:color w:val="000000"/>
                <w:sz w:val="24"/>
                <w:szCs w:val="24"/>
              </w:rPr>
              <w:t>-</w:t>
            </w:r>
          </w:p>
        </w:tc>
        <w:tc>
          <w:tcPr>
            <w:tcW w:w="1492" w:type="dxa"/>
            <w:vAlign w:val="center"/>
          </w:tcPr>
          <w:p w:rsidR="00530969" w:rsidRDefault="001C2BF9">
            <w:pPr>
              <w:jc w:val="center"/>
            </w:pPr>
            <w:r>
              <w:rPr>
                <w:color w:val="000000"/>
                <w:sz w:val="24"/>
                <w:szCs w:val="24"/>
              </w:rPr>
              <w:t>-</w:t>
            </w:r>
          </w:p>
        </w:tc>
        <w:tc>
          <w:tcPr>
            <w:tcW w:w="1194" w:type="dxa"/>
            <w:vAlign w:val="center"/>
          </w:tcPr>
          <w:p w:rsidR="00530969" w:rsidRDefault="001C2BF9">
            <w:pPr>
              <w:jc w:val="center"/>
            </w:pPr>
            <w:r>
              <w:rPr>
                <w:color w:val="000000"/>
                <w:sz w:val="24"/>
                <w:szCs w:val="24"/>
              </w:rPr>
              <w:t>-</w:t>
            </w:r>
          </w:p>
        </w:tc>
        <w:tc>
          <w:tcPr>
            <w:tcW w:w="898" w:type="dxa"/>
            <w:vAlign w:val="center"/>
          </w:tcPr>
          <w:p w:rsidR="00530969" w:rsidRDefault="001C2BF9">
            <w:pPr>
              <w:jc w:val="center"/>
            </w:pPr>
            <w:r>
              <w:rPr>
                <w:color w:val="000000"/>
                <w:sz w:val="24"/>
                <w:szCs w:val="24"/>
              </w:rPr>
              <w:t>-</w:t>
            </w:r>
          </w:p>
        </w:tc>
      </w:tr>
      <w:tr w:rsidR="00530969">
        <w:trPr>
          <w:jc w:val="center"/>
        </w:trPr>
        <w:tc>
          <w:tcPr>
            <w:tcW w:w="1701" w:type="dxa"/>
            <w:vAlign w:val="center"/>
          </w:tcPr>
          <w:p w:rsidR="00530969" w:rsidRDefault="001C2BF9">
            <w:pPr>
              <w:jc w:val="left"/>
            </w:pPr>
            <w:r>
              <w:rPr>
                <w:color w:val="000000"/>
                <w:sz w:val="24"/>
                <w:szCs w:val="24"/>
              </w:rPr>
              <w:t>自基金合同生效起至今</w:t>
            </w:r>
          </w:p>
        </w:tc>
        <w:tc>
          <w:tcPr>
            <w:tcW w:w="1045" w:type="dxa"/>
            <w:vAlign w:val="center"/>
          </w:tcPr>
          <w:p w:rsidR="00530969" w:rsidRDefault="001C2BF9">
            <w:pPr>
              <w:jc w:val="center"/>
            </w:pPr>
            <w:r>
              <w:rPr>
                <w:color w:val="000000"/>
                <w:sz w:val="24"/>
                <w:szCs w:val="24"/>
              </w:rPr>
              <w:t>10.30%</w:t>
            </w:r>
          </w:p>
        </w:tc>
        <w:tc>
          <w:tcPr>
            <w:tcW w:w="1344" w:type="dxa"/>
            <w:vAlign w:val="center"/>
          </w:tcPr>
          <w:p w:rsidR="00530969" w:rsidRDefault="001C2BF9">
            <w:pPr>
              <w:jc w:val="center"/>
            </w:pPr>
            <w:r>
              <w:rPr>
                <w:color w:val="000000"/>
                <w:sz w:val="24"/>
                <w:szCs w:val="24"/>
              </w:rPr>
              <w:t>0.26%</w:t>
            </w:r>
          </w:p>
        </w:tc>
        <w:tc>
          <w:tcPr>
            <w:tcW w:w="1194" w:type="dxa"/>
            <w:vAlign w:val="center"/>
          </w:tcPr>
          <w:p w:rsidR="00530969" w:rsidRDefault="001C2BF9">
            <w:pPr>
              <w:jc w:val="center"/>
            </w:pPr>
            <w:r>
              <w:rPr>
                <w:color w:val="000000"/>
                <w:sz w:val="24"/>
                <w:szCs w:val="24"/>
              </w:rPr>
              <w:t>7.74%</w:t>
            </w:r>
          </w:p>
        </w:tc>
        <w:tc>
          <w:tcPr>
            <w:tcW w:w="1492" w:type="dxa"/>
            <w:vAlign w:val="center"/>
          </w:tcPr>
          <w:p w:rsidR="00530969" w:rsidRDefault="001C2BF9">
            <w:pPr>
              <w:jc w:val="center"/>
            </w:pPr>
            <w:r>
              <w:rPr>
                <w:color w:val="000000"/>
                <w:sz w:val="24"/>
                <w:szCs w:val="24"/>
              </w:rPr>
              <w:t>0.25%</w:t>
            </w:r>
          </w:p>
        </w:tc>
        <w:tc>
          <w:tcPr>
            <w:tcW w:w="1194" w:type="dxa"/>
            <w:vAlign w:val="center"/>
          </w:tcPr>
          <w:p w:rsidR="00530969" w:rsidRDefault="001C2BF9">
            <w:pPr>
              <w:jc w:val="center"/>
            </w:pPr>
            <w:r>
              <w:rPr>
                <w:color w:val="000000"/>
                <w:sz w:val="24"/>
                <w:szCs w:val="24"/>
              </w:rPr>
              <w:t>2.56%</w:t>
            </w:r>
          </w:p>
        </w:tc>
        <w:tc>
          <w:tcPr>
            <w:tcW w:w="898" w:type="dxa"/>
            <w:vAlign w:val="center"/>
          </w:tcPr>
          <w:p w:rsidR="00530969" w:rsidRDefault="001C2BF9">
            <w:pPr>
              <w:jc w:val="center"/>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上投摩根锦程稳健养老目标一年持有期混合型基金中基金</w:t>
      </w:r>
      <w:r w:rsidRPr="00414345">
        <w:rPr>
          <w:color w:val="000000"/>
          <w:sz w:val="24"/>
          <w:szCs w:val="24"/>
        </w:rPr>
        <w:t>(FOF)</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2021</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701EE165" wp14:editId="6BB9C99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530969" w:rsidRDefault="001C2BF9">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23</w:t>
      </w:r>
      <w:r>
        <w:rPr>
          <w:color w:val="000000"/>
          <w:sz w:val="24"/>
          <w:szCs w:val="24"/>
        </w:rPr>
        <w:t>日，图示的时间段为合同生效日至本报告期末。</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本基金建仓期为本基金合同生效日起</w:t>
      </w:r>
      <w:r w:rsidRPr="00414345">
        <w:rPr>
          <w:color w:val="000000"/>
          <w:sz w:val="24"/>
          <w:szCs w:val="24"/>
        </w:rPr>
        <w:t>6</w:t>
      </w:r>
      <w:r w:rsidRPr="00414345">
        <w:rPr>
          <w:color w:val="000000"/>
          <w:sz w:val="24"/>
          <w:szCs w:val="24"/>
        </w:rPr>
        <w:t>个月，建仓期结束时资产配置比例符合本基金基金合同规定。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627E2D" w:rsidRPr="00414345" w:rsidRDefault="00627E2D" w:rsidP="00C15CAC">
      <w:pPr>
        <w:autoSpaceDE w:val="0"/>
        <w:autoSpaceDN w:val="0"/>
        <w:adjustRightInd w:val="0"/>
        <w:spacing w:before="29" w:line="288" w:lineRule="auto"/>
        <w:jc w:val="left"/>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30969">
        <w:trPr>
          <w:jc w:val="center"/>
        </w:trPr>
        <w:tc>
          <w:tcPr>
            <w:tcW w:w="846" w:type="dxa"/>
            <w:vAlign w:val="center"/>
          </w:tcPr>
          <w:p w:rsidR="00530969" w:rsidRDefault="001C2BF9">
            <w:pPr>
              <w:jc w:val="center"/>
            </w:pPr>
            <w:r>
              <w:rPr>
                <w:color w:val="000000"/>
                <w:sz w:val="24"/>
                <w:szCs w:val="24"/>
              </w:rPr>
              <w:t>杜习杰</w:t>
            </w:r>
          </w:p>
        </w:tc>
        <w:tc>
          <w:tcPr>
            <w:tcW w:w="845" w:type="dxa"/>
            <w:vAlign w:val="center"/>
          </w:tcPr>
          <w:p w:rsidR="00530969" w:rsidRDefault="001C2BF9">
            <w:pPr>
              <w:jc w:val="center"/>
            </w:pPr>
            <w:r>
              <w:rPr>
                <w:color w:val="000000"/>
                <w:sz w:val="24"/>
                <w:szCs w:val="24"/>
              </w:rPr>
              <w:t>本基金基金经理</w:t>
            </w:r>
          </w:p>
        </w:tc>
        <w:tc>
          <w:tcPr>
            <w:tcW w:w="1549" w:type="dxa"/>
            <w:vAlign w:val="center"/>
          </w:tcPr>
          <w:p w:rsidR="00530969" w:rsidRDefault="001C2BF9">
            <w:pPr>
              <w:jc w:val="center"/>
            </w:pPr>
            <w:r>
              <w:rPr>
                <w:color w:val="000000"/>
                <w:sz w:val="24"/>
                <w:szCs w:val="24"/>
              </w:rPr>
              <w:t>2020-04-23</w:t>
            </w:r>
          </w:p>
        </w:tc>
        <w:tc>
          <w:tcPr>
            <w:tcW w:w="1548" w:type="dxa"/>
            <w:vAlign w:val="center"/>
          </w:tcPr>
          <w:p w:rsidR="00530969" w:rsidRDefault="001C2BF9">
            <w:pPr>
              <w:jc w:val="center"/>
            </w:pPr>
            <w:r>
              <w:rPr>
                <w:color w:val="000000"/>
                <w:sz w:val="24"/>
                <w:szCs w:val="24"/>
              </w:rPr>
              <w:t>-</w:t>
            </w:r>
          </w:p>
        </w:tc>
        <w:tc>
          <w:tcPr>
            <w:tcW w:w="1407" w:type="dxa"/>
            <w:vAlign w:val="center"/>
          </w:tcPr>
          <w:p w:rsidR="00530969" w:rsidRDefault="001C2BF9">
            <w:pPr>
              <w:jc w:val="center"/>
            </w:pPr>
            <w:r>
              <w:rPr>
                <w:color w:val="000000"/>
                <w:sz w:val="24"/>
                <w:szCs w:val="24"/>
              </w:rPr>
              <w:t>13</w:t>
            </w:r>
            <w:r>
              <w:rPr>
                <w:color w:val="000000"/>
                <w:sz w:val="24"/>
                <w:szCs w:val="24"/>
              </w:rPr>
              <w:t>年</w:t>
            </w:r>
          </w:p>
        </w:tc>
        <w:tc>
          <w:tcPr>
            <w:tcW w:w="2673" w:type="dxa"/>
            <w:vAlign w:val="center"/>
          </w:tcPr>
          <w:p w:rsidR="00530969" w:rsidRDefault="001C2BF9">
            <w:r>
              <w:rPr>
                <w:color w:val="000000"/>
                <w:sz w:val="24"/>
                <w:szCs w:val="24"/>
              </w:rPr>
              <w:t>杜习杰先生，上海财经大学金融学硕士。自</w:t>
            </w:r>
            <w:r>
              <w:rPr>
                <w:color w:val="000000"/>
                <w:sz w:val="24"/>
                <w:szCs w:val="24"/>
              </w:rPr>
              <w:t>2008</w:t>
            </w:r>
            <w:r>
              <w:rPr>
                <w:color w:val="000000"/>
                <w:sz w:val="24"/>
                <w:szCs w:val="24"/>
              </w:rPr>
              <w:t>年</w:t>
            </w:r>
            <w:r>
              <w:rPr>
                <w:color w:val="000000"/>
                <w:sz w:val="24"/>
                <w:szCs w:val="24"/>
              </w:rPr>
              <w:t>7</w:t>
            </w:r>
            <w:r>
              <w:rPr>
                <w:color w:val="000000"/>
                <w:sz w:val="24"/>
                <w:szCs w:val="24"/>
              </w:rPr>
              <w:t>月至</w:t>
            </w:r>
            <w:r>
              <w:rPr>
                <w:color w:val="000000"/>
                <w:sz w:val="24"/>
                <w:szCs w:val="24"/>
              </w:rPr>
              <w:t>2011</w:t>
            </w:r>
            <w:r>
              <w:rPr>
                <w:color w:val="000000"/>
                <w:sz w:val="24"/>
                <w:szCs w:val="24"/>
              </w:rPr>
              <w:t>年</w:t>
            </w:r>
            <w:r>
              <w:rPr>
                <w:color w:val="000000"/>
                <w:sz w:val="24"/>
                <w:szCs w:val="24"/>
              </w:rPr>
              <w:t>5</w:t>
            </w:r>
            <w:r>
              <w:rPr>
                <w:color w:val="000000"/>
                <w:sz w:val="24"/>
                <w:szCs w:val="24"/>
              </w:rPr>
              <w:t>月在长信基金任研究员；</w:t>
            </w:r>
            <w:r>
              <w:rPr>
                <w:color w:val="000000"/>
                <w:sz w:val="24"/>
                <w:szCs w:val="24"/>
              </w:rPr>
              <w:t>2011</w:t>
            </w:r>
            <w:r>
              <w:rPr>
                <w:color w:val="000000"/>
                <w:sz w:val="24"/>
                <w:szCs w:val="24"/>
              </w:rPr>
              <w:t>年</w:t>
            </w:r>
            <w:r>
              <w:rPr>
                <w:color w:val="000000"/>
                <w:sz w:val="24"/>
                <w:szCs w:val="24"/>
              </w:rPr>
              <w:t>6</w:t>
            </w:r>
            <w:r>
              <w:rPr>
                <w:color w:val="000000"/>
                <w:sz w:val="24"/>
                <w:szCs w:val="24"/>
              </w:rPr>
              <w:t>月起加入上投摩根基金管理有限公司，历任研究员、投资经理兼研究员，现任组合基金投资部基金经理。自</w:t>
            </w:r>
            <w:r>
              <w:rPr>
                <w:color w:val="000000"/>
                <w:sz w:val="24"/>
                <w:szCs w:val="24"/>
              </w:rPr>
              <w:t>2019</w:t>
            </w:r>
            <w:r>
              <w:rPr>
                <w:color w:val="000000"/>
                <w:sz w:val="24"/>
                <w:szCs w:val="24"/>
              </w:rPr>
              <w:t>年</w:t>
            </w:r>
            <w:r>
              <w:rPr>
                <w:color w:val="000000"/>
                <w:sz w:val="24"/>
                <w:szCs w:val="24"/>
              </w:rPr>
              <w:t>9</w:t>
            </w:r>
            <w:r>
              <w:rPr>
                <w:color w:val="000000"/>
                <w:sz w:val="24"/>
                <w:szCs w:val="24"/>
              </w:rPr>
              <w:t>月起担任上投摩根锦程均衡养老目标三年持有期混合型基金中基金（</w:t>
            </w:r>
            <w:r>
              <w:rPr>
                <w:color w:val="000000"/>
                <w:sz w:val="24"/>
                <w:szCs w:val="24"/>
              </w:rPr>
              <w:t>FOF</w:t>
            </w:r>
            <w:r>
              <w:rPr>
                <w:color w:val="000000"/>
                <w:sz w:val="24"/>
                <w:szCs w:val="24"/>
              </w:rPr>
              <w:t>）基金经理，自</w:t>
            </w:r>
            <w:r>
              <w:rPr>
                <w:color w:val="000000"/>
                <w:sz w:val="24"/>
                <w:szCs w:val="24"/>
              </w:rPr>
              <w:t>2020</w:t>
            </w:r>
            <w:r>
              <w:rPr>
                <w:color w:val="000000"/>
                <w:sz w:val="24"/>
                <w:szCs w:val="24"/>
              </w:rPr>
              <w:t>年</w:t>
            </w:r>
            <w:r>
              <w:rPr>
                <w:color w:val="000000"/>
                <w:sz w:val="24"/>
                <w:szCs w:val="24"/>
              </w:rPr>
              <w:t>4</w:t>
            </w:r>
            <w:r>
              <w:rPr>
                <w:color w:val="000000"/>
                <w:sz w:val="24"/>
                <w:szCs w:val="24"/>
              </w:rPr>
              <w:t>月起同时担任上投摩根锦程稳健养老目标一年持有期混合型基金中基金</w:t>
            </w:r>
            <w:r>
              <w:rPr>
                <w:color w:val="000000"/>
                <w:sz w:val="24"/>
                <w:szCs w:val="24"/>
              </w:rPr>
              <w:t>(FOF)</w:t>
            </w:r>
            <w:r>
              <w:rPr>
                <w:color w:val="000000"/>
                <w:sz w:val="24"/>
                <w:szCs w:val="24"/>
              </w:rPr>
              <w:t>基金经理及上投摩根锦程积极成长养老目标五年持有期混合型发起式基金中基金</w:t>
            </w:r>
            <w:r>
              <w:rPr>
                <w:color w:val="000000"/>
                <w:sz w:val="24"/>
                <w:szCs w:val="24"/>
              </w:rPr>
              <w:t xml:space="preserve">(FOF) </w:t>
            </w:r>
            <w:r>
              <w:rPr>
                <w:color w:val="000000"/>
                <w:sz w:val="24"/>
                <w:szCs w:val="24"/>
              </w:rPr>
              <w:t>基金经理，自</w:t>
            </w:r>
            <w:r>
              <w:rPr>
                <w:color w:val="000000"/>
                <w:sz w:val="24"/>
                <w:szCs w:val="24"/>
              </w:rPr>
              <w:t>2020</w:t>
            </w:r>
            <w:r>
              <w:rPr>
                <w:color w:val="000000"/>
                <w:sz w:val="24"/>
                <w:szCs w:val="24"/>
              </w:rPr>
              <w:t>年</w:t>
            </w:r>
            <w:r>
              <w:rPr>
                <w:color w:val="000000"/>
                <w:sz w:val="24"/>
                <w:szCs w:val="24"/>
              </w:rPr>
              <w:t>12</w:t>
            </w:r>
            <w:r>
              <w:rPr>
                <w:color w:val="000000"/>
                <w:sz w:val="24"/>
                <w:szCs w:val="24"/>
              </w:rPr>
              <w:t>月起同时担任上投摩根尚睿混合型基金中基金</w:t>
            </w:r>
            <w:r>
              <w:rPr>
                <w:color w:val="000000"/>
                <w:sz w:val="24"/>
                <w:szCs w:val="24"/>
              </w:rPr>
              <w:t>(FOF)</w:t>
            </w:r>
            <w:r>
              <w:rPr>
                <w:color w:val="000000"/>
                <w:sz w:val="24"/>
                <w:szCs w:val="24"/>
              </w:rPr>
              <w:t>基金经理。</w:t>
            </w:r>
          </w:p>
        </w:tc>
      </w:tr>
    </w:tbl>
    <w:p w:rsidR="00530969" w:rsidRDefault="001C2BF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 xml:space="preserve">1. </w:t>
      </w:r>
      <w:r>
        <w:rPr>
          <w:color w:val="000000"/>
          <w:sz w:val="24"/>
          <w:szCs w:val="24"/>
        </w:rPr>
        <w:t>任职日期和离任日期均指根据公司决定确定的聘任日期和解聘日期。</w:t>
      </w:r>
    </w:p>
    <w:p w:rsidR="00530969" w:rsidRDefault="001C2BF9">
      <w:pPr>
        <w:autoSpaceDE w:val="0"/>
        <w:autoSpaceDN w:val="0"/>
        <w:adjustRightInd w:val="0"/>
        <w:spacing w:before="29" w:line="288" w:lineRule="auto"/>
        <w:jc w:val="left"/>
        <w:rPr>
          <w:color w:val="000000"/>
          <w:sz w:val="24"/>
          <w:szCs w:val="24"/>
        </w:rPr>
      </w:pPr>
      <w:r>
        <w:rPr>
          <w:color w:val="000000"/>
          <w:sz w:val="24"/>
          <w:szCs w:val="24"/>
        </w:rPr>
        <w:t xml:space="preserve">2. </w:t>
      </w:r>
      <w:r>
        <w:rPr>
          <w:color w:val="000000"/>
          <w:sz w:val="24"/>
          <w:szCs w:val="24"/>
        </w:rPr>
        <w:t>杜习杰先生为本基金首任基金经理，其任职日期为本基金基金合同生效之日；</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3. </w:t>
      </w:r>
      <w:r w:rsidRPr="00414345">
        <w:rPr>
          <w:color w:val="000000"/>
          <w:sz w:val="24"/>
          <w:szCs w:val="24"/>
        </w:rPr>
        <w:t>证券从业的含义遵从行业协会《证券业从业人员资格管理办法》的相关规定。</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上投摩根锦程稳健养老目标一年持有期混合型基金中基金</w:t>
      </w:r>
      <w:r w:rsidRPr="00414345">
        <w:rPr>
          <w:color w:val="000000"/>
          <w:sz w:val="24"/>
          <w:szCs w:val="24"/>
        </w:rPr>
        <w:t>(FOF)</w:t>
      </w:r>
      <w:r w:rsidRPr="00414345">
        <w:rPr>
          <w:color w:val="000000"/>
          <w:sz w:val="24"/>
          <w:szCs w:val="24"/>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30969" w:rsidRDefault="001C2BF9">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30969" w:rsidRDefault="001C2BF9">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530969" w:rsidRDefault="001C2BF9">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30969" w:rsidRDefault="001C2BF9">
      <w:pPr>
        <w:spacing w:before="29" w:line="288" w:lineRule="auto"/>
        <w:ind w:firstLineChars="200" w:firstLine="480"/>
        <w:rPr>
          <w:color w:val="000000"/>
          <w:sz w:val="24"/>
          <w:szCs w:val="24"/>
        </w:rPr>
      </w:pPr>
      <w:r>
        <w:rPr>
          <w:color w:val="000000"/>
          <w:sz w:val="24"/>
          <w:szCs w:val="24"/>
        </w:rPr>
        <w:t>回顾三季度国内经济继续走弱，除出口维持高增长外，生产、消费均持续走弱，</w:t>
      </w:r>
      <w:r>
        <w:rPr>
          <w:color w:val="000000"/>
          <w:sz w:val="24"/>
          <w:szCs w:val="24"/>
        </w:rPr>
        <w:t>PPI</w:t>
      </w:r>
      <w:r>
        <w:rPr>
          <w:color w:val="000000"/>
          <w:sz w:val="24"/>
          <w:szCs w:val="24"/>
        </w:rPr>
        <w:t>同比创年内新高，下游企业压力尚未缓解。央行下调金融机构存款准备金率，市场重拾对货币政策宽松的预期。部分行业的监管政策引发市场担忧，北上资金大幅净流出。市场担忧个别房企风险事件的扩散，且随着美联储议息会议临近，不确定因素增加，海外权益市场涨跌不一，国内权益本季度整体呈现震荡格局。三季度上证综指小幅下跌，小盘价值风格涨幅明显。能源供给缺口加剧，原油及上游周期股显著上涨。</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近期出口表现较好，消费略有改善，生产仍在低位。但整体经济仍有稳增长的压力，尤其是消费或延续弱复苏、前期支撑较大的出口面临高位回落。预期财政政策会更积极，并且会宽货币、宽信用支持中小微企业。政府基建投资有望继续加码。流动性方面，海外宽松力度逐渐收敛，国内货币政策仍以稳为主，整体宏观流动性有望继续保持合理充裕。市场资金供需相对平衡，融资余额持续上升，境内机构资金和北上资金持续流入。高景气度行业近期有一定比例的回调，估值得到部分消化，进一步下跌的空间有限。若前期涨幅过大的周期行业出现回调，资金很可能重新趋向科技板块。在信用风险出清之前，对信用债仍保持谨慎态度。美联储</w:t>
      </w:r>
      <w:r w:rsidRPr="00414345">
        <w:rPr>
          <w:color w:val="000000"/>
          <w:sz w:val="24"/>
          <w:szCs w:val="24"/>
        </w:rPr>
        <w:t>9</w:t>
      </w:r>
      <w:r w:rsidRPr="00414345">
        <w:rPr>
          <w:color w:val="000000"/>
          <w:sz w:val="24"/>
          <w:szCs w:val="24"/>
        </w:rPr>
        <w:t>月议息表态较鹰派，强化缩减量化宽松的指引，美债利率或将重拾上升趋势。</w:t>
      </w:r>
      <w:r w:rsidRPr="00414345">
        <w:rPr>
          <w:color w:val="000000"/>
          <w:sz w:val="24"/>
          <w:szCs w:val="24"/>
        </w:rPr>
        <w:t>REITs</w:t>
      </w:r>
      <w:r w:rsidRPr="00414345">
        <w:rPr>
          <w:color w:val="000000"/>
          <w:sz w:val="24"/>
          <w:szCs w:val="24"/>
        </w:rPr>
        <w:t>基本面仍在改善中，但随着疫情反复或大概率震荡。</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本报告期上投摩根锦程稳健养老一年持有混合</w:t>
      </w:r>
      <w:r w:rsidRPr="00414345">
        <w:rPr>
          <w:color w:val="000000"/>
          <w:sz w:val="24"/>
          <w:szCs w:val="24"/>
        </w:rPr>
        <w:t>(FOF)</w:t>
      </w:r>
      <w:r w:rsidRPr="00414345">
        <w:rPr>
          <w:color w:val="000000"/>
          <w:sz w:val="24"/>
          <w:szCs w:val="24"/>
        </w:rPr>
        <w:t>份额净值增长率为</w:t>
      </w:r>
      <w:r w:rsidRPr="00414345">
        <w:rPr>
          <w:color w:val="000000"/>
          <w:sz w:val="24"/>
          <w:szCs w:val="24"/>
        </w:rPr>
        <w:t>:0.59%</w:t>
      </w:r>
      <w:r w:rsidRPr="00414345">
        <w:rPr>
          <w:color w:val="000000"/>
          <w:sz w:val="24"/>
          <w:szCs w:val="24"/>
        </w:rPr>
        <w:t>，同期业绩比较基准收益率为</w:t>
      </w:r>
      <w:r w:rsidRPr="00414345">
        <w:rPr>
          <w:color w:val="000000"/>
          <w:sz w:val="24"/>
          <w:szCs w:val="24"/>
        </w:rPr>
        <w:t>:0.34%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无。</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f2"/>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57,332,082.17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90.53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4,126,119.60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3,589,869.60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536,250.00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0.85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1,711,793.17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157,497.20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63,327,492.14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E133DE" w:rsidRPr="00E133DE" w:rsidRDefault="004061AC" w:rsidP="00C15CAC">
      <w:pPr>
        <w:autoSpaceDE w:val="0"/>
        <w:autoSpaceDN w:val="0"/>
        <w:adjustRightInd w:val="0"/>
        <w:spacing w:before="29" w:line="288" w:lineRule="auto"/>
        <w:jc w:val="left"/>
        <w:rPr>
          <w:b/>
          <w:bCs/>
          <w:kern w:val="0"/>
          <w:sz w:val="24"/>
          <w:szCs w:val="24"/>
        </w:rPr>
      </w:pPr>
      <w:r w:rsidRPr="00E133DE">
        <w:rPr>
          <w:b/>
          <w:bCs/>
          <w:kern w:val="0"/>
          <w:sz w:val="24"/>
          <w:szCs w:val="24"/>
        </w:rPr>
        <w:t xml:space="preserve">5.3 </w:t>
      </w:r>
      <w:r w:rsidR="00E133DE" w:rsidRPr="00E133DE">
        <w:rPr>
          <w:rFonts w:asciiTheme="minorEastAsia" w:eastAsiaTheme="minorEastAsia" w:hAnsiTheme="minorEastAsia" w:hint="eastAsia"/>
          <w:b/>
          <w:bCs/>
          <w:kern w:val="0"/>
          <w:sz w:val="24"/>
          <w:szCs w:val="24"/>
        </w:rPr>
        <w:t>期末按公允价值占基金资产净值比例大小排序的股票投资明细</w:t>
      </w:r>
      <w:r w:rsidR="00E133DE" w:rsidRPr="00E133DE">
        <w:rPr>
          <w:rFonts w:asciiTheme="minorEastAsia" w:eastAsiaTheme="minorEastAsia" w:hAnsiTheme="minorEastAsia" w:hint="eastAsia"/>
          <w:b/>
          <w:bCs/>
          <w:kern w:val="0"/>
          <w:sz w:val="24"/>
          <w:szCs w:val="24"/>
        </w:rPr>
        <w:cr/>
      </w:r>
    </w:p>
    <w:p w:rsidR="004061AC" w:rsidRPr="00E133DE" w:rsidRDefault="00E133DE" w:rsidP="00C15CAC">
      <w:pPr>
        <w:autoSpaceDE w:val="0"/>
        <w:autoSpaceDN w:val="0"/>
        <w:adjustRightInd w:val="0"/>
        <w:spacing w:before="29" w:line="288" w:lineRule="auto"/>
        <w:jc w:val="left"/>
        <w:rPr>
          <w:b/>
          <w:bCs/>
          <w:kern w:val="0"/>
          <w:sz w:val="24"/>
          <w:szCs w:val="24"/>
        </w:rPr>
      </w:pPr>
      <w:r w:rsidRPr="00E133DE">
        <w:rPr>
          <w:rFonts w:eastAsiaTheme="minorEastAsia"/>
          <w:b/>
          <w:bCs/>
          <w:kern w:val="0"/>
          <w:sz w:val="24"/>
          <w:szCs w:val="24"/>
        </w:rPr>
        <w:t xml:space="preserve">5.3.1 </w:t>
      </w:r>
      <w:r w:rsidR="004061AC" w:rsidRPr="00E133DE">
        <w:rPr>
          <w:b/>
          <w:bCs/>
          <w:kern w:val="0"/>
          <w:sz w:val="24"/>
          <w:szCs w:val="24"/>
        </w:rPr>
        <w:t>报告期末按公允价值占基金资产净值比例大小排序的前十名股票投资明细</w:t>
      </w:r>
    </w:p>
    <w:p w:rsidR="004061AC" w:rsidRPr="00E133DE" w:rsidRDefault="004061AC" w:rsidP="00C15CAC">
      <w:pPr>
        <w:autoSpaceDE w:val="0"/>
        <w:autoSpaceDN w:val="0"/>
        <w:adjustRightInd w:val="0"/>
        <w:spacing w:before="29" w:line="288" w:lineRule="auto"/>
        <w:jc w:val="left"/>
        <w:rPr>
          <w:sz w:val="24"/>
          <w:szCs w:val="24"/>
        </w:rPr>
      </w:pPr>
      <w:r w:rsidRPr="00E133DE">
        <w:rPr>
          <w:sz w:val="24"/>
          <w:szCs w:val="24"/>
        </w:rPr>
        <w:t>本基金本报告期末未持有股票。</w:t>
      </w:r>
    </w:p>
    <w:p w:rsidR="004061AC" w:rsidRPr="00E133DE" w:rsidRDefault="004061AC" w:rsidP="00C15CAC">
      <w:pPr>
        <w:autoSpaceDE w:val="0"/>
        <w:autoSpaceDN w:val="0"/>
        <w:adjustRightInd w:val="0"/>
        <w:spacing w:before="29" w:line="288" w:lineRule="auto"/>
        <w:jc w:val="left"/>
        <w:rPr>
          <w:b/>
          <w:bCs/>
          <w:kern w:val="0"/>
          <w:sz w:val="24"/>
          <w:szCs w:val="24"/>
        </w:rPr>
      </w:pPr>
    </w:p>
    <w:p w:rsidR="00E133DE" w:rsidRPr="00E133DE" w:rsidRDefault="00E133DE"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3,589,869.60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3,589,869.60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5.81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30969">
        <w:trPr>
          <w:jc w:val="center"/>
        </w:trPr>
        <w:tc>
          <w:tcPr>
            <w:tcW w:w="850" w:type="dxa"/>
            <w:vAlign w:val="center"/>
          </w:tcPr>
          <w:p w:rsidR="00530969" w:rsidRDefault="001C2BF9">
            <w:pPr>
              <w:jc w:val="center"/>
            </w:pPr>
            <w:r>
              <w:rPr>
                <w:color w:val="000000"/>
                <w:sz w:val="24"/>
                <w:szCs w:val="24"/>
              </w:rPr>
              <w:t>1</w:t>
            </w:r>
          </w:p>
        </w:tc>
        <w:tc>
          <w:tcPr>
            <w:tcW w:w="1475" w:type="dxa"/>
            <w:vAlign w:val="center"/>
          </w:tcPr>
          <w:p w:rsidR="00530969" w:rsidRDefault="001C2BF9">
            <w:pPr>
              <w:jc w:val="center"/>
            </w:pPr>
            <w:r>
              <w:rPr>
                <w:color w:val="000000"/>
                <w:sz w:val="24"/>
                <w:szCs w:val="24"/>
              </w:rPr>
              <w:t>019649</w:t>
            </w:r>
          </w:p>
        </w:tc>
        <w:tc>
          <w:tcPr>
            <w:tcW w:w="1769" w:type="dxa"/>
            <w:vAlign w:val="center"/>
          </w:tcPr>
          <w:p w:rsidR="00530969" w:rsidRDefault="001C2BF9">
            <w:pPr>
              <w:jc w:val="center"/>
            </w:pPr>
            <w:r>
              <w:rPr>
                <w:color w:val="000000"/>
                <w:sz w:val="24"/>
                <w:szCs w:val="24"/>
              </w:rPr>
              <w:t>21</w:t>
            </w:r>
            <w:r>
              <w:rPr>
                <w:color w:val="000000"/>
                <w:sz w:val="24"/>
                <w:szCs w:val="24"/>
              </w:rPr>
              <w:t>国债</w:t>
            </w:r>
            <w:r>
              <w:rPr>
                <w:color w:val="000000"/>
                <w:sz w:val="24"/>
                <w:szCs w:val="24"/>
              </w:rPr>
              <w:t>01</w:t>
            </w:r>
          </w:p>
        </w:tc>
        <w:tc>
          <w:tcPr>
            <w:tcW w:w="1387" w:type="dxa"/>
            <w:vAlign w:val="center"/>
          </w:tcPr>
          <w:p w:rsidR="00530969" w:rsidRDefault="001C2BF9">
            <w:pPr>
              <w:jc w:val="right"/>
            </w:pPr>
            <w:r>
              <w:rPr>
                <w:color w:val="000000"/>
                <w:sz w:val="24"/>
                <w:szCs w:val="24"/>
              </w:rPr>
              <w:t>35,870</w:t>
            </w:r>
          </w:p>
        </w:tc>
        <w:tc>
          <w:tcPr>
            <w:tcW w:w="2150" w:type="dxa"/>
            <w:vAlign w:val="center"/>
          </w:tcPr>
          <w:p w:rsidR="00530969" w:rsidRDefault="001C2BF9">
            <w:pPr>
              <w:jc w:val="right"/>
            </w:pPr>
            <w:r>
              <w:rPr>
                <w:color w:val="000000"/>
                <w:sz w:val="24"/>
                <w:szCs w:val="24"/>
              </w:rPr>
              <w:t>3,589,869.60</w:t>
            </w:r>
          </w:p>
        </w:tc>
        <w:tc>
          <w:tcPr>
            <w:tcW w:w="1237" w:type="dxa"/>
            <w:vAlign w:val="center"/>
          </w:tcPr>
          <w:p w:rsidR="00530969" w:rsidRDefault="001C2BF9">
            <w:pPr>
              <w:jc w:val="right"/>
            </w:pPr>
            <w:r>
              <w:rPr>
                <w:color w:val="000000"/>
                <w:sz w:val="24"/>
                <w:szCs w:val="24"/>
              </w:rPr>
              <w:t>5.81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tbl>
      <w:tblPr>
        <w:tblStyle w:val="aff2"/>
        <w:tblW w:w="0" w:type="dxa"/>
        <w:jc w:val="center"/>
        <w:tblLayout w:type="fixed"/>
        <w:tblCellMar>
          <w:top w:w="57" w:type="dxa"/>
          <w:bottom w:w="57" w:type="dxa"/>
        </w:tblCellMar>
        <w:tblLook w:val="04A0" w:firstRow="1" w:lastRow="0" w:firstColumn="1" w:lastColumn="0" w:noHBand="0" w:noVBand="1"/>
      </w:tblPr>
      <w:tblGrid>
        <w:gridCol w:w="1295"/>
        <w:gridCol w:w="1339"/>
        <w:gridCol w:w="1322"/>
        <w:gridCol w:w="1567"/>
        <w:gridCol w:w="1660"/>
        <w:gridCol w:w="1685"/>
      </w:tblGrid>
      <w:tr w:rsidR="004866DD" w:rsidTr="00C4559E">
        <w:trPr>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4866DD" w:rsidRDefault="004866DD" w:rsidP="00C4559E">
            <w:pPr>
              <w:spacing w:before="29" w:line="288" w:lineRule="auto"/>
              <w:ind w:left="17"/>
              <w:jc w:val="center"/>
              <w:rPr>
                <w:color w:val="000000"/>
                <w:sz w:val="24"/>
                <w:szCs w:val="24"/>
              </w:rPr>
            </w:pPr>
            <w:r>
              <w:rPr>
                <w:rFonts w:hint="eastAsia"/>
                <w:color w:val="000000"/>
                <w:sz w:val="24"/>
                <w:szCs w:val="24"/>
              </w:rPr>
              <w:t>序号</w:t>
            </w:r>
          </w:p>
        </w:tc>
        <w:tc>
          <w:tcPr>
            <w:tcW w:w="1288" w:type="dxa"/>
            <w:tcBorders>
              <w:top w:val="single" w:sz="4" w:space="0" w:color="auto"/>
              <w:left w:val="single" w:sz="4" w:space="0" w:color="auto"/>
              <w:bottom w:val="single" w:sz="4" w:space="0" w:color="auto"/>
              <w:right w:val="single" w:sz="4" w:space="0" w:color="auto"/>
            </w:tcBorders>
            <w:vAlign w:val="center"/>
            <w:hideMark/>
          </w:tcPr>
          <w:p w:rsidR="004866DD" w:rsidRDefault="004866DD" w:rsidP="00C4559E">
            <w:pPr>
              <w:spacing w:before="29" w:line="288" w:lineRule="auto"/>
              <w:ind w:left="17"/>
              <w:jc w:val="center"/>
              <w:rPr>
                <w:color w:val="000000"/>
                <w:sz w:val="24"/>
                <w:szCs w:val="24"/>
              </w:rPr>
            </w:pPr>
            <w:r>
              <w:rPr>
                <w:rFonts w:hint="eastAsia"/>
                <w:color w:val="000000"/>
                <w:sz w:val="24"/>
                <w:szCs w:val="24"/>
              </w:rPr>
              <w:t>证券代码</w:t>
            </w:r>
          </w:p>
        </w:tc>
        <w:tc>
          <w:tcPr>
            <w:tcW w:w="1271" w:type="dxa"/>
            <w:tcBorders>
              <w:top w:val="single" w:sz="4" w:space="0" w:color="auto"/>
              <w:left w:val="single" w:sz="4" w:space="0" w:color="auto"/>
              <w:bottom w:val="single" w:sz="4" w:space="0" w:color="auto"/>
              <w:right w:val="single" w:sz="4" w:space="0" w:color="auto"/>
            </w:tcBorders>
            <w:vAlign w:val="center"/>
            <w:hideMark/>
          </w:tcPr>
          <w:p w:rsidR="004866DD" w:rsidRDefault="004866DD" w:rsidP="00C4559E">
            <w:pPr>
              <w:spacing w:before="29" w:line="288" w:lineRule="auto"/>
              <w:ind w:left="17"/>
              <w:jc w:val="center"/>
              <w:rPr>
                <w:color w:val="000000"/>
                <w:sz w:val="24"/>
                <w:szCs w:val="24"/>
              </w:rPr>
            </w:pPr>
            <w:r>
              <w:rPr>
                <w:rFonts w:hint="eastAsia"/>
                <w:color w:val="000000"/>
                <w:sz w:val="24"/>
                <w:szCs w:val="24"/>
              </w:rPr>
              <w:t>证券名称</w:t>
            </w:r>
          </w:p>
        </w:tc>
        <w:tc>
          <w:tcPr>
            <w:tcW w:w="1507" w:type="dxa"/>
            <w:tcBorders>
              <w:top w:val="single" w:sz="4" w:space="0" w:color="auto"/>
              <w:left w:val="single" w:sz="4" w:space="0" w:color="auto"/>
              <w:bottom w:val="single" w:sz="4" w:space="0" w:color="auto"/>
              <w:right w:val="single" w:sz="4" w:space="0" w:color="auto"/>
            </w:tcBorders>
            <w:vAlign w:val="center"/>
            <w:hideMark/>
          </w:tcPr>
          <w:p w:rsidR="004866DD" w:rsidRDefault="004866DD" w:rsidP="00C4559E">
            <w:pPr>
              <w:spacing w:before="29" w:line="288" w:lineRule="auto"/>
              <w:ind w:left="17"/>
              <w:jc w:val="center"/>
              <w:rPr>
                <w:color w:val="000000"/>
                <w:sz w:val="24"/>
                <w:szCs w:val="24"/>
              </w:rPr>
            </w:pPr>
            <w:r>
              <w:rPr>
                <w:rFonts w:hint="eastAsia"/>
                <w:color w:val="000000"/>
                <w:sz w:val="24"/>
                <w:szCs w:val="24"/>
              </w:rPr>
              <w:t>数量</w:t>
            </w:r>
            <w:r>
              <w:rPr>
                <w:color w:val="000000"/>
                <w:sz w:val="24"/>
                <w:szCs w:val="24"/>
              </w:rPr>
              <w:t>(</w:t>
            </w:r>
            <w:r>
              <w:rPr>
                <w:rFonts w:hint="eastAsia"/>
                <w:color w:val="000000"/>
                <w:sz w:val="24"/>
                <w:szCs w:val="24"/>
              </w:rPr>
              <w:t>份</w:t>
            </w:r>
            <w:r>
              <w:rPr>
                <w:color w:val="000000"/>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hideMark/>
          </w:tcPr>
          <w:p w:rsidR="004866DD" w:rsidRDefault="004866DD" w:rsidP="00C4559E">
            <w:pPr>
              <w:spacing w:before="29" w:line="288" w:lineRule="auto"/>
              <w:ind w:left="17"/>
              <w:jc w:val="center"/>
              <w:rPr>
                <w:color w:val="000000"/>
                <w:sz w:val="24"/>
                <w:szCs w:val="24"/>
              </w:rPr>
            </w:pPr>
            <w:r>
              <w:rPr>
                <w:rFonts w:hint="eastAsia"/>
                <w:color w:val="000000"/>
                <w:sz w:val="24"/>
                <w:szCs w:val="24"/>
              </w:rPr>
              <w:t>公允价值</w:t>
            </w:r>
            <w:r>
              <w:rPr>
                <w:color w:val="000000"/>
                <w:sz w:val="24"/>
                <w:szCs w:val="24"/>
              </w:rPr>
              <w:t>(</w:t>
            </w:r>
            <w:r>
              <w:rPr>
                <w:rFonts w:hint="eastAsia"/>
                <w:color w:val="000000"/>
                <w:sz w:val="24"/>
                <w:szCs w:val="24"/>
              </w:rPr>
              <w:t>元</w:t>
            </w:r>
            <w:r>
              <w:rPr>
                <w:color w:val="000000"/>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66DD" w:rsidRDefault="004866DD" w:rsidP="00C4559E">
            <w:pPr>
              <w:spacing w:before="29" w:line="288" w:lineRule="auto"/>
              <w:ind w:left="17"/>
              <w:jc w:val="center"/>
              <w:rPr>
                <w:color w:val="000000"/>
                <w:sz w:val="24"/>
                <w:szCs w:val="24"/>
              </w:rPr>
            </w:pPr>
            <w:r>
              <w:rPr>
                <w:rFonts w:hint="eastAsia"/>
                <w:color w:val="000000"/>
                <w:sz w:val="24"/>
                <w:szCs w:val="24"/>
              </w:rPr>
              <w:t>占基金资产净值比例</w:t>
            </w:r>
            <w:r>
              <w:rPr>
                <w:color w:val="000000"/>
                <w:sz w:val="24"/>
                <w:szCs w:val="24"/>
              </w:rPr>
              <w:t>(</w:t>
            </w:r>
            <w:r>
              <w:rPr>
                <w:rFonts w:hint="eastAsia"/>
                <w:color w:val="000000"/>
                <w:sz w:val="24"/>
                <w:szCs w:val="24"/>
              </w:rPr>
              <w:t>％</w:t>
            </w:r>
            <w:r>
              <w:rPr>
                <w:color w:val="000000"/>
                <w:sz w:val="24"/>
                <w:szCs w:val="24"/>
              </w:rPr>
              <w:t>)</w:t>
            </w:r>
          </w:p>
        </w:tc>
      </w:tr>
      <w:tr w:rsidR="004866DD" w:rsidTr="00C4559E">
        <w:trPr>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rsidR="004866DD" w:rsidRDefault="004866DD" w:rsidP="00C4559E">
            <w:pPr>
              <w:jc w:val="center"/>
            </w:pPr>
            <w:r>
              <w:rPr>
                <w:color w:val="000000"/>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rsidR="004866DD" w:rsidRDefault="004866DD" w:rsidP="00C4559E">
            <w:pPr>
              <w:jc w:val="center"/>
            </w:pPr>
            <w:r>
              <w:rPr>
                <w:color w:val="000000"/>
                <w:sz w:val="24"/>
                <w:szCs w:val="24"/>
              </w:rPr>
              <w:t>169441</w:t>
            </w:r>
          </w:p>
        </w:tc>
        <w:tc>
          <w:tcPr>
            <w:tcW w:w="1322" w:type="dxa"/>
            <w:tcBorders>
              <w:top w:val="single" w:sz="4" w:space="0" w:color="auto"/>
              <w:left w:val="single" w:sz="4" w:space="0" w:color="auto"/>
              <w:bottom w:val="single" w:sz="4" w:space="0" w:color="auto"/>
              <w:right w:val="single" w:sz="4" w:space="0" w:color="auto"/>
            </w:tcBorders>
            <w:vAlign w:val="center"/>
            <w:hideMark/>
          </w:tcPr>
          <w:p w:rsidR="004866DD" w:rsidRDefault="004866DD" w:rsidP="00C4559E">
            <w:pPr>
              <w:jc w:val="center"/>
            </w:pPr>
            <w:r>
              <w:rPr>
                <w:color w:val="000000"/>
                <w:sz w:val="24"/>
                <w:szCs w:val="24"/>
              </w:rPr>
              <w:t>20</w:t>
            </w:r>
            <w:r>
              <w:rPr>
                <w:rFonts w:hint="eastAsia"/>
                <w:color w:val="000000"/>
                <w:sz w:val="24"/>
                <w:szCs w:val="24"/>
              </w:rPr>
              <w:t>上实</w:t>
            </w:r>
            <w:r>
              <w:rPr>
                <w:color w:val="000000"/>
                <w:sz w:val="24"/>
                <w:szCs w:val="24"/>
              </w:rPr>
              <w:t>A1</w:t>
            </w:r>
          </w:p>
        </w:tc>
        <w:tc>
          <w:tcPr>
            <w:tcW w:w="1567" w:type="dxa"/>
            <w:tcBorders>
              <w:top w:val="single" w:sz="4" w:space="0" w:color="auto"/>
              <w:left w:val="single" w:sz="4" w:space="0" w:color="auto"/>
              <w:bottom w:val="single" w:sz="4" w:space="0" w:color="auto"/>
              <w:right w:val="single" w:sz="4" w:space="0" w:color="auto"/>
            </w:tcBorders>
            <w:vAlign w:val="center"/>
            <w:hideMark/>
          </w:tcPr>
          <w:p w:rsidR="004866DD" w:rsidRDefault="004866DD" w:rsidP="00C4559E">
            <w:pPr>
              <w:jc w:val="right"/>
            </w:pPr>
            <w:r>
              <w:rPr>
                <w:color w:val="000000"/>
                <w:sz w:val="24"/>
                <w:szCs w:val="24"/>
              </w:rPr>
              <w:t>75,000.00</w:t>
            </w:r>
          </w:p>
        </w:tc>
        <w:tc>
          <w:tcPr>
            <w:tcW w:w="1660" w:type="dxa"/>
            <w:tcBorders>
              <w:top w:val="single" w:sz="4" w:space="0" w:color="auto"/>
              <w:left w:val="single" w:sz="4" w:space="0" w:color="auto"/>
              <w:bottom w:val="single" w:sz="4" w:space="0" w:color="auto"/>
              <w:right w:val="single" w:sz="4" w:space="0" w:color="auto"/>
            </w:tcBorders>
            <w:vAlign w:val="center"/>
            <w:hideMark/>
          </w:tcPr>
          <w:p w:rsidR="004866DD" w:rsidRDefault="004866DD" w:rsidP="00C4559E">
            <w:pPr>
              <w:jc w:val="right"/>
            </w:pPr>
            <w:r>
              <w:rPr>
                <w:color w:val="000000"/>
                <w:sz w:val="24"/>
                <w:szCs w:val="24"/>
              </w:rPr>
              <w:t>536,250.00</w:t>
            </w:r>
          </w:p>
        </w:tc>
        <w:tc>
          <w:tcPr>
            <w:tcW w:w="1685" w:type="dxa"/>
            <w:tcBorders>
              <w:top w:val="single" w:sz="4" w:space="0" w:color="auto"/>
              <w:left w:val="single" w:sz="4" w:space="0" w:color="auto"/>
              <w:bottom w:val="single" w:sz="4" w:space="0" w:color="auto"/>
              <w:right w:val="single" w:sz="4" w:space="0" w:color="auto"/>
            </w:tcBorders>
            <w:vAlign w:val="center"/>
            <w:hideMark/>
          </w:tcPr>
          <w:p w:rsidR="004866DD" w:rsidRDefault="004866DD" w:rsidP="00C4559E">
            <w:pPr>
              <w:jc w:val="right"/>
            </w:pPr>
            <w:r>
              <w:rPr>
                <w:color w:val="000000"/>
                <w:sz w:val="24"/>
                <w:szCs w:val="24"/>
              </w:rPr>
              <w:t>0.85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报告期内本基金投资的前十名证券的发行主体本期没有出现被监管部门立案调查，或在报告编制日前一年内受到公开谴责、处罚的情形。</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22,185.50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63,487.88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71,643.11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180.71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157,497.20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因四舍五入的原因，投资组合报告中分项之和与合计数可能存在尾差。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rsidTr="00CD14C0">
        <w:tc>
          <w:tcPr>
            <w:tcW w:w="452"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530969">
        <w:tc>
          <w:tcPr>
            <w:tcW w:w="835" w:type="dxa"/>
            <w:vAlign w:val="center"/>
          </w:tcPr>
          <w:p w:rsidR="00530969" w:rsidRDefault="001C2BF9">
            <w:pPr>
              <w:jc w:val="center"/>
            </w:pPr>
            <w:r>
              <w:rPr>
                <w:sz w:val="24"/>
                <w:szCs w:val="24"/>
              </w:rPr>
              <w:t>1</w:t>
            </w:r>
          </w:p>
        </w:tc>
        <w:tc>
          <w:tcPr>
            <w:tcW w:w="1159" w:type="dxa"/>
            <w:vAlign w:val="center"/>
          </w:tcPr>
          <w:p w:rsidR="00530969" w:rsidRDefault="001C2BF9">
            <w:pPr>
              <w:jc w:val="center"/>
            </w:pPr>
            <w:r>
              <w:rPr>
                <w:sz w:val="24"/>
                <w:szCs w:val="24"/>
              </w:rPr>
              <w:t>372010</w:t>
            </w:r>
          </w:p>
        </w:tc>
        <w:tc>
          <w:tcPr>
            <w:tcW w:w="1161" w:type="dxa"/>
            <w:vAlign w:val="center"/>
          </w:tcPr>
          <w:p w:rsidR="00530969" w:rsidRDefault="001C2BF9">
            <w:pPr>
              <w:jc w:val="center"/>
            </w:pPr>
            <w:r>
              <w:rPr>
                <w:sz w:val="24"/>
                <w:szCs w:val="24"/>
              </w:rPr>
              <w:t>上投摩根强化回报债券</w:t>
            </w:r>
          </w:p>
        </w:tc>
        <w:tc>
          <w:tcPr>
            <w:tcW w:w="1161" w:type="dxa"/>
            <w:vAlign w:val="center"/>
          </w:tcPr>
          <w:p w:rsidR="00530969" w:rsidRDefault="001C2BF9">
            <w:pPr>
              <w:jc w:val="center"/>
            </w:pPr>
            <w:r>
              <w:rPr>
                <w:sz w:val="24"/>
                <w:szCs w:val="24"/>
              </w:rPr>
              <w:t>契约型开放式</w:t>
            </w:r>
          </w:p>
        </w:tc>
        <w:tc>
          <w:tcPr>
            <w:tcW w:w="1159" w:type="dxa"/>
            <w:vAlign w:val="center"/>
          </w:tcPr>
          <w:p w:rsidR="00530969" w:rsidRDefault="001C2BF9">
            <w:pPr>
              <w:jc w:val="center"/>
            </w:pPr>
            <w:r>
              <w:rPr>
                <w:sz w:val="24"/>
                <w:szCs w:val="24"/>
              </w:rPr>
              <w:t>4,240,455.61</w:t>
            </w:r>
          </w:p>
        </w:tc>
        <w:tc>
          <w:tcPr>
            <w:tcW w:w="1305" w:type="dxa"/>
            <w:vAlign w:val="center"/>
          </w:tcPr>
          <w:p w:rsidR="00530969" w:rsidRDefault="001C2BF9">
            <w:pPr>
              <w:jc w:val="center"/>
            </w:pPr>
            <w:r>
              <w:rPr>
                <w:sz w:val="24"/>
                <w:szCs w:val="24"/>
              </w:rPr>
              <w:t>6,492,561.58</w:t>
            </w:r>
          </w:p>
        </w:tc>
        <w:tc>
          <w:tcPr>
            <w:tcW w:w="1161" w:type="dxa"/>
            <w:vAlign w:val="center"/>
          </w:tcPr>
          <w:p w:rsidR="00530969" w:rsidRDefault="001C2BF9">
            <w:pPr>
              <w:jc w:val="center"/>
            </w:pPr>
            <w:r>
              <w:rPr>
                <w:sz w:val="24"/>
                <w:szCs w:val="24"/>
              </w:rPr>
              <w:t>10.52%</w:t>
            </w:r>
          </w:p>
        </w:tc>
        <w:tc>
          <w:tcPr>
            <w:tcW w:w="1301" w:type="dxa"/>
            <w:vAlign w:val="center"/>
          </w:tcPr>
          <w:p w:rsidR="00530969" w:rsidRDefault="001C2BF9">
            <w:pPr>
              <w:jc w:val="center"/>
            </w:pPr>
            <w:r>
              <w:rPr>
                <w:sz w:val="24"/>
                <w:szCs w:val="24"/>
              </w:rPr>
              <w:t>是</w:t>
            </w:r>
          </w:p>
        </w:tc>
      </w:tr>
      <w:tr w:rsidR="00530969">
        <w:tc>
          <w:tcPr>
            <w:tcW w:w="835" w:type="dxa"/>
            <w:vAlign w:val="center"/>
          </w:tcPr>
          <w:p w:rsidR="00530969" w:rsidRDefault="001C2BF9">
            <w:pPr>
              <w:jc w:val="center"/>
            </w:pPr>
            <w:r>
              <w:rPr>
                <w:sz w:val="24"/>
                <w:szCs w:val="24"/>
              </w:rPr>
              <w:t>2</w:t>
            </w:r>
          </w:p>
        </w:tc>
        <w:tc>
          <w:tcPr>
            <w:tcW w:w="1159" w:type="dxa"/>
            <w:vAlign w:val="center"/>
          </w:tcPr>
          <w:p w:rsidR="00530969" w:rsidRDefault="001C2BF9">
            <w:pPr>
              <w:jc w:val="center"/>
            </w:pPr>
            <w:r>
              <w:rPr>
                <w:sz w:val="24"/>
                <w:szCs w:val="24"/>
              </w:rPr>
              <w:t>007078</w:t>
            </w:r>
          </w:p>
        </w:tc>
        <w:tc>
          <w:tcPr>
            <w:tcW w:w="1161" w:type="dxa"/>
            <w:vAlign w:val="center"/>
          </w:tcPr>
          <w:p w:rsidR="00530969" w:rsidRDefault="001C2BF9">
            <w:pPr>
              <w:jc w:val="center"/>
            </w:pPr>
            <w:r>
              <w:rPr>
                <w:sz w:val="24"/>
                <w:szCs w:val="24"/>
              </w:rPr>
              <w:t>工银</w:t>
            </w:r>
            <w:r>
              <w:rPr>
                <w:sz w:val="24"/>
                <w:szCs w:val="24"/>
              </w:rPr>
              <w:t>3-5</w:t>
            </w:r>
            <w:r>
              <w:rPr>
                <w:sz w:val="24"/>
                <w:szCs w:val="24"/>
              </w:rPr>
              <w:t>年国开债指数</w:t>
            </w:r>
            <w:r>
              <w:rPr>
                <w:sz w:val="24"/>
                <w:szCs w:val="24"/>
              </w:rPr>
              <w:t>A</w:t>
            </w:r>
          </w:p>
        </w:tc>
        <w:tc>
          <w:tcPr>
            <w:tcW w:w="1161" w:type="dxa"/>
            <w:vAlign w:val="center"/>
          </w:tcPr>
          <w:p w:rsidR="00530969" w:rsidRDefault="001C2BF9">
            <w:pPr>
              <w:jc w:val="center"/>
            </w:pPr>
            <w:r>
              <w:rPr>
                <w:sz w:val="24"/>
                <w:szCs w:val="24"/>
              </w:rPr>
              <w:t>契约型开放式</w:t>
            </w:r>
          </w:p>
        </w:tc>
        <w:tc>
          <w:tcPr>
            <w:tcW w:w="1159" w:type="dxa"/>
            <w:vAlign w:val="center"/>
          </w:tcPr>
          <w:p w:rsidR="00530969" w:rsidRDefault="001C2BF9">
            <w:pPr>
              <w:jc w:val="center"/>
            </w:pPr>
            <w:r>
              <w:rPr>
                <w:sz w:val="24"/>
                <w:szCs w:val="24"/>
              </w:rPr>
              <w:t>5,059,033.63</w:t>
            </w:r>
          </w:p>
        </w:tc>
        <w:tc>
          <w:tcPr>
            <w:tcW w:w="1305" w:type="dxa"/>
            <w:vAlign w:val="center"/>
          </w:tcPr>
          <w:p w:rsidR="00530969" w:rsidRDefault="001C2BF9">
            <w:pPr>
              <w:jc w:val="center"/>
            </w:pPr>
            <w:r>
              <w:rPr>
                <w:sz w:val="24"/>
                <w:szCs w:val="24"/>
              </w:rPr>
              <w:t>5,318,056.15</w:t>
            </w:r>
          </w:p>
        </w:tc>
        <w:tc>
          <w:tcPr>
            <w:tcW w:w="1161" w:type="dxa"/>
            <w:vAlign w:val="center"/>
          </w:tcPr>
          <w:p w:rsidR="00530969" w:rsidRDefault="001C2BF9">
            <w:pPr>
              <w:jc w:val="center"/>
            </w:pPr>
            <w:r>
              <w:rPr>
                <w:sz w:val="24"/>
                <w:szCs w:val="24"/>
              </w:rPr>
              <w:t>8.61%</w:t>
            </w:r>
          </w:p>
        </w:tc>
        <w:tc>
          <w:tcPr>
            <w:tcW w:w="1301" w:type="dxa"/>
            <w:vAlign w:val="center"/>
          </w:tcPr>
          <w:p w:rsidR="00530969" w:rsidRDefault="001C2BF9">
            <w:pPr>
              <w:jc w:val="center"/>
            </w:pPr>
            <w:r>
              <w:rPr>
                <w:sz w:val="24"/>
                <w:szCs w:val="24"/>
              </w:rPr>
              <w:t>否</w:t>
            </w:r>
          </w:p>
        </w:tc>
      </w:tr>
      <w:tr w:rsidR="00530969">
        <w:tc>
          <w:tcPr>
            <w:tcW w:w="835" w:type="dxa"/>
            <w:vAlign w:val="center"/>
          </w:tcPr>
          <w:p w:rsidR="00530969" w:rsidRDefault="001C2BF9">
            <w:pPr>
              <w:jc w:val="center"/>
            </w:pPr>
            <w:r>
              <w:rPr>
                <w:sz w:val="24"/>
                <w:szCs w:val="24"/>
              </w:rPr>
              <w:t>3</w:t>
            </w:r>
          </w:p>
        </w:tc>
        <w:tc>
          <w:tcPr>
            <w:tcW w:w="1159" w:type="dxa"/>
            <w:vAlign w:val="center"/>
          </w:tcPr>
          <w:p w:rsidR="00530969" w:rsidRDefault="001C2BF9">
            <w:pPr>
              <w:jc w:val="center"/>
            </w:pPr>
            <w:r>
              <w:rPr>
                <w:sz w:val="24"/>
                <w:szCs w:val="24"/>
              </w:rPr>
              <w:t>006451</w:t>
            </w:r>
          </w:p>
        </w:tc>
        <w:tc>
          <w:tcPr>
            <w:tcW w:w="1161" w:type="dxa"/>
            <w:vAlign w:val="center"/>
          </w:tcPr>
          <w:p w:rsidR="00530969" w:rsidRDefault="001C2BF9">
            <w:pPr>
              <w:jc w:val="center"/>
            </w:pPr>
            <w:r>
              <w:rPr>
                <w:sz w:val="24"/>
                <w:szCs w:val="24"/>
              </w:rPr>
              <w:t>华富中证</w:t>
            </w:r>
            <w:r>
              <w:rPr>
                <w:sz w:val="24"/>
                <w:szCs w:val="24"/>
              </w:rPr>
              <w:t>5</w:t>
            </w:r>
            <w:r>
              <w:rPr>
                <w:sz w:val="24"/>
                <w:szCs w:val="24"/>
              </w:rPr>
              <w:t>年恒定久期国开债指数</w:t>
            </w:r>
            <w:r>
              <w:rPr>
                <w:sz w:val="24"/>
                <w:szCs w:val="24"/>
              </w:rPr>
              <w:t>A</w:t>
            </w:r>
          </w:p>
        </w:tc>
        <w:tc>
          <w:tcPr>
            <w:tcW w:w="1161" w:type="dxa"/>
            <w:vAlign w:val="center"/>
          </w:tcPr>
          <w:p w:rsidR="00530969" w:rsidRDefault="001C2BF9">
            <w:pPr>
              <w:jc w:val="center"/>
            </w:pPr>
            <w:r>
              <w:rPr>
                <w:sz w:val="24"/>
                <w:szCs w:val="24"/>
              </w:rPr>
              <w:t>契约型开放式</w:t>
            </w:r>
          </w:p>
        </w:tc>
        <w:tc>
          <w:tcPr>
            <w:tcW w:w="1159" w:type="dxa"/>
            <w:vAlign w:val="center"/>
          </w:tcPr>
          <w:p w:rsidR="00530969" w:rsidRDefault="001C2BF9">
            <w:pPr>
              <w:jc w:val="center"/>
            </w:pPr>
            <w:r>
              <w:rPr>
                <w:sz w:val="24"/>
                <w:szCs w:val="24"/>
              </w:rPr>
              <w:t>4,740,077.31</w:t>
            </w:r>
          </w:p>
        </w:tc>
        <w:tc>
          <w:tcPr>
            <w:tcW w:w="1305" w:type="dxa"/>
            <w:vAlign w:val="center"/>
          </w:tcPr>
          <w:p w:rsidR="00530969" w:rsidRDefault="001C2BF9">
            <w:pPr>
              <w:jc w:val="center"/>
            </w:pPr>
            <w:r>
              <w:rPr>
                <w:sz w:val="24"/>
                <w:szCs w:val="24"/>
              </w:rPr>
              <w:t>5,098,427.15</w:t>
            </w:r>
          </w:p>
        </w:tc>
        <w:tc>
          <w:tcPr>
            <w:tcW w:w="1161" w:type="dxa"/>
            <w:vAlign w:val="center"/>
          </w:tcPr>
          <w:p w:rsidR="00530969" w:rsidRDefault="001C2BF9">
            <w:pPr>
              <w:jc w:val="center"/>
            </w:pPr>
            <w:r>
              <w:rPr>
                <w:sz w:val="24"/>
                <w:szCs w:val="24"/>
              </w:rPr>
              <w:t>8.26%</w:t>
            </w:r>
          </w:p>
        </w:tc>
        <w:tc>
          <w:tcPr>
            <w:tcW w:w="1301" w:type="dxa"/>
            <w:vAlign w:val="center"/>
          </w:tcPr>
          <w:p w:rsidR="00530969" w:rsidRDefault="001C2BF9">
            <w:pPr>
              <w:jc w:val="center"/>
            </w:pPr>
            <w:r>
              <w:rPr>
                <w:sz w:val="24"/>
                <w:szCs w:val="24"/>
              </w:rPr>
              <w:t>否</w:t>
            </w:r>
          </w:p>
        </w:tc>
      </w:tr>
      <w:tr w:rsidR="00530969">
        <w:tc>
          <w:tcPr>
            <w:tcW w:w="835" w:type="dxa"/>
            <w:vAlign w:val="center"/>
          </w:tcPr>
          <w:p w:rsidR="00530969" w:rsidRDefault="001C2BF9">
            <w:pPr>
              <w:jc w:val="center"/>
            </w:pPr>
            <w:r>
              <w:rPr>
                <w:sz w:val="24"/>
                <w:szCs w:val="24"/>
              </w:rPr>
              <w:t>4</w:t>
            </w:r>
          </w:p>
        </w:tc>
        <w:tc>
          <w:tcPr>
            <w:tcW w:w="1159" w:type="dxa"/>
            <w:vAlign w:val="center"/>
          </w:tcPr>
          <w:p w:rsidR="00530969" w:rsidRDefault="001C2BF9">
            <w:pPr>
              <w:jc w:val="center"/>
            </w:pPr>
            <w:r>
              <w:rPr>
                <w:sz w:val="24"/>
                <w:szCs w:val="24"/>
              </w:rPr>
              <w:t>006224</w:t>
            </w:r>
          </w:p>
        </w:tc>
        <w:tc>
          <w:tcPr>
            <w:tcW w:w="1161" w:type="dxa"/>
            <w:vAlign w:val="center"/>
          </w:tcPr>
          <w:p w:rsidR="00530969" w:rsidRDefault="001C2BF9">
            <w:pPr>
              <w:jc w:val="center"/>
            </w:pPr>
            <w:r>
              <w:rPr>
                <w:sz w:val="24"/>
                <w:szCs w:val="24"/>
              </w:rPr>
              <w:t>中银中债</w:t>
            </w:r>
            <w:r>
              <w:rPr>
                <w:sz w:val="24"/>
                <w:szCs w:val="24"/>
              </w:rPr>
              <w:t>3-5</w:t>
            </w:r>
            <w:r>
              <w:rPr>
                <w:sz w:val="24"/>
                <w:szCs w:val="24"/>
              </w:rPr>
              <w:t>年期农发行债券</w:t>
            </w:r>
          </w:p>
        </w:tc>
        <w:tc>
          <w:tcPr>
            <w:tcW w:w="1161" w:type="dxa"/>
            <w:vAlign w:val="center"/>
          </w:tcPr>
          <w:p w:rsidR="00530969" w:rsidRDefault="001C2BF9">
            <w:pPr>
              <w:jc w:val="center"/>
            </w:pPr>
            <w:r>
              <w:rPr>
                <w:sz w:val="24"/>
                <w:szCs w:val="24"/>
              </w:rPr>
              <w:t>契约型开放式</w:t>
            </w:r>
          </w:p>
        </w:tc>
        <w:tc>
          <w:tcPr>
            <w:tcW w:w="1159" w:type="dxa"/>
            <w:vAlign w:val="center"/>
          </w:tcPr>
          <w:p w:rsidR="00530969" w:rsidRDefault="001C2BF9">
            <w:pPr>
              <w:jc w:val="center"/>
            </w:pPr>
            <w:r>
              <w:rPr>
                <w:sz w:val="24"/>
                <w:szCs w:val="24"/>
              </w:rPr>
              <w:t>4,017,189.68</w:t>
            </w:r>
          </w:p>
        </w:tc>
        <w:tc>
          <w:tcPr>
            <w:tcW w:w="1305" w:type="dxa"/>
            <w:vAlign w:val="center"/>
          </w:tcPr>
          <w:p w:rsidR="00530969" w:rsidRDefault="001C2BF9">
            <w:pPr>
              <w:jc w:val="center"/>
            </w:pPr>
            <w:r>
              <w:rPr>
                <w:sz w:val="24"/>
                <w:szCs w:val="24"/>
              </w:rPr>
              <w:t>4,261,836.53</w:t>
            </w:r>
          </w:p>
        </w:tc>
        <w:tc>
          <w:tcPr>
            <w:tcW w:w="1161" w:type="dxa"/>
            <w:vAlign w:val="center"/>
          </w:tcPr>
          <w:p w:rsidR="00530969" w:rsidRDefault="001C2BF9">
            <w:pPr>
              <w:jc w:val="center"/>
            </w:pPr>
            <w:r>
              <w:rPr>
                <w:sz w:val="24"/>
                <w:szCs w:val="24"/>
              </w:rPr>
              <w:t>6.90%</w:t>
            </w:r>
          </w:p>
        </w:tc>
        <w:tc>
          <w:tcPr>
            <w:tcW w:w="1301" w:type="dxa"/>
            <w:vAlign w:val="center"/>
          </w:tcPr>
          <w:p w:rsidR="00530969" w:rsidRDefault="001C2BF9">
            <w:pPr>
              <w:jc w:val="center"/>
            </w:pPr>
            <w:r>
              <w:rPr>
                <w:sz w:val="24"/>
                <w:szCs w:val="24"/>
              </w:rPr>
              <w:t>否</w:t>
            </w:r>
          </w:p>
        </w:tc>
      </w:tr>
      <w:tr w:rsidR="00530969">
        <w:tc>
          <w:tcPr>
            <w:tcW w:w="835" w:type="dxa"/>
            <w:vAlign w:val="center"/>
          </w:tcPr>
          <w:p w:rsidR="00530969" w:rsidRDefault="001C2BF9">
            <w:pPr>
              <w:jc w:val="center"/>
            </w:pPr>
            <w:r>
              <w:rPr>
                <w:sz w:val="24"/>
                <w:szCs w:val="24"/>
              </w:rPr>
              <w:t>5</w:t>
            </w:r>
          </w:p>
        </w:tc>
        <w:tc>
          <w:tcPr>
            <w:tcW w:w="1159" w:type="dxa"/>
            <w:vAlign w:val="center"/>
          </w:tcPr>
          <w:p w:rsidR="00530969" w:rsidRDefault="001C2BF9">
            <w:pPr>
              <w:jc w:val="center"/>
            </w:pPr>
            <w:r>
              <w:rPr>
                <w:sz w:val="24"/>
                <w:szCs w:val="24"/>
              </w:rPr>
              <w:t>003081</w:t>
            </w:r>
          </w:p>
        </w:tc>
        <w:tc>
          <w:tcPr>
            <w:tcW w:w="1161" w:type="dxa"/>
            <w:vAlign w:val="center"/>
          </w:tcPr>
          <w:p w:rsidR="00530969" w:rsidRDefault="001C2BF9">
            <w:pPr>
              <w:jc w:val="center"/>
            </w:pPr>
            <w:r>
              <w:rPr>
                <w:sz w:val="24"/>
                <w:szCs w:val="24"/>
              </w:rPr>
              <w:t>中融</w:t>
            </w:r>
            <w:r>
              <w:rPr>
                <w:sz w:val="24"/>
                <w:szCs w:val="24"/>
              </w:rPr>
              <w:t>1-3</w:t>
            </w:r>
            <w:r>
              <w:rPr>
                <w:sz w:val="24"/>
                <w:szCs w:val="24"/>
              </w:rPr>
              <w:t>年中高等级信用债</w:t>
            </w:r>
            <w:r>
              <w:rPr>
                <w:sz w:val="24"/>
                <w:szCs w:val="24"/>
              </w:rPr>
              <w:t>A</w:t>
            </w:r>
          </w:p>
        </w:tc>
        <w:tc>
          <w:tcPr>
            <w:tcW w:w="1161" w:type="dxa"/>
            <w:vAlign w:val="center"/>
          </w:tcPr>
          <w:p w:rsidR="00530969" w:rsidRDefault="001C2BF9">
            <w:pPr>
              <w:jc w:val="center"/>
            </w:pPr>
            <w:r>
              <w:rPr>
                <w:sz w:val="24"/>
                <w:szCs w:val="24"/>
              </w:rPr>
              <w:t>契约型开放式</w:t>
            </w:r>
          </w:p>
        </w:tc>
        <w:tc>
          <w:tcPr>
            <w:tcW w:w="1159" w:type="dxa"/>
            <w:vAlign w:val="center"/>
          </w:tcPr>
          <w:p w:rsidR="00530969" w:rsidRDefault="001C2BF9">
            <w:pPr>
              <w:jc w:val="center"/>
            </w:pPr>
            <w:r>
              <w:rPr>
                <w:sz w:val="24"/>
                <w:szCs w:val="24"/>
              </w:rPr>
              <w:t>3,983,440.61</w:t>
            </w:r>
          </w:p>
        </w:tc>
        <w:tc>
          <w:tcPr>
            <w:tcW w:w="1305" w:type="dxa"/>
            <w:vAlign w:val="center"/>
          </w:tcPr>
          <w:p w:rsidR="00530969" w:rsidRDefault="001C2BF9">
            <w:pPr>
              <w:jc w:val="center"/>
            </w:pPr>
            <w:r>
              <w:rPr>
                <w:sz w:val="24"/>
                <w:szCs w:val="24"/>
              </w:rPr>
              <w:t>4,239,177.50</w:t>
            </w:r>
          </w:p>
        </w:tc>
        <w:tc>
          <w:tcPr>
            <w:tcW w:w="1161" w:type="dxa"/>
            <w:vAlign w:val="center"/>
          </w:tcPr>
          <w:p w:rsidR="00530969" w:rsidRDefault="001C2BF9">
            <w:pPr>
              <w:jc w:val="center"/>
            </w:pPr>
            <w:r>
              <w:rPr>
                <w:sz w:val="24"/>
                <w:szCs w:val="24"/>
              </w:rPr>
              <w:t>6.87%</w:t>
            </w:r>
          </w:p>
        </w:tc>
        <w:tc>
          <w:tcPr>
            <w:tcW w:w="1301" w:type="dxa"/>
            <w:vAlign w:val="center"/>
          </w:tcPr>
          <w:p w:rsidR="00530969" w:rsidRDefault="001C2BF9">
            <w:pPr>
              <w:jc w:val="center"/>
            </w:pPr>
            <w:r>
              <w:rPr>
                <w:sz w:val="24"/>
                <w:szCs w:val="24"/>
              </w:rPr>
              <w:t>否</w:t>
            </w:r>
          </w:p>
        </w:tc>
      </w:tr>
      <w:tr w:rsidR="00530969">
        <w:tc>
          <w:tcPr>
            <w:tcW w:w="835" w:type="dxa"/>
            <w:vAlign w:val="center"/>
          </w:tcPr>
          <w:p w:rsidR="00530969" w:rsidRDefault="001C2BF9">
            <w:pPr>
              <w:jc w:val="center"/>
            </w:pPr>
            <w:r>
              <w:rPr>
                <w:sz w:val="24"/>
                <w:szCs w:val="24"/>
              </w:rPr>
              <w:t>6</w:t>
            </w:r>
          </w:p>
        </w:tc>
        <w:tc>
          <w:tcPr>
            <w:tcW w:w="1159" w:type="dxa"/>
            <w:vAlign w:val="center"/>
          </w:tcPr>
          <w:p w:rsidR="00530969" w:rsidRDefault="001C2BF9">
            <w:pPr>
              <w:jc w:val="center"/>
            </w:pPr>
            <w:r>
              <w:rPr>
                <w:sz w:val="24"/>
                <w:szCs w:val="24"/>
              </w:rPr>
              <w:t>040040</w:t>
            </w:r>
          </w:p>
        </w:tc>
        <w:tc>
          <w:tcPr>
            <w:tcW w:w="1161" w:type="dxa"/>
            <w:vAlign w:val="center"/>
          </w:tcPr>
          <w:p w:rsidR="00530969" w:rsidRDefault="001C2BF9">
            <w:pPr>
              <w:jc w:val="center"/>
            </w:pPr>
            <w:r>
              <w:rPr>
                <w:sz w:val="24"/>
                <w:szCs w:val="24"/>
              </w:rPr>
              <w:t>华安纯债债券</w:t>
            </w:r>
            <w:r>
              <w:rPr>
                <w:sz w:val="24"/>
                <w:szCs w:val="24"/>
              </w:rPr>
              <w:t>A</w:t>
            </w:r>
          </w:p>
        </w:tc>
        <w:tc>
          <w:tcPr>
            <w:tcW w:w="1161" w:type="dxa"/>
            <w:vAlign w:val="center"/>
          </w:tcPr>
          <w:p w:rsidR="00530969" w:rsidRDefault="001C2BF9">
            <w:pPr>
              <w:jc w:val="center"/>
            </w:pPr>
            <w:r>
              <w:rPr>
                <w:sz w:val="24"/>
                <w:szCs w:val="24"/>
              </w:rPr>
              <w:t>契约型开放式</w:t>
            </w:r>
          </w:p>
        </w:tc>
        <w:tc>
          <w:tcPr>
            <w:tcW w:w="1159" w:type="dxa"/>
            <w:vAlign w:val="center"/>
          </w:tcPr>
          <w:p w:rsidR="00530969" w:rsidRDefault="001C2BF9">
            <w:pPr>
              <w:jc w:val="center"/>
            </w:pPr>
            <w:r>
              <w:rPr>
                <w:sz w:val="24"/>
                <w:szCs w:val="24"/>
              </w:rPr>
              <w:t>3,248,491.61</w:t>
            </w:r>
          </w:p>
        </w:tc>
        <w:tc>
          <w:tcPr>
            <w:tcW w:w="1305" w:type="dxa"/>
            <w:vAlign w:val="center"/>
          </w:tcPr>
          <w:p w:rsidR="00530969" w:rsidRDefault="001C2BF9">
            <w:pPr>
              <w:jc w:val="center"/>
            </w:pPr>
            <w:r>
              <w:rPr>
                <w:sz w:val="24"/>
                <w:szCs w:val="24"/>
              </w:rPr>
              <w:t>3,502,523.65</w:t>
            </w:r>
          </w:p>
        </w:tc>
        <w:tc>
          <w:tcPr>
            <w:tcW w:w="1161" w:type="dxa"/>
            <w:vAlign w:val="center"/>
          </w:tcPr>
          <w:p w:rsidR="00530969" w:rsidRDefault="001C2BF9">
            <w:pPr>
              <w:jc w:val="center"/>
            </w:pPr>
            <w:r>
              <w:rPr>
                <w:sz w:val="24"/>
                <w:szCs w:val="24"/>
              </w:rPr>
              <w:t>5.67%</w:t>
            </w:r>
          </w:p>
        </w:tc>
        <w:tc>
          <w:tcPr>
            <w:tcW w:w="1301" w:type="dxa"/>
            <w:vAlign w:val="center"/>
          </w:tcPr>
          <w:p w:rsidR="00530969" w:rsidRDefault="001C2BF9">
            <w:pPr>
              <w:jc w:val="center"/>
            </w:pPr>
            <w:r>
              <w:rPr>
                <w:sz w:val="24"/>
                <w:szCs w:val="24"/>
              </w:rPr>
              <w:t>否</w:t>
            </w:r>
          </w:p>
        </w:tc>
      </w:tr>
      <w:tr w:rsidR="00530969">
        <w:tc>
          <w:tcPr>
            <w:tcW w:w="835" w:type="dxa"/>
            <w:vAlign w:val="center"/>
          </w:tcPr>
          <w:p w:rsidR="00530969" w:rsidRDefault="001C2BF9">
            <w:pPr>
              <w:jc w:val="center"/>
            </w:pPr>
            <w:r>
              <w:rPr>
                <w:sz w:val="24"/>
                <w:szCs w:val="24"/>
              </w:rPr>
              <w:t>7</w:t>
            </w:r>
          </w:p>
        </w:tc>
        <w:tc>
          <w:tcPr>
            <w:tcW w:w="1159" w:type="dxa"/>
            <w:vAlign w:val="center"/>
          </w:tcPr>
          <w:p w:rsidR="00530969" w:rsidRDefault="001C2BF9">
            <w:pPr>
              <w:jc w:val="center"/>
            </w:pPr>
            <w:r>
              <w:rPr>
                <w:sz w:val="24"/>
                <w:szCs w:val="24"/>
              </w:rPr>
              <w:t>007155</w:t>
            </w:r>
          </w:p>
        </w:tc>
        <w:tc>
          <w:tcPr>
            <w:tcW w:w="1161" w:type="dxa"/>
            <w:vAlign w:val="center"/>
          </w:tcPr>
          <w:p w:rsidR="00530969" w:rsidRDefault="001C2BF9">
            <w:pPr>
              <w:jc w:val="center"/>
            </w:pPr>
            <w:r>
              <w:rPr>
                <w:sz w:val="24"/>
                <w:szCs w:val="24"/>
              </w:rPr>
              <w:t>银河中债央企</w:t>
            </w:r>
            <w:r>
              <w:rPr>
                <w:sz w:val="24"/>
                <w:szCs w:val="24"/>
              </w:rPr>
              <w:t>20</w:t>
            </w:r>
            <w:r>
              <w:rPr>
                <w:sz w:val="24"/>
                <w:szCs w:val="24"/>
              </w:rPr>
              <w:t>债券指数</w:t>
            </w:r>
          </w:p>
        </w:tc>
        <w:tc>
          <w:tcPr>
            <w:tcW w:w="1161" w:type="dxa"/>
            <w:vAlign w:val="center"/>
          </w:tcPr>
          <w:p w:rsidR="00530969" w:rsidRDefault="001C2BF9">
            <w:pPr>
              <w:jc w:val="center"/>
            </w:pPr>
            <w:r>
              <w:rPr>
                <w:sz w:val="24"/>
                <w:szCs w:val="24"/>
              </w:rPr>
              <w:t>契约型开放式</w:t>
            </w:r>
          </w:p>
        </w:tc>
        <w:tc>
          <w:tcPr>
            <w:tcW w:w="1159" w:type="dxa"/>
            <w:vAlign w:val="center"/>
          </w:tcPr>
          <w:p w:rsidR="00530969" w:rsidRDefault="001C2BF9">
            <w:pPr>
              <w:jc w:val="center"/>
            </w:pPr>
            <w:r>
              <w:rPr>
                <w:sz w:val="24"/>
                <w:szCs w:val="24"/>
              </w:rPr>
              <w:t>2,949,376.02</w:t>
            </w:r>
          </w:p>
        </w:tc>
        <w:tc>
          <w:tcPr>
            <w:tcW w:w="1305" w:type="dxa"/>
            <w:vAlign w:val="center"/>
          </w:tcPr>
          <w:p w:rsidR="00530969" w:rsidRDefault="001C2BF9">
            <w:pPr>
              <w:jc w:val="center"/>
            </w:pPr>
            <w:r>
              <w:rPr>
                <w:sz w:val="24"/>
                <w:szCs w:val="24"/>
              </w:rPr>
              <w:t>3,102,153.70</w:t>
            </w:r>
          </w:p>
        </w:tc>
        <w:tc>
          <w:tcPr>
            <w:tcW w:w="1161" w:type="dxa"/>
            <w:vAlign w:val="center"/>
          </w:tcPr>
          <w:p w:rsidR="00530969" w:rsidRDefault="001C2BF9">
            <w:pPr>
              <w:jc w:val="center"/>
            </w:pPr>
            <w:r>
              <w:rPr>
                <w:sz w:val="24"/>
                <w:szCs w:val="24"/>
              </w:rPr>
              <w:t>5.02%</w:t>
            </w:r>
          </w:p>
        </w:tc>
        <w:tc>
          <w:tcPr>
            <w:tcW w:w="1301" w:type="dxa"/>
            <w:vAlign w:val="center"/>
          </w:tcPr>
          <w:p w:rsidR="00530969" w:rsidRDefault="001C2BF9">
            <w:pPr>
              <w:jc w:val="center"/>
            </w:pPr>
            <w:r>
              <w:rPr>
                <w:sz w:val="24"/>
                <w:szCs w:val="24"/>
              </w:rPr>
              <w:t>否</w:t>
            </w:r>
          </w:p>
        </w:tc>
      </w:tr>
      <w:tr w:rsidR="00530969">
        <w:tc>
          <w:tcPr>
            <w:tcW w:w="835" w:type="dxa"/>
            <w:vAlign w:val="center"/>
          </w:tcPr>
          <w:p w:rsidR="00530969" w:rsidRDefault="001C2BF9">
            <w:pPr>
              <w:jc w:val="center"/>
            </w:pPr>
            <w:r>
              <w:rPr>
                <w:sz w:val="24"/>
                <w:szCs w:val="24"/>
              </w:rPr>
              <w:t>8</w:t>
            </w:r>
          </w:p>
        </w:tc>
        <w:tc>
          <w:tcPr>
            <w:tcW w:w="1159" w:type="dxa"/>
            <w:vAlign w:val="center"/>
          </w:tcPr>
          <w:p w:rsidR="00530969" w:rsidRDefault="001C2BF9">
            <w:pPr>
              <w:jc w:val="center"/>
            </w:pPr>
            <w:r>
              <w:rPr>
                <w:sz w:val="24"/>
                <w:szCs w:val="24"/>
              </w:rPr>
              <w:t>004200</w:t>
            </w:r>
          </w:p>
        </w:tc>
        <w:tc>
          <w:tcPr>
            <w:tcW w:w="1161" w:type="dxa"/>
            <w:vAlign w:val="center"/>
          </w:tcPr>
          <w:p w:rsidR="00530969" w:rsidRDefault="001C2BF9">
            <w:pPr>
              <w:jc w:val="center"/>
            </w:pPr>
            <w:r>
              <w:rPr>
                <w:sz w:val="24"/>
                <w:szCs w:val="24"/>
              </w:rPr>
              <w:t>博时富瑞纯债债券</w:t>
            </w:r>
            <w:r>
              <w:rPr>
                <w:sz w:val="24"/>
                <w:szCs w:val="24"/>
              </w:rPr>
              <w:t>A</w:t>
            </w:r>
          </w:p>
        </w:tc>
        <w:tc>
          <w:tcPr>
            <w:tcW w:w="1161" w:type="dxa"/>
            <w:vAlign w:val="center"/>
          </w:tcPr>
          <w:p w:rsidR="00530969" w:rsidRDefault="001C2BF9">
            <w:pPr>
              <w:jc w:val="center"/>
            </w:pPr>
            <w:r>
              <w:rPr>
                <w:sz w:val="24"/>
                <w:szCs w:val="24"/>
              </w:rPr>
              <w:t>契约型开放式</w:t>
            </w:r>
          </w:p>
        </w:tc>
        <w:tc>
          <w:tcPr>
            <w:tcW w:w="1159" w:type="dxa"/>
            <w:vAlign w:val="center"/>
          </w:tcPr>
          <w:p w:rsidR="00530969" w:rsidRDefault="001C2BF9">
            <w:pPr>
              <w:jc w:val="center"/>
            </w:pPr>
            <w:r>
              <w:rPr>
                <w:sz w:val="24"/>
                <w:szCs w:val="24"/>
              </w:rPr>
              <w:t>2,425,251.88</w:t>
            </w:r>
          </w:p>
        </w:tc>
        <w:tc>
          <w:tcPr>
            <w:tcW w:w="1305" w:type="dxa"/>
            <w:vAlign w:val="center"/>
          </w:tcPr>
          <w:p w:rsidR="00530969" w:rsidRDefault="001C2BF9">
            <w:pPr>
              <w:jc w:val="center"/>
            </w:pPr>
            <w:r>
              <w:rPr>
                <w:sz w:val="24"/>
                <w:szCs w:val="24"/>
              </w:rPr>
              <w:t>2,599,627.49</w:t>
            </w:r>
          </w:p>
        </w:tc>
        <w:tc>
          <w:tcPr>
            <w:tcW w:w="1161" w:type="dxa"/>
            <w:vAlign w:val="center"/>
          </w:tcPr>
          <w:p w:rsidR="00530969" w:rsidRDefault="001C2BF9">
            <w:pPr>
              <w:jc w:val="center"/>
            </w:pPr>
            <w:r>
              <w:rPr>
                <w:sz w:val="24"/>
                <w:szCs w:val="24"/>
              </w:rPr>
              <w:t>4.21%</w:t>
            </w:r>
          </w:p>
        </w:tc>
        <w:tc>
          <w:tcPr>
            <w:tcW w:w="1301" w:type="dxa"/>
            <w:vAlign w:val="center"/>
          </w:tcPr>
          <w:p w:rsidR="00530969" w:rsidRDefault="001C2BF9">
            <w:pPr>
              <w:jc w:val="center"/>
            </w:pPr>
            <w:r>
              <w:rPr>
                <w:sz w:val="24"/>
                <w:szCs w:val="24"/>
              </w:rPr>
              <w:t>否</w:t>
            </w:r>
          </w:p>
        </w:tc>
      </w:tr>
      <w:tr w:rsidR="00530969">
        <w:tc>
          <w:tcPr>
            <w:tcW w:w="835" w:type="dxa"/>
            <w:vAlign w:val="center"/>
          </w:tcPr>
          <w:p w:rsidR="00530969" w:rsidRDefault="001C2BF9">
            <w:pPr>
              <w:jc w:val="center"/>
            </w:pPr>
            <w:r>
              <w:rPr>
                <w:sz w:val="24"/>
                <w:szCs w:val="24"/>
              </w:rPr>
              <w:t>9</w:t>
            </w:r>
          </w:p>
        </w:tc>
        <w:tc>
          <w:tcPr>
            <w:tcW w:w="1159" w:type="dxa"/>
            <w:vAlign w:val="center"/>
          </w:tcPr>
          <w:p w:rsidR="00530969" w:rsidRDefault="001C2BF9">
            <w:pPr>
              <w:jc w:val="center"/>
            </w:pPr>
            <w:r>
              <w:rPr>
                <w:sz w:val="24"/>
                <w:szCs w:val="24"/>
              </w:rPr>
              <w:t>511010</w:t>
            </w:r>
          </w:p>
        </w:tc>
        <w:tc>
          <w:tcPr>
            <w:tcW w:w="1161" w:type="dxa"/>
            <w:vAlign w:val="center"/>
          </w:tcPr>
          <w:p w:rsidR="00530969" w:rsidRDefault="001C2BF9">
            <w:pPr>
              <w:jc w:val="center"/>
            </w:pPr>
            <w:r>
              <w:rPr>
                <w:sz w:val="24"/>
                <w:szCs w:val="24"/>
              </w:rPr>
              <w:t>国泰上证</w:t>
            </w:r>
            <w:r>
              <w:rPr>
                <w:sz w:val="24"/>
                <w:szCs w:val="24"/>
              </w:rPr>
              <w:t>5</w:t>
            </w:r>
            <w:r>
              <w:rPr>
                <w:sz w:val="24"/>
                <w:szCs w:val="24"/>
              </w:rPr>
              <w:t>年期国债</w:t>
            </w:r>
            <w:r>
              <w:rPr>
                <w:sz w:val="24"/>
                <w:szCs w:val="24"/>
              </w:rPr>
              <w:t>ETF</w:t>
            </w:r>
          </w:p>
        </w:tc>
        <w:tc>
          <w:tcPr>
            <w:tcW w:w="1161" w:type="dxa"/>
            <w:vAlign w:val="center"/>
          </w:tcPr>
          <w:p w:rsidR="00530969" w:rsidRDefault="001C2BF9">
            <w:pPr>
              <w:jc w:val="center"/>
            </w:pPr>
            <w:r>
              <w:rPr>
                <w:sz w:val="24"/>
                <w:szCs w:val="24"/>
              </w:rPr>
              <w:t>契约型开放式</w:t>
            </w:r>
          </w:p>
        </w:tc>
        <w:tc>
          <w:tcPr>
            <w:tcW w:w="1159" w:type="dxa"/>
            <w:vAlign w:val="center"/>
          </w:tcPr>
          <w:p w:rsidR="00530969" w:rsidRDefault="001C2BF9">
            <w:pPr>
              <w:jc w:val="center"/>
            </w:pPr>
            <w:r>
              <w:rPr>
                <w:sz w:val="24"/>
                <w:szCs w:val="24"/>
              </w:rPr>
              <w:t>20,700.00</w:t>
            </w:r>
          </w:p>
        </w:tc>
        <w:tc>
          <w:tcPr>
            <w:tcW w:w="1305" w:type="dxa"/>
            <w:vAlign w:val="center"/>
          </w:tcPr>
          <w:p w:rsidR="00530969" w:rsidRDefault="001C2BF9">
            <w:pPr>
              <w:jc w:val="center"/>
            </w:pPr>
            <w:r>
              <w:rPr>
                <w:sz w:val="24"/>
                <w:szCs w:val="24"/>
              </w:rPr>
              <w:t>2,594,724.30</w:t>
            </w:r>
          </w:p>
        </w:tc>
        <w:tc>
          <w:tcPr>
            <w:tcW w:w="1161" w:type="dxa"/>
            <w:vAlign w:val="center"/>
          </w:tcPr>
          <w:p w:rsidR="00530969" w:rsidRDefault="001C2BF9">
            <w:pPr>
              <w:jc w:val="center"/>
            </w:pPr>
            <w:r>
              <w:rPr>
                <w:sz w:val="24"/>
                <w:szCs w:val="24"/>
              </w:rPr>
              <w:t>4.20%</w:t>
            </w:r>
          </w:p>
        </w:tc>
        <w:tc>
          <w:tcPr>
            <w:tcW w:w="1301" w:type="dxa"/>
            <w:vAlign w:val="center"/>
          </w:tcPr>
          <w:p w:rsidR="00530969" w:rsidRDefault="001C2BF9">
            <w:pPr>
              <w:jc w:val="center"/>
            </w:pPr>
            <w:r>
              <w:rPr>
                <w:sz w:val="24"/>
                <w:szCs w:val="24"/>
              </w:rPr>
              <w:t>否</w:t>
            </w:r>
          </w:p>
        </w:tc>
      </w:tr>
      <w:tr w:rsidR="00530969">
        <w:tc>
          <w:tcPr>
            <w:tcW w:w="835" w:type="dxa"/>
            <w:vAlign w:val="center"/>
          </w:tcPr>
          <w:p w:rsidR="00530969" w:rsidRDefault="001C2BF9">
            <w:pPr>
              <w:jc w:val="center"/>
            </w:pPr>
            <w:r>
              <w:rPr>
                <w:sz w:val="24"/>
                <w:szCs w:val="24"/>
              </w:rPr>
              <w:t>10</w:t>
            </w:r>
          </w:p>
        </w:tc>
        <w:tc>
          <w:tcPr>
            <w:tcW w:w="1159" w:type="dxa"/>
            <w:vAlign w:val="center"/>
          </w:tcPr>
          <w:p w:rsidR="00530969" w:rsidRDefault="001C2BF9">
            <w:pPr>
              <w:jc w:val="center"/>
            </w:pPr>
            <w:r>
              <w:rPr>
                <w:sz w:val="24"/>
                <w:szCs w:val="24"/>
              </w:rPr>
              <w:t>000839</w:t>
            </w:r>
          </w:p>
        </w:tc>
        <w:tc>
          <w:tcPr>
            <w:tcW w:w="1161" w:type="dxa"/>
            <w:vAlign w:val="center"/>
          </w:tcPr>
          <w:p w:rsidR="00530969" w:rsidRDefault="001C2BF9">
            <w:pPr>
              <w:jc w:val="center"/>
            </w:pPr>
            <w:r>
              <w:rPr>
                <w:sz w:val="24"/>
                <w:szCs w:val="24"/>
              </w:rPr>
              <w:t>上投摩根纯债丰利债券</w:t>
            </w:r>
            <w:r>
              <w:rPr>
                <w:sz w:val="24"/>
                <w:szCs w:val="24"/>
              </w:rPr>
              <w:t>A</w:t>
            </w:r>
          </w:p>
        </w:tc>
        <w:tc>
          <w:tcPr>
            <w:tcW w:w="1161" w:type="dxa"/>
            <w:vAlign w:val="center"/>
          </w:tcPr>
          <w:p w:rsidR="00530969" w:rsidRDefault="001C2BF9">
            <w:pPr>
              <w:jc w:val="center"/>
            </w:pPr>
            <w:r>
              <w:rPr>
                <w:sz w:val="24"/>
                <w:szCs w:val="24"/>
              </w:rPr>
              <w:t>契约型开放式</w:t>
            </w:r>
          </w:p>
        </w:tc>
        <w:tc>
          <w:tcPr>
            <w:tcW w:w="1159" w:type="dxa"/>
            <w:vAlign w:val="center"/>
          </w:tcPr>
          <w:p w:rsidR="00530969" w:rsidRDefault="001C2BF9">
            <w:pPr>
              <w:jc w:val="center"/>
            </w:pPr>
            <w:r>
              <w:rPr>
                <w:sz w:val="24"/>
                <w:szCs w:val="24"/>
              </w:rPr>
              <w:t>2,369,444.30</w:t>
            </w:r>
          </w:p>
        </w:tc>
        <w:tc>
          <w:tcPr>
            <w:tcW w:w="1305" w:type="dxa"/>
            <w:vAlign w:val="center"/>
          </w:tcPr>
          <w:p w:rsidR="00530969" w:rsidRDefault="001C2BF9">
            <w:pPr>
              <w:jc w:val="center"/>
            </w:pPr>
            <w:r>
              <w:rPr>
                <w:sz w:val="24"/>
                <w:szCs w:val="24"/>
              </w:rPr>
              <w:t>2,436,973.46</w:t>
            </w:r>
          </w:p>
        </w:tc>
        <w:tc>
          <w:tcPr>
            <w:tcW w:w="1161" w:type="dxa"/>
            <w:vAlign w:val="center"/>
          </w:tcPr>
          <w:p w:rsidR="00530969" w:rsidRDefault="001C2BF9">
            <w:pPr>
              <w:jc w:val="center"/>
            </w:pPr>
            <w:r>
              <w:rPr>
                <w:sz w:val="24"/>
                <w:szCs w:val="24"/>
              </w:rPr>
              <w:t>3.95%</w:t>
            </w:r>
          </w:p>
        </w:tc>
        <w:tc>
          <w:tcPr>
            <w:tcW w:w="1301" w:type="dxa"/>
            <w:vAlign w:val="center"/>
          </w:tcPr>
          <w:p w:rsidR="00530969" w:rsidRDefault="001C2BF9">
            <w:pPr>
              <w:jc w:val="center"/>
            </w:pPr>
            <w:r>
              <w:rPr>
                <w:sz w:val="24"/>
                <w:szCs w:val="24"/>
              </w:rPr>
              <w:t>是</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3012"/>
        <w:gridCol w:w="3012"/>
        <w:gridCol w:w="3012"/>
      </w:tblGrid>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本期费用</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其中：交易及持有基金管理人以及管理人关联方所管理基金产生的费用</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1,179.68</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r>
      <w:tr w:rsidR="00C80AC9" w:rsidRPr="00575270" w:rsidTr="00CD14C0">
        <w:tc>
          <w:tcPr>
            <w:tcW w:w="3012" w:type="dxa"/>
            <w:vAlign w:val="center"/>
          </w:tcPr>
          <w:p w:rsidR="00C80AC9" w:rsidRPr="00575270" w:rsidRDefault="00C80AC9" w:rsidP="00C80AC9">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C80AC9" w:rsidRPr="00575270" w:rsidRDefault="00C80AC9" w:rsidP="00C80AC9">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23,645.80</w:t>
            </w:r>
          </w:p>
        </w:tc>
        <w:tc>
          <w:tcPr>
            <w:tcW w:w="3012" w:type="dxa"/>
            <w:vAlign w:val="center"/>
          </w:tcPr>
          <w:p w:rsidR="00C80AC9" w:rsidRPr="00575270" w:rsidRDefault="00C80AC9" w:rsidP="00C80AC9">
            <w:pPr>
              <w:adjustRightInd w:val="0"/>
              <w:snapToGrid w:val="0"/>
              <w:spacing w:beforeLines="50" w:before="156" w:line="276" w:lineRule="auto"/>
              <w:jc w:val="right"/>
              <w:rPr>
                <w:rFonts w:eastAsiaTheme="minorEastAsia"/>
                <w:color w:val="000000" w:themeColor="text1"/>
                <w:sz w:val="24"/>
                <w:szCs w:val="24"/>
              </w:rPr>
            </w:pPr>
            <w:r w:rsidRPr="00900988">
              <w:rPr>
                <w:rFonts w:eastAsiaTheme="minorEastAsia"/>
                <w:color w:val="000000" w:themeColor="text1"/>
                <w:sz w:val="24"/>
                <w:szCs w:val="24"/>
              </w:rPr>
              <w:t>10</w:t>
            </w:r>
            <w:r>
              <w:rPr>
                <w:rFonts w:eastAsiaTheme="minorEastAsia"/>
                <w:color w:val="000000" w:themeColor="text1"/>
                <w:sz w:val="24"/>
                <w:szCs w:val="24"/>
              </w:rPr>
              <w:t>,</w:t>
            </w:r>
            <w:r w:rsidRPr="00900988">
              <w:rPr>
                <w:rFonts w:eastAsiaTheme="minorEastAsia"/>
                <w:color w:val="000000" w:themeColor="text1"/>
                <w:sz w:val="24"/>
                <w:szCs w:val="24"/>
              </w:rPr>
              <w:t>252.90</w:t>
            </w:r>
          </w:p>
        </w:tc>
      </w:tr>
      <w:tr w:rsidR="00C80AC9" w:rsidRPr="00575270" w:rsidTr="00CD14C0">
        <w:tc>
          <w:tcPr>
            <w:tcW w:w="3012" w:type="dxa"/>
            <w:vAlign w:val="center"/>
          </w:tcPr>
          <w:p w:rsidR="00C80AC9" w:rsidRPr="00575270" w:rsidRDefault="00C80AC9" w:rsidP="00C80AC9">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C80AC9" w:rsidRPr="00575270" w:rsidRDefault="00C80AC9" w:rsidP="00C80AC9">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186.52</w:t>
            </w:r>
          </w:p>
        </w:tc>
        <w:tc>
          <w:tcPr>
            <w:tcW w:w="3012" w:type="dxa"/>
            <w:vAlign w:val="center"/>
          </w:tcPr>
          <w:p w:rsidR="00C80AC9" w:rsidRPr="00575270" w:rsidRDefault="00C80AC9" w:rsidP="00C80AC9">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180.71</w:t>
            </w:r>
          </w:p>
        </w:tc>
      </w:tr>
      <w:tr w:rsidR="00C80AC9" w:rsidRPr="00575270" w:rsidTr="00CD14C0">
        <w:tc>
          <w:tcPr>
            <w:tcW w:w="3012" w:type="dxa"/>
            <w:vAlign w:val="center"/>
          </w:tcPr>
          <w:p w:rsidR="00C80AC9" w:rsidRPr="00575270" w:rsidRDefault="00C80AC9" w:rsidP="00C80AC9">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C80AC9" w:rsidRPr="00575270" w:rsidRDefault="00C80AC9" w:rsidP="00C80AC9">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75,158.67</w:t>
            </w:r>
          </w:p>
        </w:tc>
        <w:tc>
          <w:tcPr>
            <w:tcW w:w="3012" w:type="dxa"/>
            <w:vAlign w:val="center"/>
          </w:tcPr>
          <w:p w:rsidR="00C80AC9" w:rsidRPr="00575270" w:rsidRDefault="00C80AC9" w:rsidP="00C80AC9">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47,903.52</w:t>
            </w:r>
          </w:p>
        </w:tc>
      </w:tr>
      <w:tr w:rsidR="00C80AC9" w:rsidRPr="00575270" w:rsidTr="00CD14C0">
        <w:tc>
          <w:tcPr>
            <w:tcW w:w="3012" w:type="dxa"/>
            <w:vAlign w:val="center"/>
          </w:tcPr>
          <w:p w:rsidR="00C80AC9" w:rsidRPr="00575270" w:rsidRDefault="00C80AC9" w:rsidP="00C80AC9">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C80AC9" w:rsidRPr="00575270" w:rsidRDefault="00C80AC9" w:rsidP="00C80AC9">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16,842.22</w:t>
            </w:r>
          </w:p>
        </w:tc>
        <w:tc>
          <w:tcPr>
            <w:tcW w:w="3012" w:type="dxa"/>
            <w:vAlign w:val="center"/>
          </w:tcPr>
          <w:p w:rsidR="00C80AC9" w:rsidRPr="00575270" w:rsidRDefault="00C80AC9" w:rsidP="00C80AC9">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9,840.14</w:t>
            </w:r>
          </w:p>
        </w:tc>
      </w:tr>
      <w:tr w:rsidR="00C80AC9">
        <w:tc>
          <w:tcPr>
            <w:tcW w:w="3012" w:type="dxa"/>
            <w:vAlign w:val="center"/>
          </w:tcPr>
          <w:p w:rsidR="00C80AC9" w:rsidRDefault="00C80AC9" w:rsidP="00C80AC9">
            <w:pPr>
              <w:jc w:val="left"/>
            </w:pPr>
            <w:r>
              <w:rPr>
                <w:rFonts w:eastAsiaTheme="minorEastAsia"/>
                <w:color w:val="000000" w:themeColor="text1"/>
                <w:sz w:val="24"/>
                <w:szCs w:val="24"/>
              </w:rPr>
              <w:t>当期交易基金产生的交易费（元）</w:t>
            </w:r>
          </w:p>
        </w:tc>
        <w:tc>
          <w:tcPr>
            <w:tcW w:w="3012" w:type="dxa"/>
            <w:vAlign w:val="center"/>
          </w:tcPr>
          <w:p w:rsidR="00C80AC9" w:rsidRDefault="00C80AC9" w:rsidP="00C80AC9">
            <w:pPr>
              <w:jc w:val="right"/>
            </w:pPr>
            <w:r>
              <w:rPr>
                <w:rFonts w:eastAsiaTheme="minorEastAsia"/>
                <w:color w:val="000000" w:themeColor="text1"/>
                <w:sz w:val="24"/>
                <w:szCs w:val="24"/>
              </w:rPr>
              <w:t>2,746.31</w:t>
            </w:r>
          </w:p>
        </w:tc>
        <w:tc>
          <w:tcPr>
            <w:tcW w:w="3012" w:type="dxa"/>
            <w:vAlign w:val="center"/>
          </w:tcPr>
          <w:p w:rsidR="00C80AC9" w:rsidRDefault="00C80AC9" w:rsidP="00C80AC9">
            <w:pPr>
              <w:jc w:val="right"/>
            </w:pPr>
            <w:r>
              <w:rPr>
                <w:rFonts w:eastAsiaTheme="minorEastAsia"/>
                <w:color w:val="000000" w:themeColor="text1"/>
                <w:sz w:val="24"/>
                <w:szCs w:val="24"/>
              </w:rPr>
              <w:t>0.00</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75,512,828.71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4,196,945.49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23,733,072.67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55,976,701.53</w:t>
            </w:r>
          </w:p>
        </w:tc>
      </w:tr>
    </w:tbl>
    <w:p w:rsidR="00320E90" w:rsidRDefault="00320E90" w:rsidP="00C15CAC">
      <w:pPr>
        <w:autoSpaceDE w:val="0"/>
        <w:autoSpaceDN w:val="0"/>
        <w:adjustRightInd w:val="0"/>
        <w:spacing w:before="29" w:line="288" w:lineRule="auto"/>
        <w:jc w:val="left"/>
        <w:rPr>
          <w:color w:val="000000"/>
          <w:sz w:val="24"/>
          <w:szCs w:val="24"/>
        </w:rPr>
      </w:pPr>
    </w:p>
    <w:p w:rsidR="001C2BF9" w:rsidRPr="00B27A29" w:rsidRDefault="001C2BF9" w:rsidP="001C2BF9">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w:t>
      </w:r>
      <w:r>
        <w:rPr>
          <w:rFonts w:eastAsiaTheme="minorEastAsia"/>
          <w:color w:val="000000" w:themeColor="text1"/>
          <w:kern w:val="0"/>
          <w:sz w:val="21"/>
          <w:szCs w:val="21"/>
        </w:rPr>
        <w:t>8</w:t>
      </w:r>
      <w:r w:rsidRPr="00B27A29">
        <w:rPr>
          <w:color w:val="000000"/>
          <w:sz w:val="21"/>
          <w:szCs w:val="21"/>
          <w:shd w:val="clear" w:color="auto" w:fill="FFFFFF"/>
        </w:rPr>
        <w:t>基金管理人运用固有资金投资本基金情况</w:t>
      </w:r>
    </w:p>
    <w:p w:rsidR="001C2BF9" w:rsidRPr="00B27A29" w:rsidRDefault="001C2BF9" w:rsidP="001C2BF9">
      <w:pPr>
        <w:spacing w:line="360" w:lineRule="auto"/>
        <w:jc w:val="left"/>
        <w:rPr>
          <w:color w:val="000000" w:themeColor="text1"/>
        </w:rPr>
      </w:pPr>
      <w:r>
        <w:rPr>
          <w:b/>
          <w:color w:val="000000" w:themeColor="text1"/>
        </w:rPr>
        <w:t>8</w:t>
      </w:r>
      <w:r w:rsidRPr="00B27A29">
        <w:rPr>
          <w:b/>
          <w:color w:val="000000" w:themeColor="text1"/>
        </w:rPr>
        <w:t>.1</w:t>
      </w:r>
      <w:r w:rsidRPr="00B27A29">
        <w:rPr>
          <w:rFonts w:eastAsiaTheme="minorEastAsia"/>
          <w:b/>
          <w:bCs/>
          <w:color w:val="000000" w:themeColor="text1"/>
          <w:kern w:val="44"/>
        </w:rPr>
        <w:t>基金管理人持有本基金份额变动情况</w:t>
      </w:r>
    </w:p>
    <w:p w:rsidR="001C2BF9" w:rsidRPr="001C2BF9" w:rsidRDefault="001C2BF9" w:rsidP="00C15CAC">
      <w:pPr>
        <w:autoSpaceDE w:val="0"/>
        <w:autoSpaceDN w:val="0"/>
        <w:adjustRightInd w:val="0"/>
        <w:spacing w:before="29" w:line="288" w:lineRule="auto"/>
        <w:jc w:val="left"/>
        <w:rPr>
          <w:rFonts w:eastAsiaTheme="minorEastAsia"/>
          <w:color w:val="000000"/>
          <w:sz w:val="24"/>
        </w:rPr>
      </w:pP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无。</w:t>
      </w:r>
    </w:p>
    <w:p w:rsidR="00480B35" w:rsidRPr="00414345" w:rsidRDefault="00480B35" w:rsidP="00C15CAC">
      <w:pPr>
        <w:autoSpaceDE w:val="0"/>
        <w:autoSpaceDN w:val="0"/>
        <w:adjustRightInd w:val="0"/>
        <w:spacing w:before="29" w:line="288" w:lineRule="auto"/>
        <w:jc w:val="left"/>
        <w:rPr>
          <w:color w:val="000000"/>
          <w:sz w:val="24"/>
        </w:rPr>
      </w:pPr>
    </w:p>
    <w:p w:rsidR="005B09FA" w:rsidRPr="00414345" w:rsidRDefault="005B09FA" w:rsidP="00C15CAC">
      <w:pPr>
        <w:autoSpaceDE w:val="0"/>
        <w:autoSpaceDN w:val="0"/>
        <w:adjustRightInd w:val="0"/>
        <w:spacing w:before="29" w:line="288" w:lineRule="auto"/>
        <w:jc w:val="left"/>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2BF9">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1C2BF9"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30969" w:rsidRDefault="001C2BF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、中国证监会准予上投摩根锦程稳健养老目标一年持有期混合型基金中基金</w:t>
      </w:r>
      <w:r>
        <w:rPr>
          <w:color w:val="000000"/>
          <w:sz w:val="24"/>
          <w:szCs w:val="24"/>
        </w:rPr>
        <w:t>(FOF)</w:t>
      </w:r>
      <w:r>
        <w:rPr>
          <w:color w:val="000000"/>
          <w:sz w:val="24"/>
          <w:szCs w:val="24"/>
        </w:rPr>
        <w:t>募集注册的文件</w:t>
      </w:r>
    </w:p>
    <w:p w:rsidR="00530969" w:rsidRDefault="001C2BF9">
      <w:pPr>
        <w:spacing w:before="29" w:line="288" w:lineRule="auto"/>
        <w:ind w:firstLineChars="200" w:firstLine="480"/>
        <w:rPr>
          <w:color w:val="000000"/>
          <w:sz w:val="24"/>
          <w:szCs w:val="24"/>
        </w:rPr>
      </w:pPr>
      <w:r>
        <w:rPr>
          <w:color w:val="000000"/>
          <w:sz w:val="24"/>
          <w:szCs w:val="24"/>
        </w:rPr>
        <w:t>2</w:t>
      </w:r>
      <w:r>
        <w:rPr>
          <w:color w:val="000000"/>
          <w:sz w:val="24"/>
          <w:szCs w:val="24"/>
        </w:rPr>
        <w:t>、上投摩根锦程稳健养老目标一年持有期混合型基金中基金</w:t>
      </w:r>
      <w:r>
        <w:rPr>
          <w:color w:val="000000"/>
          <w:sz w:val="24"/>
          <w:szCs w:val="24"/>
        </w:rPr>
        <w:t>(FOF)</w:t>
      </w:r>
      <w:r>
        <w:rPr>
          <w:color w:val="000000"/>
          <w:sz w:val="24"/>
          <w:szCs w:val="24"/>
        </w:rPr>
        <w:t>基金合同</w:t>
      </w:r>
    </w:p>
    <w:p w:rsidR="00530969" w:rsidRDefault="001C2BF9">
      <w:pPr>
        <w:spacing w:before="29" w:line="288" w:lineRule="auto"/>
        <w:ind w:firstLineChars="200" w:firstLine="480"/>
        <w:rPr>
          <w:color w:val="000000"/>
          <w:sz w:val="24"/>
          <w:szCs w:val="24"/>
        </w:rPr>
      </w:pPr>
      <w:r>
        <w:rPr>
          <w:color w:val="000000"/>
          <w:sz w:val="24"/>
          <w:szCs w:val="24"/>
        </w:rPr>
        <w:t>3</w:t>
      </w:r>
      <w:r>
        <w:rPr>
          <w:color w:val="000000"/>
          <w:sz w:val="24"/>
          <w:szCs w:val="24"/>
        </w:rPr>
        <w:t>、上投摩根锦程稳健养老目标一年持有期混合型基金中基金</w:t>
      </w:r>
      <w:r>
        <w:rPr>
          <w:color w:val="000000"/>
          <w:sz w:val="24"/>
          <w:szCs w:val="24"/>
        </w:rPr>
        <w:t>(FOF)</w:t>
      </w:r>
      <w:r>
        <w:rPr>
          <w:color w:val="000000"/>
          <w:sz w:val="24"/>
          <w:szCs w:val="24"/>
        </w:rPr>
        <w:t>托管协议</w:t>
      </w:r>
    </w:p>
    <w:p w:rsidR="00530969" w:rsidRDefault="001C2BF9">
      <w:pPr>
        <w:spacing w:before="29" w:line="288" w:lineRule="auto"/>
        <w:ind w:firstLineChars="200" w:firstLine="480"/>
        <w:rPr>
          <w:color w:val="000000"/>
          <w:sz w:val="24"/>
          <w:szCs w:val="24"/>
        </w:rPr>
      </w:pPr>
      <w:r>
        <w:rPr>
          <w:color w:val="000000"/>
          <w:sz w:val="24"/>
          <w:szCs w:val="24"/>
        </w:rPr>
        <w:t>4</w:t>
      </w:r>
      <w:r>
        <w:rPr>
          <w:color w:val="000000"/>
          <w:sz w:val="24"/>
          <w:szCs w:val="24"/>
        </w:rPr>
        <w:t>、基金管理人业务资格批件、营业执照</w:t>
      </w:r>
    </w:p>
    <w:p w:rsidR="00530969" w:rsidRDefault="001C2BF9">
      <w:pPr>
        <w:spacing w:before="29" w:line="288" w:lineRule="auto"/>
        <w:ind w:firstLineChars="200" w:firstLine="480"/>
        <w:rPr>
          <w:color w:val="000000"/>
          <w:sz w:val="24"/>
          <w:szCs w:val="24"/>
        </w:rPr>
      </w:pPr>
      <w:r>
        <w:rPr>
          <w:color w:val="000000"/>
          <w:sz w:val="24"/>
          <w:szCs w:val="24"/>
        </w:rPr>
        <w:t>5</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6</w:t>
      </w:r>
      <w:r w:rsidRPr="00414345">
        <w:rPr>
          <w:color w:val="000000"/>
          <w:sz w:val="24"/>
          <w:szCs w:val="24"/>
        </w:rPr>
        <w:t>、上投摩根基金管理有限公司开放式基金业务规则</w:t>
      </w:r>
    </w:p>
    <w:p w:rsidR="006A48FD" w:rsidRPr="00414345" w:rsidRDefault="006A48FD" w:rsidP="00C15CAC">
      <w:pPr>
        <w:spacing w:before="29" w:line="288" w:lineRule="auto"/>
        <w:ind w:firstLineChars="200" w:firstLine="480"/>
        <w:rPr>
          <w:color w:val="000000"/>
          <w:sz w:val="24"/>
          <w:szCs w:val="24"/>
        </w:rPr>
      </w:pPr>
    </w:p>
    <w:p w:rsidR="004061AC" w:rsidRPr="00414345" w:rsidRDefault="001C2BF9"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基金管理人或基金托管人住所。</w:t>
      </w:r>
    </w:p>
    <w:p w:rsidR="006A48FD" w:rsidRPr="00414345" w:rsidRDefault="006A48FD" w:rsidP="00C15CAC">
      <w:pPr>
        <w:spacing w:before="29" w:line="288" w:lineRule="auto"/>
        <w:ind w:firstLineChars="200" w:firstLine="480"/>
        <w:rPr>
          <w:color w:val="000000"/>
          <w:sz w:val="24"/>
          <w:szCs w:val="24"/>
        </w:rPr>
      </w:pPr>
    </w:p>
    <w:p w:rsidR="004061AC" w:rsidRPr="00414345" w:rsidRDefault="001C2BF9"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323" w:rsidRDefault="00D31323" w:rsidP="00876D65">
      <w:r>
        <w:separator/>
      </w:r>
    </w:p>
  </w:endnote>
  <w:endnote w:type="continuationSeparator" w:id="0">
    <w:p w:rsidR="00D31323" w:rsidRDefault="00D3132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7164A8">
      <w:rPr>
        <w:noProof/>
        <w:kern w:val="0"/>
        <w:szCs w:val="21"/>
      </w:rPr>
      <w:t>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7164A8">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323" w:rsidRDefault="00D31323" w:rsidP="00876D65">
      <w:r>
        <w:separator/>
      </w:r>
    </w:p>
  </w:footnote>
  <w:footnote w:type="continuationSeparator" w:id="0">
    <w:p w:rsidR="00D31323" w:rsidRDefault="00D31323"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F0" w:rsidRPr="00DC456F" w:rsidRDefault="00DC456F" w:rsidP="00090A26">
    <w:pPr>
      <w:pStyle w:val="ac"/>
      <w:pBdr>
        <w:bottom w:val="single" w:sz="6" w:space="0" w:color="auto"/>
      </w:pBdr>
      <w:jc w:val="right"/>
      <w:rPr>
        <w:sz w:val="24"/>
        <w:szCs w:val="24"/>
      </w:rPr>
    </w:pPr>
    <w:r w:rsidRPr="003E676C">
      <w:rPr>
        <w:sz w:val="24"/>
        <w:szCs w:val="24"/>
      </w:rPr>
      <w:t>上投摩根锦程稳健养老目标一年持有期混合型基金中基金</w:t>
    </w:r>
    <w:r w:rsidRPr="003E676C">
      <w:rPr>
        <w:sz w:val="24"/>
        <w:szCs w:val="24"/>
      </w:rPr>
      <w:t>(FOF)2021</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B92"/>
    <w:rsid w:val="00024F7F"/>
    <w:rsid w:val="00031EBB"/>
    <w:rsid w:val="00033B8D"/>
    <w:rsid w:val="0004308C"/>
    <w:rsid w:val="00043852"/>
    <w:rsid w:val="000450DD"/>
    <w:rsid w:val="000463DE"/>
    <w:rsid w:val="0006147E"/>
    <w:rsid w:val="000625ED"/>
    <w:rsid w:val="00064D40"/>
    <w:rsid w:val="0006777B"/>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5E25"/>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2BF9"/>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0AA"/>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866DD"/>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969"/>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164A8"/>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A6D0D"/>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0988"/>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5FC0"/>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0AC9"/>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1323"/>
    <w:rsid w:val="00D346D9"/>
    <w:rsid w:val="00D43AFB"/>
    <w:rsid w:val="00D44EE8"/>
    <w:rsid w:val="00D57B7C"/>
    <w:rsid w:val="00D65B44"/>
    <w:rsid w:val="00D75E69"/>
    <w:rsid w:val="00D8099B"/>
    <w:rsid w:val="00D817AE"/>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DF25D5"/>
    <w:rsid w:val="00E02660"/>
    <w:rsid w:val="00E04BE1"/>
    <w:rsid w:val="00E12DBF"/>
    <w:rsid w:val="00E133DE"/>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F315-ADA5-438D-9F52-AA7AC447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13</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591</cp:revision>
  <dcterms:created xsi:type="dcterms:W3CDTF">2012-10-16T06:07:00Z</dcterms:created>
  <dcterms:modified xsi:type="dcterms:W3CDTF">2021-10-26T05:41:00Z</dcterms:modified>
</cp:coreProperties>
</file>