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DB3887">
      <w:pPr>
        <w:autoSpaceDE w:val="0"/>
        <w:autoSpaceDN w:val="0"/>
        <w:adjustRightInd w:val="0"/>
        <w:spacing w:line="360" w:lineRule="auto"/>
        <w:jc w:val="left"/>
        <w:rPr>
          <w:rFonts w:eastAsiaTheme="minorEastAsia"/>
          <w:color w:val="000000" w:themeColor="text1"/>
          <w:kern w:val="0"/>
          <w:szCs w:val="21"/>
        </w:rPr>
      </w:pP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上投摩根</w:t>
      </w:r>
      <w:r w:rsidRPr="00D97CD7">
        <w:rPr>
          <w:rFonts w:eastAsiaTheme="minorEastAsia"/>
          <w:b/>
          <w:color w:val="000000" w:themeColor="text1"/>
          <w:sz w:val="36"/>
          <w:szCs w:val="36"/>
        </w:rPr>
        <w:t>MSCI</w:t>
      </w:r>
      <w:r w:rsidRPr="00D97CD7">
        <w:rPr>
          <w:rFonts w:eastAsiaTheme="minorEastAsia"/>
          <w:b/>
          <w:color w:val="000000" w:themeColor="text1"/>
          <w:sz w:val="36"/>
          <w:szCs w:val="36"/>
        </w:rPr>
        <w:t>中国</w:t>
      </w:r>
      <w:r w:rsidRPr="00D97CD7">
        <w:rPr>
          <w:rFonts w:eastAsiaTheme="minorEastAsia"/>
          <w:b/>
          <w:color w:val="000000" w:themeColor="text1"/>
          <w:sz w:val="36"/>
          <w:szCs w:val="36"/>
        </w:rPr>
        <w:t>A</w:t>
      </w:r>
      <w:r w:rsidRPr="00D97CD7">
        <w:rPr>
          <w:rFonts w:eastAsiaTheme="minorEastAsia"/>
          <w:b/>
          <w:color w:val="000000" w:themeColor="text1"/>
          <w:sz w:val="36"/>
          <w:szCs w:val="36"/>
        </w:rPr>
        <w:t>股交易型开放式指数证券投资基金联接基金</w:t>
      </w: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2021</w:t>
      </w:r>
      <w:r w:rsidRPr="00D97CD7">
        <w:rPr>
          <w:rFonts w:eastAsiaTheme="minorEastAsia"/>
          <w:b/>
          <w:color w:val="000000" w:themeColor="text1"/>
          <w:sz w:val="36"/>
          <w:szCs w:val="36"/>
        </w:rPr>
        <w:t>年第</w:t>
      </w:r>
      <w:r w:rsidRPr="00D97CD7">
        <w:rPr>
          <w:rFonts w:eastAsiaTheme="minorEastAsia"/>
          <w:b/>
          <w:color w:val="000000" w:themeColor="text1"/>
          <w:sz w:val="36"/>
          <w:szCs w:val="36"/>
        </w:rPr>
        <w:t>4</w:t>
      </w:r>
      <w:r w:rsidRPr="00D97CD7">
        <w:rPr>
          <w:rFonts w:eastAsiaTheme="minorEastAsia"/>
          <w:b/>
          <w:color w:val="000000" w:themeColor="text1"/>
          <w:sz w:val="36"/>
          <w:szCs w:val="36"/>
        </w:rPr>
        <w:t>季度报告</w:t>
      </w:r>
    </w:p>
    <w:p w:rsidR="00DB3887" w:rsidRPr="00D97CD7" w:rsidRDefault="00FC6961">
      <w:pPr>
        <w:spacing w:line="360" w:lineRule="auto"/>
        <w:jc w:val="center"/>
        <w:rPr>
          <w:rFonts w:eastAsiaTheme="minorEastAsia"/>
          <w:b/>
          <w:color w:val="000000" w:themeColor="text1"/>
          <w:sz w:val="36"/>
          <w:szCs w:val="36"/>
        </w:rPr>
      </w:pPr>
      <w:r w:rsidRPr="00D97CD7">
        <w:rPr>
          <w:rFonts w:eastAsiaTheme="minorEastAsia"/>
          <w:b/>
          <w:color w:val="000000" w:themeColor="text1"/>
          <w:sz w:val="36"/>
          <w:szCs w:val="36"/>
        </w:rPr>
        <w:t>2021</w:t>
      </w:r>
      <w:r w:rsidRPr="00D97CD7">
        <w:rPr>
          <w:rFonts w:eastAsiaTheme="minorEastAsia"/>
          <w:b/>
          <w:color w:val="000000" w:themeColor="text1"/>
          <w:sz w:val="36"/>
          <w:szCs w:val="36"/>
        </w:rPr>
        <w:t>年</w:t>
      </w:r>
      <w:r w:rsidRPr="00D97CD7">
        <w:rPr>
          <w:rFonts w:eastAsiaTheme="minorEastAsia"/>
          <w:b/>
          <w:color w:val="000000" w:themeColor="text1"/>
          <w:sz w:val="36"/>
          <w:szCs w:val="36"/>
        </w:rPr>
        <w:t>12</w:t>
      </w:r>
      <w:r w:rsidRPr="00D97CD7">
        <w:rPr>
          <w:rFonts w:eastAsiaTheme="minorEastAsia"/>
          <w:b/>
          <w:color w:val="000000" w:themeColor="text1"/>
          <w:sz w:val="36"/>
          <w:szCs w:val="36"/>
        </w:rPr>
        <w:t>月</w:t>
      </w:r>
      <w:r w:rsidRPr="00D97CD7">
        <w:rPr>
          <w:rFonts w:eastAsiaTheme="minorEastAsia"/>
          <w:b/>
          <w:color w:val="000000" w:themeColor="text1"/>
          <w:sz w:val="36"/>
          <w:szCs w:val="36"/>
        </w:rPr>
        <w:t>31</w:t>
      </w:r>
      <w:r w:rsidRPr="00D97CD7">
        <w:rPr>
          <w:rFonts w:eastAsiaTheme="minorEastAsia"/>
          <w:b/>
          <w:color w:val="000000" w:themeColor="text1"/>
          <w:sz w:val="36"/>
          <w:szCs w:val="36"/>
        </w:rPr>
        <w:t>日</w:t>
      </w: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jc w:val="center"/>
        <w:rPr>
          <w:rFonts w:eastAsiaTheme="minorEastAsia"/>
          <w:b/>
          <w:color w:val="000000" w:themeColor="text1"/>
          <w:szCs w:val="21"/>
        </w:rPr>
      </w:pPr>
    </w:p>
    <w:p w:rsidR="00DB3887" w:rsidRPr="00D97CD7" w:rsidRDefault="00DB3887">
      <w:pPr>
        <w:spacing w:line="360" w:lineRule="auto"/>
        <w:rPr>
          <w:rFonts w:eastAsiaTheme="minorEastAsia"/>
          <w:b/>
          <w:color w:val="000000" w:themeColor="text1"/>
          <w:szCs w:val="21"/>
        </w:rPr>
      </w:pPr>
    </w:p>
    <w:p w:rsidR="00DB3887" w:rsidRPr="00D97CD7" w:rsidRDefault="00FC6961">
      <w:pPr>
        <w:spacing w:line="360" w:lineRule="auto"/>
        <w:ind w:firstLineChars="900" w:firstLine="2168"/>
        <w:rPr>
          <w:rFonts w:eastAsiaTheme="minorEastAsia"/>
          <w:b/>
          <w:color w:val="000000" w:themeColor="text1"/>
          <w:sz w:val="24"/>
        </w:rPr>
      </w:pPr>
      <w:r w:rsidRPr="00D97CD7">
        <w:rPr>
          <w:rFonts w:eastAsiaTheme="minorEastAsia"/>
          <w:b/>
          <w:color w:val="000000" w:themeColor="text1"/>
          <w:sz w:val="24"/>
        </w:rPr>
        <w:t>基金管理人：上投摩根基金管理有限公司</w:t>
      </w:r>
    </w:p>
    <w:p w:rsidR="00DB3887" w:rsidRPr="00D97CD7" w:rsidRDefault="00FC6961">
      <w:pPr>
        <w:spacing w:line="360" w:lineRule="auto"/>
        <w:ind w:firstLineChars="900" w:firstLine="2168"/>
        <w:rPr>
          <w:rFonts w:eastAsiaTheme="minorEastAsia"/>
          <w:b/>
          <w:color w:val="000000" w:themeColor="text1"/>
          <w:sz w:val="24"/>
        </w:rPr>
      </w:pPr>
      <w:r w:rsidRPr="00D97CD7">
        <w:rPr>
          <w:rFonts w:eastAsiaTheme="minorEastAsia"/>
          <w:b/>
          <w:color w:val="000000" w:themeColor="text1"/>
          <w:sz w:val="24"/>
        </w:rPr>
        <w:t>基金托管人：平安银行股份有限公司</w:t>
      </w:r>
    </w:p>
    <w:p w:rsidR="00DB3887" w:rsidRPr="00D97CD7" w:rsidRDefault="00FC6961">
      <w:pPr>
        <w:spacing w:line="360" w:lineRule="auto"/>
        <w:ind w:firstLineChars="900" w:firstLine="2168"/>
        <w:rPr>
          <w:rFonts w:eastAsiaTheme="minorEastAsia"/>
          <w:color w:val="000000" w:themeColor="text1"/>
          <w:sz w:val="24"/>
        </w:rPr>
        <w:sectPr w:rsidR="00DB3887" w:rsidRPr="00D97CD7">
          <w:headerReference w:type="default" r:id="rId8"/>
          <w:footerReference w:type="default" r:id="rId9"/>
          <w:pgSz w:w="11926" w:h="15840"/>
          <w:pgMar w:top="1418" w:right="1418" w:bottom="851" w:left="1418" w:header="851" w:footer="992" w:gutter="0"/>
          <w:cols w:space="720"/>
        </w:sectPr>
      </w:pPr>
      <w:r w:rsidRPr="00D97CD7">
        <w:rPr>
          <w:rFonts w:eastAsiaTheme="minorEastAsia"/>
          <w:b/>
          <w:color w:val="000000" w:themeColor="text1"/>
          <w:sz w:val="24"/>
        </w:rPr>
        <w:t>报告送出日期：二〇二二年一月二十四日</w:t>
      </w:r>
    </w:p>
    <w:p w:rsidR="00DB3887" w:rsidRPr="00D97CD7" w:rsidRDefault="00FC6961">
      <w:pPr>
        <w:pStyle w:val="1"/>
        <w:spacing w:beforeLines="100" w:before="312" w:afterLines="100" w:after="312" w:line="360" w:lineRule="auto"/>
        <w:jc w:val="center"/>
        <w:rPr>
          <w:rFonts w:eastAsiaTheme="minorEastAsia"/>
          <w:b w:val="0"/>
          <w:color w:val="000000" w:themeColor="text1"/>
          <w:kern w:val="0"/>
          <w:sz w:val="21"/>
          <w:szCs w:val="21"/>
        </w:rPr>
      </w:pPr>
      <w:r w:rsidRPr="00D97CD7">
        <w:rPr>
          <w:rFonts w:eastAsiaTheme="minorEastAsia"/>
          <w:color w:val="000000" w:themeColor="text1"/>
          <w:kern w:val="0"/>
          <w:sz w:val="21"/>
          <w:szCs w:val="21"/>
        </w:rPr>
        <w:lastRenderedPageBreak/>
        <w:t xml:space="preserve">§1  </w:t>
      </w:r>
      <w:r w:rsidRPr="00D97CD7">
        <w:rPr>
          <w:rFonts w:eastAsiaTheme="minorEastAsia"/>
          <w:color w:val="000000" w:themeColor="text1"/>
          <w:kern w:val="0"/>
          <w:sz w:val="21"/>
          <w:szCs w:val="21"/>
        </w:rPr>
        <w:t>重要提示</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本报告期自</w:t>
      </w:r>
      <w:r w:rsidRPr="00D97CD7">
        <w:rPr>
          <w:rFonts w:eastAsiaTheme="minorEastAsia"/>
          <w:color w:val="000000" w:themeColor="text1"/>
          <w:szCs w:val="21"/>
        </w:rPr>
        <w:t>2021</w:t>
      </w:r>
      <w:r w:rsidRPr="00D97CD7">
        <w:rPr>
          <w:rFonts w:eastAsiaTheme="minorEastAsia"/>
          <w:color w:val="000000" w:themeColor="text1"/>
          <w:szCs w:val="21"/>
        </w:rPr>
        <w:t>年</w:t>
      </w:r>
      <w:r w:rsidRPr="00D97CD7">
        <w:rPr>
          <w:rFonts w:eastAsiaTheme="minorEastAsia"/>
          <w:color w:val="000000" w:themeColor="text1"/>
          <w:szCs w:val="21"/>
        </w:rPr>
        <w:t>10</w:t>
      </w:r>
      <w:r w:rsidRPr="00D97CD7">
        <w:rPr>
          <w:rFonts w:eastAsiaTheme="minorEastAsia"/>
          <w:color w:val="000000" w:themeColor="text1"/>
          <w:szCs w:val="21"/>
        </w:rPr>
        <w:t>月</w:t>
      </w:r>
      <w:r w:rsidRPr="00D97CD7">
        <w:rPr>
          <w:rFonts w:eastAsiaTheme="minorEastAsia"/>
          <w:color w:val="000000" w:themeColor="text1"/>
          <w:szCs w:val="21"/>
        </w:rPr>
        <w:t>1</w:t>
      </w:r>
      <w:r w:rsidRPr="00D97CD7">
        <w:rPr>
          <w:rFonts w:eastAsiaTheme="minorEastAsia"/>
          <w:color w:val="000000" w:themeColor="text1"/>
          <w:szCs w:val="21"/>
        </w:rPr>
        <w:t>日起至</w:t>
      </w:r>
      <w:r w:rsidRPr="00D97CD7">
        <w:rPr>
          <w:rFonts w:eastAsiaTheme="minorEastAsia"/>
          <w:color w:val="000000" w:themeColor="text1"/>
          <w:szCs w:val="21"/>
        </w:rPr>
        <w:t>12</w:t>
      </w:r>
      <w:r w:rsidRPr="00D97CD7">
        <w:rPr>
          <w:rFonts w:eastAsiaTheme="minorEastAsia"/>
          <w:color w:val="000000" w:themeColor="text1"/>
          <w:szCs w:val="21"/>
        </w:rPr>
        <w:t>月</w:t>
      </w:r>
      <w:r w:rsidRPr="00D97CD7">
        <w:rPr>
          <w:rFonts w:eastAsiaTheme="minorEastAsia"/>
          <w:color w:val="000000" w:themeColor="text1"/>
          <w:szCs w:val="21"/>
        </w:rPr>
        <w:t>31</w:t>
      </w:r>
      <w:r w:rsidRPr="00D97CD7">
        <w:rPr>
          <w:rFonts w:eastAsiaTheme="minorEastAsia"/>
          <w:color w:val="000000" w:themeColor="text1"/>
          <w:szCs w:val="21"/>
        </w:rPr>
        <w:t>日止。</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§2  </w:t>
      </w:r>
      <w:r w:rsidRPr="00D97CD7">
        <w:rPr>
          <w:rFonts w:eastAsiaTheme="minorEastAsia"/>
          <w:color w:val="000000" w:themeColor="text1"/>
          <w:kern w:val="0"/>
          <w:sz w:val="21"/>
          <w:szCs w:val="21"/>
        </w:rPr>
        <w:t>基金产品概况</w:t>
      </w:r>
    </w:p>
    <w:p w:rsidR="00DB3887" w:rsidRPr="00D97CD7" w:rsidRDefault="00FC6961">
      <w:pPr>
        <w:pStyle w:val="2"/>
        <w:keepNext w:val="0"/>
        <w:keepLines w:val="0"/>
        <w:spacing w:before="0" w:after="0"/>
        <w:rPr>
          <w:rFonts w:ascii="Times New Roman" w:eastAsiaTheme="minorEastAsia" w:hAnsi="Times New Roman" w:cs="Times New Roman"/>
          <w:color w:val="000000" w:themeColor="text1"/>
          <w:sz w:val="21"/>
          <w:szCs w:val="21"/>
        </w:rPr>
      </w:pPr>
      <w:bookmarkStart w:id="1" w:name="_Toc245193810"/>
      <w:r w:rsidRPr="00D97CD7">
        <w:rPr>
          <w:rFonts w:ascii="Times New Roman" w:eastAsiaTheme="minorEastAsia" w:hAnsi="Times New Roman" w:cs="Times New Roman"/>
          <w:color w:val="000000" w:themeColor="text1"/>
          <w:sz w:val="21"/>
          <w:szCs w:val="21"/>
        </w:rPr>
        <w:t>2.1</w:t>
      </w:r>
      <w:r w:rsidRPr="00D97CD7">
        <w:rPr>
          <w:rFonts w:ascii="Times New Roman" w:eastAsiaTheme="minorEastAsia" w:hAnsi="Times New Roman" w:cs="Times New Roman"/>
          <w:color w:val="000000" w:themeColor="text1"/>
          <w:sz w:val="21"/>
          <w:szCs w:val="21"/>
        </w:rPr>
        <w:t>基金产品概况</w:t>
      </w:r>
      <w:bookmarkEnd w:id="1"/>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基金简称</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上投摩根</w:t>
            </w:r>
            <w:r w:rsidRPr="00D97CD7">
              <w:rPr>
                <w:rFonts w:eastAsiaTheme="minorEastAsia"/>
                <w:color w:val="000000" w:themeColor="text1"/>
                <w:kern w:val="0"/>
                <w:szCs w:val="21"/>
              </w:rPr>
              <w:t>MSCI</w:t>
            </w:r>
            <w:r w:rsidRPr="00D97CD7">
              <w:rPr>
                <w:rFonts w:eastAsiaTheme="minorEastAsia"/>
                <w:color w:val="000000" w:themeColor="text1"/>
                <w:kern w:val="0"/>
                <w:szCs w:val="21"/>
              </w:rPr>
              <w:t>中国</w:t>
            </w:r>
            <w:r w:rsidRPr="00D97CD7">
              <w:rPr>
                <w:rFonts w:eastAsiaTheme="minorEastAsia"/>
                <w:color w:val="000000" w:themeColor="text1"/>
                <w:kern w:val="0"/>
                <w:szCs w:val="21"/>
              </w:rPr>
              <w:t>A</w:t>
            </w:r>
            <w:r w:rsidRPr="00D97CD7">
              <w:rPr>
                <w:rFonts w:eastAsiaTheme="minorEastAsia"/>
                <w:color w:val="000000" w:themeColor="text1"/>
                <w:kern w:val="0"/>
                <w:szCs w:val="21"/>
              </w:rPr>
              <w:t>股</w:t>
            </w:r>
            <w:r w:rsidRPr="00D97CD7">
              <w:rPr>
                <w:rFonts w:eastAsiaTheme="minorEastAsia"/>
                <w:color w:val="000000" w:themeColor="text1"/>
                <w:kern w:val="0"/>
                <w:szCs w:val="21"/>
              </w:rPr>
              <w:t>ETF</w:t>
            </w:r>
            <w:r w:rsidRPr="00D97CD7">
              <w:rPr>
                <w:rFonts w:eastAsiaTheme="minorEastAsia"/>
                <w:color w:val="000000" w:themeColor="text1"/>
                <w:kern w:val="0"/>
                <w:szCs w:val="21"/>
              </w:rPr>
              <w:t>联接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基金主代码</w:t>
            </w:r>
          </w:p>
        </w:tc>
        <w:tc>
          <w:tcPr>
            <w:tcW w:w="5479" w:type="dxa"/>
            <w:gridSpan w:val="2"/>
            <w:tcBorders>
              <w:bottom w:val="single" w:sz="4" w:space="0" w:color="auto"/>
            </w:tcBorders>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008944</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基金运作方式</w:t>
            </w:r>
          </w:p>
        </w:tc>
        <w:tc>
          <w:tcPr>
            <w:tcW w:w="5479" w:type="dxa"/>
            <w:gridSpan w:val="2"/>
            <w:tcBorders>
              <w:top w:val="single" w:sz="4" w:space="0" w:color="auto"/>
            </w:tcBorders>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契约型开放式</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基金合同生效日</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2020</w:t>
            </w:r>
            <w:r w:rsidRPr="00D97CD7">
              <w:rPr>
                <w:rFonts w:eastAsiaTheme="minorEastAsia"/>
                <w:color w:val="000000" w:themeColor="text1"/>
                <w:kern w:val="0"/>
                <w:szCs w:val="21"/>
              </w:rPr>
              <w:t>年</w:t>
            </w:r>
            <w:r w:rsidRPr="00D97CD7">
              <w:rPr>
                <w:rFonts w:eastAsiaTheme="minorEastAsia"/>
                <w:color w:val="000000" w:themeColor="text1"/>
                <w:kern w:val="0"/>
                <w:szCs w:val="21"/>
              </w:rPr>
              <w:t>7</w:t>
            </w:r>
            <w:r w:rsidRPr="00D97CD7">
              <w:rPr>
                <w:rFonts w:eastAsiaTheme="minorEastAsia"/>
                <w:color w:val="000000" w:themeColor="text1"/>
                <w:kern w:val="0"/>
                <w:szCs w:val="21"/>
              </w:rPr>
              <w:t>月</w:t>
            </w:r>
            <w:r w:rsidRPr="00D97CD7">
              <w:rPr>
                <w:rFonts w:eastAsiaTheme="minorEastAsia"/>
                <w:color w:val="000000" w:themeColor="text1"/>
                <w:kern w:val="0"/>
                <w:szCs w:val="21"/>
              </w:rPr>
              <w:t>22</w:t>
            </w:r>
            <w:r w:rsidRPr="00D97CD7">
              <w:rPr>
                <w:rFonts w:eastAsiaTheme="minorEastAsia"/>
                <w:color w:val="000000" w:themeColor="text1"/>
                <w:kern w:val="0"/>
                <w:szCs w:val="21"/>
              </w:rPr>
              <w:t>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报告期末基金份额总额</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45,142,090.74</w:t>
            </w:r>
            <w:r w:rsidRPr="00D97CD7">
              <w:rPr>
                <w:rFonts w:eastAsiaTheme="minorEastAsia"/>
                <w:color w:val="000000" w:themeColor="text1"/>
                <w:kern w:val="0"/>
                <w:szCs w:val="21"/>
              </w:rPr>
              <w:t>份</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投资目标</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通过对目标</w:t>
            </w:r>
            <w:r w:rsidRPr="00D97CD7">
              <w:rPr>
                <w:rFonts w:eastAsiaTheme="minorEastAsia"/>
                <w:color w:val="000000" w:themeColor="text1"/>
                <w:kern w:val="0"/>
                <w:szCs w:val="21"/>
              </w:rPr>
              <w:t>ETF</w:t>
            </w:r>
            <w:r w:rsidRPr="00D97CD7">
              <w:rPr>
                <w:rFonts w:eastAsiaTheme="minorEastAsia"/>
                <w:color w:val="000000" w:themeColor="text1"/>
                <w:kern w:val="0"/>
                <w:szCs w:val="21"/>
              </w:rPr>
              <w:t>基金份额的投资，追求跟踪标的指数，获得与指数收益相似的回报。</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投资策略</w:t>
            </w:r>
          </w:p>
        </w:tc>
        <w:tc>
          <w:tcPr>
            <w:tcW w:w="5479" w:type="dxa"/>
            <w:gridSpan w:val="2"/>
          </w:tcPr>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本基金为上投摩根</w:t>
            </w:r>
            <w:r>
              <w:rPr>
                <w:rFonts w:eastAsiaTheme="minorEastAsia"/>
                <w:color w:val="000000" w:themeColor="text1"/>
                <w:kern w:val="0"/>
                <w:szCs w:val="21"/>
              </w:rPr>
              <w:t>MSCI</w:t>
            </w:r>
            <w:r>
              <w:rPr>
                <w:rFonts w:eastAsiaTheme="minorEastAsia"/>
                <w:color w:val="000000" w:themeColor="text1"/>
                <w:kern w:val="0"/>
                <w:szCs w:val="21"/>
              </w:rPr>
              <w:t>中国</w:t>
            </w:r>
            <w:r>
              <w:rPr>
                <w:rFonts w:eastAsiaTheme="minorEastAsia"/>
                <w:color w:val="000000" w:themeColor="text1"/>
                <w:kern w:val="0"/>
                <w:szCs w:val="21"/>
              </w:rPr>
              <w:t>A</w:t>
            </w:r>
            <w:r>
              <w:rPr>
                <w:rFonts w:eastAsiaTheme="minorEastAsia"/>
                <w:color w:val="000000" w:themeColor="text1"/>
                <w:kern w:val="0"/>
                <w:szCs w:val="21"/>
              </w:rPr>
              <w:t>股交易型开放式指数证券投资基金的联接基金，通过将基金资产主要投资于目标</w:t>
            </w:r>
            <w:r>
              <w:rPr>
                <w:rFonts w:eastAsiaTheme="minorEastAsia"/>
                <w:color w:val="000000" w:themeColor="text1"/>
                <w:kern w:val="0"/>
                <w:szCs w:val="21"/>
              </w:rPr>
              <w:t>ETF</w:t>
            </w:r>
            <w:r>
              <w:rPr>
                <w:rFonts w:eastAsiaTheme="minorEastAsia"/>
                <w:color w:val="000000" w:themeColor="text1"/>
                <w:kern w:val="0"/>
                <w:szCs w:val="21"/>
              </w:rPr>
              <w:t>基金份额，以实现对标的指数的跟踪。本基金力争日均跟踪偏离度的绝对值不超过</w:t>
            </w:r>
            <w:r>
              <w:rPr>
                <w:rFonts w:eastAsiaTheme="minorEastAsia"/>
                <w:color w:val="000000" w:themeColor="text1"/>
                <w:kern w:val="0"/>
                <w:szCs w:val="21"/>
              </w:rPr>
              <w:t>0.35%</w:t>
            </w:r>
            <w:r>
              <w:rPr>
                <w:rFonts w:eastAsiaTheme="minorEastAsia"/>
                <w:color w:val="000000" w:themeColor="text1"/>
                <w:kern w:val="0"/>
                <w:szCs w:val="21"/>
              </w:rPr>
              <w:t>，年跟踪误差不超过</w:t>
            </w:r>
            <w:r>
              <w:rPr>
                <w:rFonts w:eastAsiaTheme="minorEastAsia"/>
                <w:color w:val="000000" w:themeColor="text1"/>
                <w:kern w:val="0"/>
                <w:szCs w:val="21"/>
              </w:rPr>
              <w:t>4%</w:t>
            </w:r>
            <w:r>
              <w:rPr>
                <w:rFonts w:eastAsiaTheme="minorEastAsia"/>
                <w:color w:val="000000" w:themeColor="text1"/>
                <w:kern w:val="0"/>
                <w:szCs w:val="21"/>
              </w:rPr>
              <w:t>。如因标的指数编制规则调整或其他因素导致跟踪误差超过上述范围，基金管理人应采取合理措施避免跟踪误差</w:t>
            </w:r>
            <w:r>
              <w:rPr>
                <w:rFonts w:eastAsiaTheme="minorEastAsia"/>
                <w:color w:val="000000" w:themeColor="text1"/>
                <w:kern w:val="0"/>
                <w:szCs w:val="21"/>
              </w:rPr>
              <w:lastRenderedPageBreak/>
              <w:t>进一步扩大。</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基金也可以通过买入标的指数成份股来跟踪标的指数。为了提高投资效率，基金还可以根据风险管理原则，少量投资于股指期货、股票期权和其他经中国证监会允许的衍生工具等。</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、目标</w:t>
            </w:r>
            <w:r>
              <w:rPr>
                <w:rFonts w:eastAsiaTheme="minorEastAsia"/>
                <w:color w:val="000000" w:themeColor="text1"/>
                <w:kern w:val="0"/>
                <w:szCs w:val="21"/>
              </w:rPr>
              <w:t>ETF</w:t>
            </w:r>
            <w:r>
              <w:rPr>
                <w:rFonts w:eastAsiaTheme="minorEastAsia"/>
                <w:color w:val="000000" w:themeColor="text1"/>
                <w:kern w:val="0"/>
                <w:szCs w:val="21"/>
              </w:rPr>
              <w:t>投资策略</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为了实现追踪误差最小化，本基金投资于目标</w:t>
            </w:r>
            <w:r>
              <w:rPr>
                <w:rFonts w:eastAsiaTheme="minorEastAsia"/>
                <w:color w:val="000000" w:themeColor="text1"/>
                <w:kern w:val="0"/>
                <w:szCs w:val="21"/>
              </w:rPr>
              <w:t>ETF</w:t>
            </w:r>
            <w:r>
              <w:rPr>
                <w:rFonts w:eastAsiaTheme="minorEastAsia"/>
                <w:color w:val="000000" w:themeColor="text1"/>
                <w:kern w:val="0"/>
                <w:szCs w:val="21"/>
              </w:rPr>
              <w:t>基金份额的比例不低于基金资产净值的</w:t>
            </w:r>
            <w:r>
              <w:rPr>
                <w:rFonts w:eastAsiaTheme="minorEastAsia"/>
                <w:color w:val="000000" w:themeColor="text1"/>
                <w:kern w:val="0"/>
                <w:szCs w:val="21"/>
              </w:rPr>
              <w:t>90%</w:t>
            </w:r>
            <w:r>
              <w:rPr>
                <w:rFonts w:eastAsiaTheme="minorEastAsia"/>
                <w:color w:val="000000" w:themeColor="text1"/>
                <w:kern w:val="0"/>
                <w:szCs w:val="21"/>
              </w:rPr>
              <w:t>。本基金主要通过申购、赎回或二级市场买卖的方式投资于目标</w:t>
            </w:r>
            <w:r>
              <w:rPr>
                <w:rFonts w:eastAsiaTheme="minorEastAsia"/>
                <w:color w:val="000000" w:themeColor="text1"/>
                <w:kern w:val="0"/>
                <w:szCs w:val="21"/>
              </w:rPr>
              <w:t>ETF</w:t>
            </w:r>
            <w:r>
              <w:rPr>
                <w:rFonts w:eastAsiaTheme="minorEastAsia"/>
                <w:color w:val="000000" w:themeColor="text1"/>
                <w:kern w:val="0"/>
                <w:szCs w:val="21"/>
              </w:rPr>
              <w:t>。当目标</w:t>
            </w:r>
            <w:r>
              <w:rPr>
                <w:rFonts w:eastAsiaTheme="minorEastAsia"/>
                <w:color w:val="000000" w:themeColor="text1"/>
                <w:kern w:val="0"/>
                <w:szCs w:val="21"/>
              </w:rPr>
              <w:t>ETF</w:t>
            </w:r>
            <w:r>
              <w:rPr>
                <w:rFonts w:eastAsiaTheme="minorEastAsia"/>
                <w:color w:val="000000" w:themeColor="text1"/>
                <w:kern w:val="0"/>
                <w:szCs w:val="21"/>
              </w:rPr>
              <w:t>申购、赎回或交易模式进行了变更或调整，本基金也将作相应的变更或调整，无须召开基金份额持有人大会。本基金在综合考虑合规、风险、效率、成本等因素的基础上，决定采用申赎的方式或二级市场交易的方式进行目标</w:t>
            </w:r>
            <w:r>
              <w:rPr>
                <w:rFonts w:eastAsiaTheme="minorEastAsia"/>
                <w:color w:val="000000" w:themeColor="text1"/>
                <w:kern w:val="0"/>
                <w:szCs w:val="21"/>
              </w:rPr>
              <w:t>ETF</w:t>
            </w:r>
            <w:r>
              <w:rPr>
                <w:rFonts w:eastAsiaTheme="minorEastAsia"/>
                <w:color w:val="000000" w:themeColor="text1"/>
                <w:kern w:val="0"/>
                <w:szCs w:val="21"/>
              </w:rPr>
              <w:t>的买卖。本基金还可适度参与目标</w:t>
            </w:r>
            <w:r>
              <w:rPr>
                <w:rFonts w:eastAsiaTheme="minorEastAsia"/>
                <w:color w:val="000000" w:themeColor="text1"/>
                <w:kern w:val="0"/>
                <w:szCs w:val="21"/>
              </w:rPr>
              <w:t>ETF</w:t>
            </w:r>
            <w:r>
              <w:rPr>
                <w:rFonts w:eastAsiaTheme="minorEastAsia"/>
                <w:color w:val="000000" w:themeColor="text1"/>
                <w:kern w:val="0"/>
                <w:szCs w:val="21"/>
              </w:rPr>
              <w:t>基金份额交易和申购、赎回之间的套利，以增强基金收益。</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本基金可以基金资产特殊申购目标</w:t>
            </w:r>
            <w:r>
              <w:rPr>
                <w:rFonts w:eastAsiaTheme="minorEastAsia"/>
                <w:color w:val="000000" w:themeColor="text1"/>
                <w:kern w:val="0"/>
                <w:szCs w:val="21"/>
              </w:rPr>
              <w:t>ET</w:t>
            </w:r>
            <w:r>
              <w:rPr>
                <w:rFonts w:eastAsiaTheme="minorEastAsia"/>
                <w:color w:val="000000" w:themeColor="text1"/>
                <w:kern w:val="0"/>
                <w:szCs w:val="21"/>
              </w:rPr>
              <w:t>F</w:t>
            </w:r>
            <w:r>
              <w:rPr>
                <w:rFonts w:eastAsiaTheme="minorEastAsia"/>
                <w:color w:val="000000" w:themeColor="text1"/>
                <w:kern w:val="0"/>
                <w:szCs w:val="21"/>
              </w:rPr>
              <w:t>份额，以进行基金建仓。</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为更好地跟踪标的指数，本基金也可以通过被动指数化的方法买入标的指数成份股，根据成份股在标的指数中的基准权重构建组合，对于因法规限制、流动性限制而无法交易的成份股，将采用与被限制股预期收益率相近的股票或股票组合进行相应的替代。</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、金融衍生品投资策略</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本基金将根据风险管理的原则，主要选择流动性好、交易活跃的衍生品合约，力争利用金融衍生品提高投资效率，降低交易成本和跟踪误差。</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在保证基金资产流动性的基础上，使基金资产得到更加合</w:t>
            </w:r>
            <w:r>
              <w:rPr>
                <w:rFonts w:eastAsiaTheme="minorEastAsia"/>
                <w:color w:val="000000" w:themeColor="text1"/>
                <w:kern w:val="0"/>
                <w:szCs w:val="21"/>
              </w:rPr>
              <w:lastRenderedPageBreak/>
              <w:t>理有效的利用，从而提高投</w:t>
            </w:r>
            <w:r>
              <w:rPr>
                <w:rFonts w:eastAsiaTheme="minorEastAsia"/>
                <w:color w:val="000000" w:themeColor="text1"/>
                <w:kern w:val="0"/>
                <w:szCs w:val="21"/>
              </w:rPr>
              <w:t>资组合收益。</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、资产支持证券投资策略</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综合考虑市场利率、发行条款、支持资产的构成及质量等因素，对资产支持证券的风险与收益状况进行评估，在严格控制风险的情况下，确定资产合理配置比例。</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、融资及转融通证券出借策略</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参与融资业务，将综合考虑融资成本、保证金比例、冲抵保证金证券折算率、信用资质等条件，选择合适的交易对手方。同时，在保障投资组合流动性以及控制融资杠杆风险的前提下，确定融资比例。转融通证券出借策略按照分散化投资原则，分批、分期进行交易。</w:t>
            </w:r>
          </w:p>
          <w:p w:rsidR="003F295B" w:rsidRDefault="00C71A1A">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lastRenderedPageBreak/>
              <w:t>业绩比较基准</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MSCI</w:t>
            </w:r>
            <w:r w:rsidRPr="00D97CD7">
              <w:rPr>
                <w:rFonts w:eastAsiaTheme="minorEastAsia"/>
                <w:color w:val="000000" w:themeColor="text1"/>
                <w:kern w:val="0"/>
                <w:szCs w:val="21"/>
              </w:rPr>
              <w:t>中国</w:t>
            </w:r>
            <w:r w:rsidRPr="00D97CD7">
              <w:rPr>
                <w:rFonts w:eastAsiaTheme="minorEastAsia"/>
                <w:color w:val="000000" w:themeColor="text1"/>
                <w:kern w:val="0"/>
                <w:szCs w:val="21"/>
              </w:rPr>
              <w:t>A</w:t>
            </w:r>
            <w:r w:rsidRPr="00D97CD7">
              <w:rPr>
                <w:rFonts w:eastAsiaTheme="minorEastAsia"/>
                <w:color w:val="000000" w:themeColor="text1"/>
                <w:kern w:val="0"/>
                <w:szCs w:val="21"/>
              </w:rPr>
              <w:t>股人民币指数收益率</w:t>
            </w:r>
            <w:r w:rsidRPr="00D97CD7">
              <w:rPr>
                <w:rFonts w:eastAsiaTheme="minorEastAsia"/>
                <w:color w:val="000000" w:themeColor="text1"/>
                <w:kern w:val="0"/>
                <w:szCs w:val="21"/>
              </w:rPr>
              <w:t>×95%</w:t>
            </w:r>
            <w:r w:rsidRPr="00D97CD7">
              <w:rPr>
                <w:rFonts w:eastAsiaTheme="minorEastAsia"/>
                <w:color w:val="000000" w:themeColor="text1"/>
                <w:kern w:val="0"/>
                <w:szCs w:val="21"/>
              </w:rPr>
              <w:t>＋活期存款利率（税后）</w:t>
            </w:r>
            <w:r w:rsidRPr="00D97CD7">
              <w:rPr>
                <w:rFonts w:eastAsiaTheme="minorEastAsia"/>
                <w:color w:val="000000" w:themeColor="text1"/>
                <w:kern w:val="0"/>
                <w:szCs w:val="21"/>
              </w:rPr>
              <w:t>×5%</w:t>
            </w:r>
            <w:r w:rsidRPr="00D97CD7">
              <w:rPr>
                <w:rFonts w:eastAsiaTheme="minorEastAsia"/>
                <w:color w:val="000000" w:themeColor="text1"/>
                <w:kern w:val="0"/>
                <w:szCs w:val="21"/>
              </w:rPr>
              <w:t>。</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风险收益特征</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本基金为</w:t>
            </w:r>
            <w:r w:rsidRPr="00D97CD7">
              <w:rPr>
                <w:rFonts w:eastAsiaTheme="minorEastAsia"/>
                <w:color w:val="000000" w:themeColor="text1"/>
                <w:kern w:val="0"/>
                <w:szCs w:val="21"/>
              </w:rPr>
              <w:t>ETF</w:t>
            </w:r>
            <w:r w:rsidRPr="00D97CD7">
              <w:rPr>
                <w:rFonts w:eastAsiaTheme="minorEastAsia"/>
                <w:color w:val="000000" w:themeColor="text1"/>
                <w:kern w:val="0"/>
                <w:szCs w:val="21"/>
              </w:rPr>
              <w:t>联接基金，具有与目标</w:t>
            </w:r>
            <w:r w:rsidRPr="00D97CD7">
              <w:rPr>
                <w:rFonts w:eastAsiaTheme="minorEastAsia"/>
                <w:color w:val="000000" w:themeColor="text1"/>
                <w:kern w:val="0"/>
                <w:szCs w:val="21"/>
              </w:rPr>
              <w:t>ETF</w:t>
            </w:r>
            <w:r w:rsidRPr="00D97CD7">
              <w:rPr>
                <w:rFonts w:eastAsiaTheme="minorEastAsia"/>
                <w:color w:val="000000" w:themeColor="text1"/>
                <w:kern w:val="0"/>
                <w:szCs w:val="21"/>
              </w:rPr>
              <w:t>相似的风险收益特征。目标</w:t>
            </w:r>
            <w:r w:rsidRPr="00D97CD7">
              <w:rPr>
                <w:rFonts w:eastAsiaTheme="minorEastAsia"/>
                <w:color w:val="000000" w:themeColor="text1"/>
                <w:kern w:val="0"/>
                <w:szCs w:val="21"/>
              </w:rPr>
              <w:t>ETF</w:t>
            </w:r>
            <w:r w:rsidRPr="00D97CD7">
              <w:rPr>
                <w:rFonts w:eastAsiaTheme="minorEastAsia"/>
                <w:color w:val="000000" w:themeColor="text1"/>
                <w:kern w:val="0"/>
                <w:szCs w:val="21"/>
              </w:rPr>
              <w:t>为股票型指数基金，因此本基金的预期风险和预期收益高于货币市场基金、债券型基金和混合型基金，且具有与标的指数以及标的指数所代表的股票市场相似的风险收益特征。</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基金管理人</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上投摩根基金管理有限公司</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基金托管人</w:t>
            </w:r>
          </w:p>
        </w:tc>
        <w:tc>
          <w:tcPr>
            <w:tcW w:w="5479" w:type="dxa"/>
            <w:gridSpan w:val="2"/>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kern w:val="0"/>
                <w:szCs w:val="21"/>
              </w:rPr>
              <w:t>平安银行股份有限公司</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szCs w:val="21"/>
              </w:rPr>
              <w:t>下属分级基金的基金简称</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下属分级基金的交易代码</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008944</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008945</w:t>
            </w:r>
          </w:p>
        </w:tc>
      </w:tr>
      <w:tr w:rsidR="00DB3887" w:rsidRPr="00D97CD7">
        <w:tc>
          <w:tcPr>
            <w:tcW w:w="2835" w:type="dxa"/>
          </w:tcPr>
          <w:p w:rsidR="00DB3887" w:rsidRPr="00D97CD7" w:rsidRDefault="00FC6961">
            <w:pPr>
              <w:adjustRightInd w:val="0"/>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报告期末下属分级基金的份额总额</w:t>
            </w:r>
          </w:p>
        </w:tc>
        <w:tc>
          <w:tcPr>
            <w:tcW w:w="2739"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33,220,244.61</w:t>
            </w:r>
            <w:r w:rsidRPr="00D97CD7">
              <w:rPr>
                <w:rFonts w:eastAsiaTheme="minorEastAsia"/>
                <w:color w:val="000000" w:themeColor="text1"/>
                <w:kern w:val="0"/>
                <w:szCs w:val="21"/>
              </w:rPr>
              <w:t>份</w:t>
            </w:r>
          </w:p>
        </w:tc>
        <w:tc>
          <w:tcPr>
            <w:tcW w:w="2740"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11,921,846.13</w:t>
            </w:r>
            <w:r w:rsidRPr="00D97CD7">
              <w:rPr>
                <w:rFonts w:eastAsiaTheme="minorEastAsia"/>
                <w:color w:val="000000" w:themeColor="text1"/>
                <w:kern w:val="0"/>
                <w:szCs w:val="21"/>
              </w:rPr>
              <w:t>份</w:t>
            </w:r>
          </w:p>
        </w:tc>
      </w:tr>
    </w:tbl>
    <w:p w:rsidR="00DB3887" w:rsidRPr="00D97CD7" w:rsidRDefault="00FC6961">
      <w:pPr>
        <w:pStyle w:val="2"/>
        <w:keepNext w:val="0"/>
        <w:keepLines w:val="0"/>
        <w:spacing w:beforeLines="100" w:before="312" w:after="0"/>
        <w:rPr>
          <w:rFonts w:ascii="Times New Roman" w:eastAsiaTheme="minorEastAsia" w:hAnsi="Times New Roman" w:cs="Times New Roman"/>
          <w:color w:val="000000" w:themeColor="text1"/>
          <w:sz w:val="21"/>
          <w:szCs w:val="21"/>
        </w:rPr>
      </w:pPr>
      <w:r w:rsidRPr="00D97CD7">
        <w:rPr>
          <w:rFonts w:ascii="Times New Roman" w:eastAsiaTheme="minorEastAsia" w:hAnsi="Times New Roman" w:cs="Times New Roman"/>
          <w:color w:val="000000" w:themeColor="text1"/>
          <w:sz w:val="21"/>
          <w:szCs w:val="21"/>
        </w:rPr>
        <w:lastRenderedPageBreak/>
        <w:t>2.1.1</w:t>
      </w:r>
      <w:r w:rsidRPr="00D97CD7">
        <w:rPr>
          <w:rFonts w:ascii="Times New Roman" w:eastAsiaTheme="minorEastAsia" w:hAnsi="Times New Roman" w:cs="Times New Roman"/>
          <w:color w:val="000000" w:themeColor="text1"/>
          <w:sz w:val="21"/>
          <w:szCs w:val="21"/>
        </w:rPr>
        <w:t>目标基金基本情况</w:t>
      </w:r>
    </w:p>
    <w:tbl>
      <w:tblPr>
        <w:tblW w:w="8460" w:type="dxa"/>
        <w:tblInd w:w="108" w:type="dxa"/>
        <w:tblLayout w:type="fixed"/>
        <w:tblLook w:val="04A0" w:firstRow="1" w:lastRow="0" w:firstColumn="1" w:lastColumn="0" w:noHBand="0" w:noVBand="1"/>
      </w:tblPr>
      <w:tblGrid>
        <w:gridCol w:w="2724"/>
        <w:gridCol w:w="5736"/>
      </w:tblGrid>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515770</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交易型开放式</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2020</w:t>
            </w:r>
            <w:r w:rsidRPr="00D97CD7">
              <w:rPr>
                <w:rFonts w:eastAsiaTheme="minorEastAsia"/>
                <w:color w:val="000000" w:themeColor="text1"/>
                <w:szCs w:val="21"/>
              </w:rPr>
              <w:t>年</w:t>
            </w:r>
            <w:r w:rsidRPr="00D97CD7">
              <w:rPr>
                <w:rFonts w:eastAsiaTheme="minorEastAsia"/>
                <w:color w:val="000000" w:themeColor="text1"/>
                <w:szCs w:val="21"/>
              </w:rPr>
              <w:t>5</w:t>
            </w:r>
            <w:r w:rsidRPr="00D97CD7">
              <w:rPr>
                <w:rFonts w:eastAsiaTheme="minorEastAsia"/>
                <w:color w:val="000000" w:themeColor="text1"/>
                <w:szCs w:val="21"/>
              </w:rPr>
              <w:t>月</w:t>
            </w:r>
            <w:r w:rsidRPr="00D97CD7">
              <w:rPr>
                <w:rFonts w:eastAsiaTheme="minorEastAsia"/>
                <w:color w:val="000000" w:themeColor="text1"/>
                <w:szCs w:val="21"/>
              </w:rPr>
              <w:t>13</w:t>
            </w:r>
            <w:r w:rsidRPr="00D97CD7">
              <w:rPr>
                <w:rFonts w:eastAsiaTheme="minorEastAsia"/>
                <w:color w:val="000000" w:themeColor="text1"/>
                <w:szCs w:val="21"/>
              </w:rPr>
              <w:t>日</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上海证券交易所</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2020</w:t>
            </w:r>
            <w:r w:rsidRPr="00D97CD7">
              <w:rPr>
                <w:rFonts w:eastAsiaTheme="minorEastAsia"/>
                <w:color w:val="000000" w:themeColor="text1"/>
                <w:szCs w:val="21"/>
              </w:rPr>
              <w:t>年</w:t>
            </w:r>
            <w:r w:rsidRPr="00D97CD7">
              <w:rPr>
                <w:rFonts w:eastAsiaTheme="minorEastAsia"/>
                <w:color w:val="000000" w:themeColor="text1"/>
                <w:szCs w:val="21"/>
              </w:rPr>
              <w:t>6</w:t>
            </w:r>
            <w:r w:rsidRPr="00D97CD7">
              <w:rPr>
                <w:rFonts w:eastAsiaTheme="minorEastAsia"/>
                <w:color w:val="000000" w:themeColor="text1"/>
                <w:szCs w:val="21"/>
              </w:rPr>
              <w:t>月</w:t>
            </w:r>
            <w:r w:rsidRPr="00D97CD7">
              <w:rPr>
                <w:rFonts w:eastAsiaTheme="minorEastAsia"/>
                <w:color w:val="000000" w:themeColor="text1"/>
                <w:szCs w:val="21"/>
              </w:rPr>
              <w:t>19</w:t>
            </w:r>
            <w:r w:rsidRPr="00D97CD7">
              <w:rPr>
                <w:rFonts w:eastAsiaTheme="minorEastAsia"/>
                <w:color w:val="000000" w:themeColor="text1"/>
                <w:szCs w:val="21"/>
              </w:rPr>
              <w:t>日</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上投摩根基金管理有限公司</w:t>
            </w:r>
          </w:p>
        </w:tc>
      </w:tr>
      <w:tr w:rsidR="00DB3887" w:rsidRPr="00D97CD7">
        <w:tc>
          <w:tcPr>
            <w:tcW w:w="2724"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平安银行股份有限公司</w:t>
            </w:r>
          </w:p>
        </w:tc>
      </w:tr>
    </w:tbl>
    <w:p w:rsidR="00DB3887" w:rsidRPr="00D97CD7" w:rsidRDefault="00FC6961">
      <w:pPr>
        <w:pStyle w:val="2"/>
        <w:keepNext w:val="0"/>
        <w:keepLines w:val="0"/>
        <w:spacing w:beforeLines="100" w:before="312" w:after="0"/>
        <w:rPr>
          <w:rFonts w:ascii="Times New Roman" w:eastAsiaTheme="minorEastAsia" w:hAnsi="Times New Roman" w:cs="Times New Roman"/>
          <w:color w:val="000000" w:themeColor="text1"/>
          <w:sz w:val="21"/>
          <w:szCs w:val="21"/>
        </w:rPr>
      </w:pPr>
      <w:r w:rsidRPr="00D97CD7">
        <w:rPr>
          <w:rFonts w:ascii="Times New Roman" w:eastAsiaTheme="minorEastAsia" w:hAnsi="Times New Roman" w:cs="Times New Roman"/>
          <w:color w:val="000000" w:themeColor="text1"/>
          <w:sz w:val="21"/>
          <w:szCs w:val="21"/>
        </w:rPr>
        <w:t>2.1.2</w:t>
      </w:r>
      <w:r w:rsidRPr="00D97CD7">
        <w:rPr>
          <w:rFonts w:ascii="Times New Roman" w:eastAsiaTheme="minorEastAsia" w:hAnsi="Times New Roman" w:cs="Times New Roman"/>
          <w:color w:val="000000" w:themeColor="text1"/>
          <w:sz w:val="21"/>
          <w:szCs w:val="21"/>
        </w:rPr>
        <w:t>目标基金产品说明</w:t>
      </w:r>
    </w:p>
    <w:tbl>
      <w:tblPr>
        <w:tblW w:w="8460" w:type="dxa"/>
        <w:tblInd w:w="108" w:type="dxa"/>
        <w:tblLayout w:type="fixed"/>
        <w:tblLook w:val="04A0" w:firstRow="1" w:lastRow="0" w:firstColumn="1" w:lastColumn="0" w:noHBand="0" w:noVBand="1"/>
      </w:tblPr>
      <w:tblGrid>
        <w:gridCol w:w="2820"/>
        <w:gridCol w:w="5640"/>
      </w:tblGrid>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本基金进行被动式指数化投资，紧密跟踪标的指数，追求跟踪偏离度和跟踪误差最小化。</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本基金的业绩比较基准为标的指数，即</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股人民币指数收益率。</w:t>
            </w:r>
          </w:p>
        </w:tc>
      </w:tr>
      <w:tr w:rsidR="00DB3887" w:rsidRPr="00D97CD7">
        <w:tc>
          <w:tcPr>
            <w:tcW w:w="282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本基金为股票型指数基金，其预期风险和预期收益高于货币市场基金、债券型基金和混合型基金。本基金主要投资于标的指数成份股及备选成份股，具有与标的指数相似的风险收益特征。</w:t>
            </w:r>
          </w:p>
        </w:tc>
      </w:tr>
    </w:tbl>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§3  </w:t>
      </w:r>
      <w:r w:rsidRPr="00D97CD7">
        <w:rPr>
          <w:rFonts w:eastAsiaTheme="minorEastAsia"/>
          <w:color w:val="000000" w:themeColor="text1"/>
          <w:kern w:val="0"/>
          <w:sz w:val="21"/>
          <w:szCs w:val="21"/>
        </w:rPr>
        <w:t>主要财务指标和基金净值表现</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3.1 </w:t>
      </w:r>
      <w:r w:rsidRPr="00D97CD7">
        <w:rPr>
          <w:rFonts w:eastAsiaTheme="minorEastAsia"/>
          <w:b/>
          <w:color w:val="000000" w:themeColor="text1"/>
          <w:kern w:val="0"/>
          <w:szCs w:val="21"/>
        </w:rPr>
        <w:t>主要财务指标</w:t>
      </w:r>
    </w:p>
    <w:p w:rsidR="00DB3887" w:rsidRPr="00D97CD7" w:rsidRDefault="00FC6961">
      <w:pPr>
        <w:autoSpaceDE w:val="0"/>
        <w:autoSpaceDN w:val="0"/>
        <w:adjustRightInd w:val="0"/>
        <w:spacing w:before="29" w:line="288" w:lineRule="auto"/>
        <w:ind w:left="15" w:right="480"/>
        <w:jc w:val="right"/>
        <w:rPr>
          <w:rFonts w:eastAsiaTheme="minorEastAsia"/>
          <w:color w:val="000000" w:themeColor="text1"/>
          <w:kern w:val="0"/>
          <w:szCs w:val="21"/>
        </w:rPr>
      </w:pPr>
      <w:r w:rsidRPr="00D97CD7">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DB3887" w:rsidRPr="00D97CD7">
        <w:tc>
          <w:tcPr>
            <w:tcW w:w="3402" w:type="dxa"/>
            <w:vMerge w:val="restart"/>
            <w:vAlign w:val="center"/>
          </w:tcPr>
          <w:p w:rsidR="00DB3887" w:rsidRPr="00D97CD7" w:rsidRDefault="00FC6961">
            <w:pPr>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主要财务指标</w:t>
            </w:r>
          </w:p>
        </w:tc>
        <w:tc>
          <w:tcPr>
            <w:tcW w:w="4962" w:type="dxa"/>
            <w:gridSpan w:val="2"/>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报告期</w:t>
            </w:r>
          </w:p>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(2021</w:t>
            </w:r>
            <w:r w:rsidRPr="00D97CD7">
              <w:rPr>
                <w:rFonts w:eastAsiaTheme="minorEastAsia"/>
                <w:color w:val="000000" w:themeColor="text1"/>
                <w:szCs w:val="21"/>
              </w:rPr>
              <w:t>年</w:t>
            </w:r>
            <w:r w:rsidRPr="00D97CD7">
              <w:rPr>
                <w:rFonts w:eastAsiaTheme="minorEastAsia"/>
                <w:color w:val="000000" w:themeColor="text1"/>
                <w:szCs w:val="21"/>
              </w:rPr>
              <w:t>10</w:t>
            </w:r>
            <w:r w:rsidRPr="00D97CD7">
              <w:rPr>
                <w:rFonts w:eastAsiaTheme="minorEastAsia"/>
                <w:color w:val="000000" w:themeColor="text1"/>
                <w:szCs w:val="21"/>
              </w:rPr>
              <w:t>月</w:t>
            </w:r>
            <w:r w:rsidRPr="00D97CD7">
              <w:rPr>
                <w:rFonts w:eastAsiaTheme="minorEastAsia"/>
                <w:color w:val="000000" w:themeColor="text1"/>
                <w:szCs w:val="21"/>
              </w:rPr>
              <w:t>1</w:t>
            </w:r>
            <w:r w:rsidRPr="00D97CD7">
              <w:rPr>
                <w:rFonts w:eastAsiaTheme="minorEastAsia"/>
                <w:color w:val="000000" w:themeColor="text1"/>
                <w:szCs w:val="21"/>
              </w:rPr>
              <w:t>日</w:t>
            </w:r>
            <w:r w:rsidRPr="00D97CD7">
              <w:rPr>
                <w:rFonts w:eastAsiaTheme="minorEastAsia"/>
                <w:color w:val="000000" w:themeColor="text1"/>
                <w:szCs w:val="21"/>
              </w:rPr>
              <w:t>-2021</w:t>
            </w:r>
            <w:r w:rsidRPr="00D97CD7">
              <w:rPr>
                <w:rFonts w:eastAsiaTheme="minorEastAsia"/>
                <w:color w:val="000000" w:themeColor="text1"/>
                <w:szCs w:val="21"/>
              </w:rPr>
              <w:t>年</w:t>
            </w:r>
            <w:r w:rsidRPr="00D97CD7">
              <w:rPr>
                <w:rFonts w:eastAsiaTheme="minorEastAsia"/>
                <w:color w:val="000000" w:themeColor="text1"/>
                <w:szCs w:val="21"/>
              </w:rPr>
              <w:t>12</w:t>
            </w:r>
            <w:r w:rsidRPr="00D97CD7">
              <w:rPr>
                <w:rFonts w:eastAsiaTheme="minorEastAsia"/>
                <w:color w:val="000000" w:themeColor="text1"/>
                <w:szCs w:val="21"/>
              </w:rPr>
              <w:t>月</w:t>
            </w:r>
            <w:r w:rsidRPr="00D97CD7">
              <w:rPr>
                <w:rFonts w:eastAsiaTheme="minorEastAsia"/>
                <w:color w:val="000000" w:themeColor="text1"/>
                <w:szCs w:val="21"/>
              </w:rPr>
              <w:t>31</w:t>
            </w:r>
            <w:r w:rsidRPr="00D97CD7">
              <w:rPr>
                <w:rFonts w:eastAsiaTheme="minorEastAsia"/>
                <w:color w:val="000000" w:themeColor="text1"/>
                <w:szCs w:val="21"/>
              </w:rPr>
              <w:t>日</w:t>
            </w:r>
            <w:r w:rsidRPr="00D97CD7">
              <w:rPr>
                <w:rFonts w:eastAsiaTheme="minorEastAsia"/>
                <w:color w:val="000000" w:themeColor="text1"/>
                <w:szCs w:val="21"/>
              </w:rPr>
              <w:t>)</w:t>
            </w:r>
          </w:p>
        </w:tc>
      </w:tr>
      <w:tr w:rsidR="00DB3887" w:rsidRPr="00D97CD7">
        <w:tc>
          <w:tcPr>
            <w:tcW w:w="3402" w:type="dxa"/>
            <w:vMerge/>
            <w:vAlign w:val="center"/>
          </w:tcPr>
          <w:p w:rsidR="00DB3887" w:rsidRPr="00D97CD7" w:rsidRDefault="00DB3887">
            <w:pPr>
              <w:adjustRightInd w:val="0"/>
              <w:spacing w:before="29" w:line="360" w:lineRule="auto"/>
              <w:ind w:left="17"/>
              <w:jc w:val="center"/>
              <w:rPr>
                <w:rFonts w:eastAsiaTheme="minorEastAsia"/>
                <w:color w:val="000000" w:themeColor="text1"/>
                <w:kern w:val="0"/>
                <w:szCs w:val="21"/>
              </w:rPr>
            </w:pPr>
          </w:p>
        </w:tc>
        <w:tc>
          <w:tcPr>
            <w:tcW w:w="2481" w:type="dxa"/>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lastRenderedPageBreak/>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481" w:type="dxa"/>
            <w:vAlign w:val="center"/>
          </w:tcPr>
          <w:p w:rsidR="00DB3887" w:rsidRPr="00D97CD7" w:rsidRDefault="00FC6961">
            <w:pPr>
              <w:adjustRightInd w:val="0"/>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lastRenderedPageBreak/>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lastRenderedPageBreak/>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lastRenderedPageBreak/>
              <w:t>1.</w:t>
            </w:r>
            <w:r w:rsidRPr="00D97CD7">
              <w:rPr>
                <w:rFonts w:eastAsiaTheme="minorEastAsia"/>
                <w:color w:val="000000" w:themeColor="text1"/>
                <w:kern w:val="0"/>
                <w:szCs w:val="21"/>
              </w:rPr>
              <w:t>本期已实现收益</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974,129.53</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363,955.99</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2.</w:t>
            </w:r>
            <w:r w:rsidRPr="00D97CD7">
              <w:rPr>
                <w:rFonts w:eastAsiaTheme="minorEastAsia"/>
                <w:color w:val="000000" w:themeColor="text1"/>
                <w:kern w:val="0"/>
                <w:szCs w:val="21"/>
              </w:rPr>
              <w:t>本期利润</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839,486.57</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319,478.82</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3.</w:t>
            </w:r>
            <w:r w:rsidRPr="00D97CD7">
              <w:rPr>
                <w:rFonts w:eastAsiaTheme="minorEastAsia"/>
                <w:color w:val="000000" w:themeColor="text1"/>
                <w:kern w:val="0"/>
                <w:szCs w:val="21"/>
              </w:rPr>
              <w:t>加权平均基金份额本期利润</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0.0229</w:t>
            </w:r>
          </w:p>
        </w:tc>
        <w:tc>
          <w:tcPr>
            <w:tcW w:w="2481" w:type="dxa"/>
            <w:vAlign w:val="bottom"/>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0.0229</w:t>
            </w:r>
          </w:p>
        </w:tc>
      </w:tr>
      <w:tr w:rsidR="00DB3887" w:rsidRPr="00D97CD7">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4.</w:t>
            </w:r>
            <w:r w:rsidRPr="00D97CD7">
              <w:rPr>
                <w:rFonts w:eastAsiaTheme="minorEastAsia"/>
                <w:color w:val="000000" w:themeColor="text1"/>
                <w:kern w:val="0"/>
                <w:szCs w:val="21"/>
              </w:rPr>
              <w:t>期末基金资产净值</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38,401,845.91</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13,761,664.82</w:t>
            </w:r>
          </w:p>
        </w:tc>
      </w:tr>
      <w:tr w:rsidR="00DB3887" w:rsidRPr="00D97CD7">
        <w:trPr>
          <w:trHeight w:val="158"/>
        </w:trPr>
        <w:tc>
          <w:tcPr>
            <w:tcW w:w="3402" w:type="dxa"/>
          </w:tcPr>
          <w:p w:rsidR="00DB3887" w:rsidRPr="00D97CD7" w:rsidRDefault="00FC6961">
            <w:pPr>
              <w:adjustRightInd w:val="0"/>
              <w:spacing w:before="29" w:line="360" w:lineRule="auto"/>
              <w:ind w:left="17"/>
              <w:rPr>
                <w:rFonts w:eastAsiaTheme="minorEastAsia"/>
                <w:color w:val="000000" w:themeColor="text1"/>
                <w:kern w:val="0"/>
                <w:szCs w:val="21"/>
              </w:rPr>
            </w:pPr>
            <w:r w:rsidRPr="00D97CD7">
              <w:rPr>
                <w:rFonts w:eastAsiaTheme="minorEastAsia"/>
                <w:color w:val="000000" w:themeColor="text1"/>
                <w:kern w:val="0"/>
                <w:szCs w:val="21"/>
              </w:rPr>
              <w:t>5.</w:t>
            </w:r>
            <w:r w:rsidRPr="00D97CD7">
              <w:rPr>
                <w:rFonts w:eastAsiaTheme="minorEastAsia"/>
                <w:color w:val="000000" w:themeColor="text1"/>
                <w:kern w:val="0"/>
                <w:szCs w:val="21"/>
              </w:rPr>
              <w:t>期末基金份额净值</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1.1560</w:t>
            </w:r>
          </w:p>
        </w:tc>
        <w:tc>
          <w:tcPr>
            <w:tcW w:w="2481" w:type="dxa"/>
          </w:tcPr>
          <w:p w:rsidR="00DB3887" w:rsidRPr="00D97CD7" w:rsidRDefault="00FC6961">
            <w:pPr>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1.1543</w:t>
            </w:r>
          </w:p>
        </w:tc>
      </w:tr>
    </w:tbl>
    <w:p w:rsidR="003F295B" w:rsidRDefault="00C71A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3.2 </w:t>
      </w:r>
      <w:r w:rsidRPr="00D97CD7">
        <w:rPr>
          <w:rFonts w:eastAsiaTheme="minorEastAsia"/>
          <w:b/>
          <w:color w:val="000000" w:themeColor="text1"/>
          <w:kern w:val="0"/>
          <w:szCs w:val="21"/>
        </w:rPr>
        <w:t>基金净值表现</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3.2.1</w:t>
      </w:r>
      <w:r w:rsidRPr="00D97CD7">
        <w:rPr>
          <w:rFonts w:eastAsiaTheme="minorEastAsia"/>
          <w:b/>
          <w:color w:val="000000" w:themeColor="text1"/>
          <w:kern w:val="0"/>
          <w:szCs w:val="21"/>
        </w:rPr>
        <w:t>本报告期基金份额净值增长率及其与同期业绩比较基准收益率的比较</w:t>
      </w:r>
    </w:p>
    <w:p w:rsidR="00DB3887" w:rsidRPr="00D97CD7" w:rsidRDefault="00FC6961">
      <w:pPr>
        <w:spacing w:line="360" w:lineRule="auto"/>
        <w:rPr>
          <w:rFonts w:eastAsiaTheme="minorEastAsia"/>
          <w:b/>
          <w:color w:val="000000" w:themeColor="text1"/>
          <w:szCs w:val="21"/>
        </w:rPr>
      </w:pPr>
      <w:r w:rsidRPr="00D97CD7">
        <w:rPr>
          <w:rFonts w:eastAsiaTheme="minorEastAsia"/>
          <w:b/>
          <w:color w:val="000000" w:themeColor="text1"/>
          <w:szCs w:val="21"/>
        </w:rPr>
        <w:t>1</w:t>
      </w:r>
      <w:r w:rsidRPr="00D97CD7">
        <w:rPr>
          <w:rFonts w:eastAsiaTheme="minorEastAsia"/>
          <w:b/>
          <w:color w:val="000000" w:themeColor="text1"/>
          <w:szCs w:val="21"/>
        </w:rPr>
        <w:t>、</w:t>
      </w:r>
      <w:r w:rsidRPr="00D97CD7">
        <w:rPr>
          <w:rFonts w:eastAsiaTheme="minorEastAsia"/>
          <w:b/>
          <w:color w:val="000000" w:themeColor="text1"/>
          <w:kern w:val="0"/>
          <w:szCs w:val="21"/>
        </w:rPr>
        <w:t>上投摩根</w:t>
      </w:r>
      <w:r w:rsidRPr="00D97CD7">
        <w:rPr>
          <w:rFonts w:eastAsiaTheme="minorEastAsia"/>
          <w:b/>
          <w:color w:val="000000" w:themeColor="text1"/>
          <w:kern w:val="0"/>
          <w:szCs w:val="21"/>
        </w:rPr>
        <w:t>MSCI</w:t>
      </w:r>
      <w:r w:rsidRPr="00D97CD7">
        <w:rPr>
          <w:rFonts w:eastAsiaTheme="minorEastAsia"/>
          <w:b/>
          <w:color w:val="000000" w:themeColor="text1"/>
          <w:kern w:val="0"/>
          <w:szCs w:val="21"/>
        </w:rPr>
        <w:t>中国</w:t>
      </w:r>
      <w:r w:rsidRPr="00D97CD7">
        <w:rPr>
          <w:rFonts w:eastAsiaTheme="minorEastAsia"/>
          <w:b/>
          <w:color w:val="000000" w:themeColor="text1"/>
          <w:kern w:val="0"/>
          <w:szCs w:val="21"/>
        </w:rPr>
        <w:t>A</w:t>
      </w:r>
      <w:r w:rsidRPr="00D97CD7">
        <w:rPr>
          <w:rFonts w:eastAsiaTheme="minorEastAsia"/>
          <w:b/>
          <w:color w:val="000000" w:themeColor="text1"/>
          <w:kern w:val="0"/>
          <w:szCs w:val="21"/>
        </w:rPr>
        <w:t>股</w:t>
      </w:r>
      <w:r w:rsidRPr="00D97CD7">
        <w:rPr>
          <w:rFonts w:eastAsiaTheme="minorEastAsia"/>
          <w:b/>
          <w:color w:val="000000" w:themeColor="text1"/>
          <w:kern w:val="0"/>
          <w:szCs w:val="21"/>
        </w:rPr>
        <w:t>ETF</w:t>
      </w:r>
      <w:r w:rsidRPr="00D97CD7">
        <w:rPr>
          <w:rFonts w:eastAsiaTheme="minorEastAsia"/>
          <w:b/>
          <w:color w:val="000000" w:themeColor="text1"/>
          <w:kern w:val="0"/>
          <w:szCs w:val="21"/>
        </w:rPr>
        <w:t>联接</w:t>
      </w:r>
      <w:r w:rsidRPr="00D97CD7">
        <w:rPr>
          <w:rFonts w:eastAsiaTheme="minorEastAsia"/>
          <w:b/>
          <w:color w:val="000000" w:themeColor="text1"/>
          <w:kern w:val="0"/>
          <w:szCs w:val="21"/>
        </w:rPr>
        <w:t>A</w:t>
      </w:r>
      <w:r w:rsidRPr="00D97CD7">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DB3887" w:rsidRPr="00D97CD7">
        <w:tc>
          <w:tcPr>
            <w:tcW w:w="1290"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阶段</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净值增长率</w:t>
            </w:r>
            <w:r w:rsidRPr="00D97CD7">
              <w:rPr>
                <w:rFonts w:ascii="宋体" w:hAnsi="宋体" w:cs="宋体" w:hint="eastAsia"/>
                <w:color w:val="000000" w:themeColor="text1"/>
                <w:szCs w:val="21"/>
              </w:rPr>
              <w:t>①</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净值增长率标准差</w:t>
            </w:r>
            <w:r w:rsidRPr="00D97CD7">
              <w:rPr>
                <w:rFonts w:ascii="宋体" w:hAnsi="宋体" w:cs="宋体" w:hint="eastAsia"/>
                <w:color w:val="000000" w:themeColor="text1"/>
                <w:szCs w:val="21"/>
              </w:rPr>
              <w:t>②</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业绩比较基准收益率标准差</w:t>
            </w:r>
            <w:r w:rsidRPr="00D97CD7">
              <w:rPr>
                <w:rFonts w:ascii="宋体" w:hAnsi="宋体" w:cs="宋体" w:hint="eastAsia"/>
                <w:color w:val="000000" w:themeColor="text1"/>
                <w:szCs w:val="21"/>
              </w:rPr>
              <w:t>④</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①</w:t>
            </w:r>
            <w:r w:rsidRPr="00D97CD7">
              <w:rPr>
                <w:rFonts w:eastAsiaTheme="minorEastAsia"/>
                <w:color w:val="000000" w:themeColor="text1"/>
                <w:szCs w:val="21"/>
              </w:rPr>
              <w:t>－</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②</w:t>
            </w:r>
            <w:r w:rsidRPr="00D97CD7">
              <w:rPr>
                <w:rFonts w:eastAsiaTheme="minorEastAsia"/>
                <w:color w:val="000000" w:themeColor="text1"/>
                <w:szCs w:val="21"/>
              </w:rPr>
              <w:t>－</w:t>
            </w:r>
            <w:r w:rsidRPr="00D97CD7">
              <w:rPr>
                <w:rFonts w:ascii="宋体" w:hAnsi="宋体" w:cs="宋体" w:hint="eastAsia"/>
                <w:color w:val="000000" w:themeColor="text1"/>
                <w:szCs w:val="21"/>
              </w:rPr>
              <w:t>④</w:t>
            </w:r>
          </w:p>
        </w:tc>
      </w:tr>
      <w:tr w:rsidR="003F295B">
        <w:tc>
          <w:tcPr>
            <w:tcW w:w="1290" w:type="dxa"/>
            <w:vAlign w:val="center"/>
          </w:tcPr>
          <w:p w:rsidR="003F295B" w:rsidRDefault="00C71A1A">
            <w:pPr>
              <w:jc w:val="left"/>
            </w:pPr>
            <w:r>
              <w:rPr>
                <w:rFonts w:eastAsiaTheme="minorEastAsia"/>
                <w:color w:val="000000" w:themeColor="text1"/>
                <w:szCs w:val="21"/>
              </w:rPr>
              <w:t>过去三个月</w:t>
            </w:r>
          </w:p>
        </w:tc>
        <w:tc>
          <w:tcPr>
            <w:tcW w:w="1291" w:type="dxa"/>
            <w:vAlign w:val="center"/>
          </w:tcPr>
          <w:p w:rsidR="003F295B" w:rsidRDefault="00C71A1A">
            <w:pPr>
              <w:jc w:val="right"/>
            </w:pPr>
            <w:r>
              <w:rPr>
                <w:rFonts w:eastAsiaTheme="minorEastAsia"/>
                <w:color w:val="000000" w:themeColor="text1"/>
                <w:szCs w:val="21"/>
              </w:rPr>
              <w:t>1.92%</w:t>
            </w:r>
          </w:p>
        </w:tc>
        <w:tc>
          <w:tcPr>
            <w:tcW w:w="1291" w:type="dxa"/>
            <w:vAlign w:val="center"/>
          </w:tcPr>
          <w:p w:rsidR="003F295B" w:rsidRDefault="00C71A1A">
            <w:pPr>
              <w:jc w:val="right"/>
            </w:pPr>
            <w:r>
              <w:rPr>
                <w:rFonts w:eastAsiaTheme="minorEastAsia"/>
                <w:color w:val="000000" w:themeColor="text1"/>
                <w:szCs w:val="21"/>
              </w:rPr>
              <w:t>0.71%</w:t>
            </w:r>
          </w:p>
        </w:tc>
        <w:tc>
          <w:tcPr>
            <w:tcW w:w="1291" w:type="dxa"/>
            <w:vAlign w:val="center"/>
          </w:tcPr>
          <w:p w:rsidR="003F295B" w:rsidRDefault="00C71A1A">
            <w:pPr>
              <w:jc w:val="right"/>
            </w:pPr>
            <w:r>
              <w:rPr>
                <w:rFonts w:eastAsiaTheme="minorEastAsia"/>
                <w:color w:val="000000" w:themeColor="text1"/>
                <w:szCs w:val="21"/>
              </w:rPr>
              <w:t>1.50%</w:t>
            </w:r>
          </w:p>
        </w:tc>
        <w:tc>
          <w:tcPr>
            <w:tcW w:w="1291" w:type="dxa"/>
            <w:vAlign w:val="center"/>
          </w:tcPr>
          <w:p w:rsidR="003F295B" w:rsidRDefault="00C71A1A">
            <w:pPr>
              <w:jc w:val="right"/>
            </w:pPr>
            <w:r>
              <w:rPr>
                <w:rFonts w:eastAsiaTheme="minorEastAsia"/>
                <w:color w:val="000000" w:themeColor="text1"/>
                <w:szCs w:val="21"/>
              </w:rPr>
              <w:t>0.71%</w:t>
            </w:r>
          </w:p>
        </w:tc>
        <w:tc>
          <w:tcPr>
            <w:tcW w:w="1291" w:type="dxa"/>
            <w:vAlign w:val="center"/>
          </w:tcPr>
          <w:p w:rsidR="003F295B" w:rsidRDefault="00C71A1A">
            <w:pPr>
              <w:jc w:val="right"/>
            </w:pPr>
            <w:r>
              <w:rPr>
                <w:rFonts w:eastAsiaTheme="minorEastAsia"/>
                <w:color w:val="000000" w:themeColor="text1"/>
                <w:szCs w:val="21"/>
              </w:rPr>
              <w:t>0.42%</w:t>
            </w:r>
          </w:p>
        </w:tc>
        <w:tc>
          <w:tcPr>
            <w:tcW w:w="1291" w:type="dxa"/>
            <w:vAlign w:val="center"/>
          </w:tcPr>
          <w:p w:rsidR="003F295B" w:rsidRDefault="00C71A1A">
            <w:pPr>
              <w:jc w:val="right"/>
            </w:pPr>
            <w:r>
              <w:rPr>
                <w:rFonts w:eastAsiaTheme="minorEastAsia"/>
                <w:color w:val="000000" w:themeColor="text1"/>
                <w:szCs w:val="21"/>
              </w:rPr>
              <w:t>0.00%</w:t>
            </w:r>
          </w:p>
        </w:tc>
      </w:tr>
      <w:tr w:rsidR="003F295B">
        <w:tc>
          <w:tcPr>
            <w:tcW w:w="1290" w:type="dxa"/>
            <w:vAlign w:val="center"/>
          </w:tcPr>
          <w:p w:rsidR="003F295B" w:rsidRDefault="00C71A1A">
            <w:pPr>
              <w:jc w:val="left"/>
            </w:pPr>
            <w:r>
              <w:rPr>
                <w:rFonts w:eastAsiaTheme="minorEastAsia"/>
                <w:color w:val="000000" w:themeColor="text1"/>
                <w:szCs w:val="21"/>
              </w:rPr>
              <w:t>过去六个月</w:t>
            </w:r>
          </w:p>
        </w:tc>
        <w:tc>
          <w:tcPr>
            <w:tcW w:w="1291" w:type="dxa"/>
            <w:vAlign w:val="center"/>
          </w:tcPr>
          <w:p w:rsidR="003F295B" w:rsidRDefault="00C71A1A">
            <w:pPr>
              <w:jc w:val="right"/>
            </w:pPr>
            <w:r>
              <w:rPr>
                <w:rFonts w:eastAsiaTheme="minorEastAsia"/>
                <w:color w:val="000000" w:themeColor="text1"/>
                <w:szCs w:val="21"/>
              </w:rPr>
              <w:t>-0.68%</w:t>
            </w:r>
          </w:p>
        </w:tc>
        <w:tc>
          <w:tcPr>
            <w:tcW w:w="1291" w:type="dxa"/>
            <w:vAlign w:val="center"/>
          </w:tcPr>
          <w:p w:rsidR="003F295B" w:rsidRDefault="00C71A1A">
            <w:pPr>
              <w:jc w:val="right"/>
            </w:pPr>
            <w:r>
              <w:rPr>
                <w:rFonts w:eastAsiaTheme="minorEastAsia"/>
                <w:color w:val="000000" w:themeColor="text1"/>
                <w:szCs w:val="21"/>
              </w:rPr>
              <w:t>0.92%</w:t>
            </w:r>
          </w:p>
        </w:tc>
        <w:tc>
          <w:tcPr>
            <w:tcW w:w="1291" w:type="dxa"/>
            <w:vAlign w:val="center"/>
          </w:tcPr>
          <w:p w:rsidR="003F295B" w:rsidRDefault="00C71A1A">
            <w:pPr>
              <w:jc w:val="right"/>
            </w:pPr>
            <w:r>
              <w:rPr>
                <w:rFonts w:eastAsiaTheme="minorEastAsia"/>
                <w:color w:val="000000" w:themeColor="text1"/>
                <w:szCs w:val="21"/>
              </w:rPr>
              <w:t>-3.47%</w:t>
            </w:r>
          </w:p>
        </w:tc>
        <w:tc>
          <w:tcPr>
            <w:tcW w:w="1291" w:type="dxa"/>
            <w:vAlign w:val="center"/>
          </w:tcPr>
          <w:p w:rsidR="003F295B" w:rsidRDefault="00C71A1A">
            <w:pPr>
              <w:jc w:val="right"/>
            </w:pPr>
            <w:r>
              <w:rPr>
                <w:rFonts w:eastAsiaTheme="minorEastAsia"/>
                <w:color w:val="000000" w:themeColor="text1"/>
                <w:szCs w:val="21"/>
              </w:rPr>
              <w:t>0.93%</w:t>
            </w:r>
          </w:p>
        </w:tc>
        <w:tc>
          <w:tcPr>
            <w:tcW w:w="1291" w:type="dxa"/>
            <w:vAlign w:val="center"/>
          </w:tcPr>
          <w:p w:rsidR="003F295B" w:rsidRDefault="00C71A1A">
            <w:pPr>
              <w:jc w:val="right"/>
            </w:pPr>
            <w:r>
              <w:rPr>
                <w:rFonts w:eastAsiaTheme="minorEastAsia"/>
                <w:color w:val="000000" w:themeColor="text1"/>
                <w:szCs w:val="21"/>
              </w:rPr>
              <w:t>2.79%</w:t>
            </w:r>
          </w:p>
        </w:tc>
        <w:tc>
          <w:tcPr>
            <w:tcW w:w="1291" w:type="dxa"/>
            <w:vAlign w:val="center"/>
          </w:tcPr>
          <w:p w:rsidR="003F295B" w:rsidRDefault="00C71A1A">
            <w:pPr>
              <w:jc w:val="right"/>
            </w:pPr>
            <w:r>
              <w:rPr>
                <w:rFonts w:eastAsiaTheme="minorEastAsia"/>
                <w:color w:val="000000" w:themeColor="text1"/>
                <w:szCs w:val="21"/>
              </w:rPr>
              <w:t>-0.01%</w:t>
            </w:r>
          </w:p>
        </w:tc>
      </w:tr>
      <w:tr w:rsidR="003F295B">
        <w:tc>
          <w:tcPr>
            <w:tcW w:w="1290" w:type="dxa"/>
            <w:vAlign w:val="center"/>
          </w:tcPr>
          <w:p w:rsidR="003F295B" w:rsidRDefault="00C71A1A">
            <w:pPr>
              <w:jc w:val="left"/>
            </w:pPr>
            <w:r>
              <w:rPr>
                <w:rFonts w:eastAsiaTheme="minorEastAsia"/>
                <w:color w:val="000000" w:themeColor="text1"/>
                <w:szCs w:val="21"/>
              </w:rPr>
              <w:t>过去一年</w:t>
            </w:r>
          </w:p>
        </w:tc>
        <w:tc>
          <w:tcPr>
            <w:tcW w:w="1291" w:type="dxa"/>
            <w:vAlign w:val="center"/>
          </w:tcPr>
          <w:p w:rsidR="003F295B" w:rsidRDefault="00C71A1A">
            <w:pPr>
              <w:jc w:val="right"/>
            </w:pPr>
            <w:r>
              <w:rPr>
                <w:rFonts w:eastAsiaTheme="minorEastAsia"/>
                <w:color w:val="000000" w:themeColor="text1"/>
                <w:szCs w:val="21"/>
              </w:rPr>
              <w:t>4.80%</w:t>
            </w:r>
          </w:p>
        </w:tc>
        <w:tc>
          <w:tcPr>
            <w:tcW w:w="1291" w:type="dxa"/>
            <w:vAlign w:val="center"/>
          </w:tcPr>
          <w:p w:rsidR="003F295B" w:rsidRDefault="00C71A1A">
            <w:pPr>
              <w:jc w:val="right"/>
            </w:pPr>
            <w:r>
              <w:rPr>
                <w:rFonts w:eastAsiaTheme="minorEastAsia"/>
                <w:color w:val="000000" w:themeColor="text1"/>
                <w:szCs w:val="21"/>
              </w:rPr>
              <w:t>1.09%</w:t>
            </w:r>
          </w:p>
        </w:tc>
        <w:tc>
          <w:tcPr>
            <w:tcW w:w="1291" w:type="dxa"/>
            <w:vAlign w:val="center"/>
          </w:tcPr>
          <w:p w:rsidR="003F295B" w:rsidRDefault="00C71A1A">
            <w:pPr>
              <w:jc w:val="right"/>
            </w:pPr>
            <w:r>
              <w:rPr>
                <w:rFonts w:eastAsiaTheme="minorEastAsia"/>
                <w:color w:val="000000" w:themeColor="text1"/>
                <w:szCs w:val="21"/>
              </w:rPr>
              <w:t>-0.36%</w:t>
            </w:r>
          </w:p>
        </w:tc>
        <w:tc>
          <w:tcPr>
            <w:tcW w:w="1291" w:type="dxa"/>
            <w:vAlign w:val="center"/>
          </w:tcPr>
          <w:p w:rsidR="003F295B" w:rsidRDefault="00C71A1A">
            <w:pPr>
              <w:jc w:val="right"/>
            </w:pPr>
            <w:r>
              <w:rPr>
                <w:rFonts w:eastAsiaTheme="minorEastAsia"/>
                <w:color w:val="000000" w:themeColor="text1"/>
                <w:szCs w:val="21"/>
              </w:rPr>
              <w:t>1.10%</w:t>
            </w:r>
          </w:p>
        </w:tc>
        <w:tc>
          <w:tcPr>
            <w:tcW w:w="1291" w:type="dxa"/>
            <w:vAlign w:val="center"/>
          </w:tcPr>
          <w:p w:rsidR="003F295B" w:rsidRDefault="00C71A1A">
            <w:pPr>
              <w:jc w:val="right"/>
            </w:pPr>
            <w:r>
              <w:rPr>
                <w:rFonts w:eastAsiaTheme="minorEastAsia"/>
                <w:color w:val="000000" w:themeColor="text1"/>
                <w:szCs w:val="21"/>
              </w:rPr>
              <w:t>5.16%</w:t>
            </w:r>
          </w:p>
        </w:tc>
        <w:tc>
          <w:tcPr>
            <w:tcW w:w="1291" w:type="dxa"/>
            <w:vAlign w:val="center"/>
          </w:tcPr>
          <w:p w:rsidR="003F295B" w:rsidRDefault="00C71A1A">
            <w:pPr>
              <w:jc w:val="right"/>
            </w:pPr>
            <w:r>
              <w:rPr>
                <w:rFonts w:eastAsiaTheme="minorEastAsia"/>
                <w:color w:val="000000" w:themeColor="text1"/>
                <w:szCs w:val="21"/>
              </w:rPr>
              <w:t>-0.01%</w:t>
            </w:r>
          </w:p>
        </w:tc>
      </w:tr>
      <w:tr w:rsidR="003F295B">
        <w:tc>
          <w:tcPr>
            <w:tcW w:w="1290" w:type="dxa"/>
            <w:vAlign w:val="center"/>
          </w:tcPr>
          <w:p w:rsidR="003F295B" w:rsidRDefault="00C71A1A">
            <w:pPr>
              <w:jc w:val="left"/>
            </w:pPr>
            <w:r>
              <w:rPr>
                <w:rFonts w:eastAsiaTheme="minorEastAsia"/>
                <w:color w:val="000000" w:themeColor="text1"/>
                <w:szCs w:val="21"/>
              </w:rPr>
              <w:t>过去三年</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r>
      <w:tr w:rsidR="003F295B">
        <w:tc>
          <w:tcPr>
            <w:tcW w:w="1290" w:type="dxa"/>
            <w:vAlign w:val="center"/>
          </w:tcPr>
          <w:p w:rsidR="003F295B" w:rsidRDefault="00C71A1A">
            <w:pPr>
              <w:jc w:val="left"/>
            </w:pPr>
            <w:r>
              <w:rPr>
                <w:rFonts w:eastAsiaTheme="minorEastAsia"/>
                <w:color w:val="000000" w:themeColor="text1"/>
                <w:szCs w:val="21"/>
              </w:rPr>
              <w:t>过去五年</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r>
      <w:tr w:rsidR="003F295B">
        <w:tc>
          <w:tcPr>
            <w:tcW w:w="1290" w:type="dxa"/>
            <w:vAlign w:val="center"/>
          </w:tcPr>
          <w:p w:rsidR="003F295B" w:rsidRDefault="00C71A1A">
            <w:pPr>
              <w:jc w:val="left"/>
            </w:pPr>
            <w:r>
              <w:rPr>
                <w:rFonts w:eastAsiaTheme="minorEastAsia"/>
                <w:color w:val="000000" w:themeColor="text1"/>
                <w:szCs w:val="21"/>
              </w:rPr>
              <w:t>自基金合同生效起至今</w:t>
            </w:r>
          </w:p>
        </w:tc>
        <w:tc>
          <w:tcPr>
            <w:tcW w:w="1291" w:type="dxa"/>
            <w:vAlign w:val="center"/>
          </w:tcPr>
          <w:p w:rsidR="003F295B" w:rsidRDefault="00C71A1A">
            <w:pPr>
              <w:jc w:val="right"/>
            </w:pPr>
            <w:r>
              <w:rPr>
                <w:rFonts w:eastAsiaTheme="minorEastAsia"/>
                <w:color w:val="000000" w:themeColor="text1"/>
                <w:szCs w:val="21"/>
              </w:rPr>
              <w:t>15.60%</w:t>
            </w:r>
          </w:p>
        </w:tc>
        <w:tc>
          <w:tcPr>
            <w:tcW w:w="1291" w:type="dxa"/>
            <w:vAlign w:val="center"/>
          </w:tcPr>
          <w:p w:rsidR="003F295B" w:rsidRDefault="00C71A1A">
            <w:pPr>
              <w:jc w:val="right"/>
            </w:pPr>
            <w:r>
              <w:rPr>
                <w:rFonts w:eastAsiaTheme="minorEastAsia"/>
                <w:color w:val="000000" w:themeColor="text1"/>
                <w:szCs w:val="21"/>
              </w:rPr>
              <w:t>1.04%</w:t>
            </w:r>
          </w:p>
        </w:tc>
        <w:tc>
          <w:tcPr>
            <w:tcW w:w="1291" w:type="dxa"/>
            <w:vAlign w:val="center"/>
          </w:tcPr>
          <w:p w:rsidR="003F295B" w:rsidRDefault="00C71A1A">
            <w:pPr>
              <w:jc w:val="right"/>
            </w:pPr>
            <w:r>
              <w:rPr>
                <w:rFonts w:eastAsiaTheme="minorEastAsia"/>
                <w:color w:val="000000" w:themeColor="text1"/>
                <w:szCs w:val="21"/>
              </w:rPr>
              <w:t>9.47%</w:t>
            </w:r>
          </w:p>
        </w:tc>
        <w:tc>
          <w:tcPr>
            <w:tcW w:w="1291" w:type="dxa"/>
            <w:vAlign w:val="center"/>
          </w:tcPr>
          <w:p w:rsidR="003F295B" w:rsidRDefault="00C71A1A">
            <w:pPr>
              <w:jc w:val="right"/>
            </w:pPr>
            <w:r>
              <w:rPr>
                <w:rFonts w:eastAsiaTheme="minorEastAsia"/>
                <w:color w:val="000000" w:themeColor="text1"/>
                <w:szCs w:val="21"/>
              </w:rPr>
              <w:t>1.10%</w:t>
            </w:r>
          </w:p>
        </w:tc>
        <w:tc>
          <w:tcPr>
            <w:tcW w:w="1291" w:type="dxa"/>
            <w:vAlign w:val="center"/>
          </w:tcPr>
          <w:p w:rsidR="003F295B" w:rsidRDefault="00C71A1A">
            <w:pPr>
              <w:jc w:val="right"/>
            </w:pPr>
            <w:r>
              <w:rPr>
                <w:rFonts w:eastAsiaTheme="minorEastAsia"/>
                <w:color w:val="000000" w:themeColor="text1"/>
                <w:szCs w:val="21"/>
              </w:rPr>
              <w:t>6.13%</w:t>
            </w:r>
          </w:p>
        </w:tc>
        <w:tc>
          <w:tcPr>
            <w:tcW w:w="1291" w:type="dxa"/>
            <w:vAlign w:val="center"/>
          </w:tcPr>
          <w:p w:rsidR="003F295B" w:rsidRDefault="00C71A1A">
            <w:pPr>
              <w:jc w:val="right"/>
            </w:pPr>
            <w:r>
              <w:rPr>
                <w:rFonts w:eastAsiaTheme="minorEastAsia"/>
                <w:color w:val="000000" w:themeColor="text1"/>
                <w:szCs w:val="21"/>
              </w:rPr>
              <w:t>-0.06%</w:t>
            </w:r>
          </w:p>
        </w:tc>
      </w:tr>
    </w:tbl>
    <w:p w:rsidR="00DB3887" w:rsidRPr="00D97CD7" w:rsidRDefault="00FC6961">
      <w:pPr>
        <w:adjustRightInd w:val="0"/>
        <w:spacing w:beforeLines="100" w:before="312" w:line="360" w:lineRule="auto"/>
        <w:rPr>
          <w:rFonts w:eastAsiaTheme="minorEastAsia"/>
          <w:b/>
          <w:color w:val="000000" w:themeColor="text1"/>
          <w:kern w:val="0"/>
          <w:szCs w:val="21"/>
        </w:rPr>
      </w:pPr>
      <w:r w:rsidRPr="00D97CD7">
        <w:rPr>
          <w:rFonts w:eastAsiaTheme="minorEastAsia"/>
          <w:b/>
          <w:color w:val="000000" w:themeColor="text1"/>
          <w:szCs w:val="21"/>
        </w:rPr>
        <w:t>2</w:t>
      </w:r>
      <w:r w:rsidRPr="00D97CD7">
        <w:rPr>
          <w:rFonts w:eastAsiaTheme="minorEastAsia"/>
          <w:b/>
          <w:color w:val="000000" w:themeColor="text1"/>
          <w:szCs w:val="21"/>
        </w:rPr>
        <w:t>、</w:t>
      </w:r>
      <w:r w:rsidRPr="00D97CD7">
        <w:rPr>
          <w:rFonts w:eastAsiaTheme="minorEastAsia"/>
          <w:b/>
          <w:color w:val="000000" w:themeColor="text1"/>
          <w:kern w:val="0"/>
          <w:szCs w:val="21"/>
        </w:rPr>
        <w:t>上投摩根</w:t>
      </w:r>
      <w:r w:rsidRPr="00D97CD7">
        <w:rPr>
          <w:rFonts w:eastAsiaTheme="minorEastAsia"/>
          <w:b/>
          <w:color w:val="000000" w:themeColor="text1"/>
          <w:kern w:val="0"/>
          <w:szCs w:val="21"/>
        </w:rPr>
        <w:t>MSCI</w:t>
      </w:r>
      <w:r w:rsidRPr="00D97CD7">
        <w:rPr>
          <w:rFonts w:eastAsiaTheme="minorEastAsia"/>
          <w:b/>
          <w:color w:val="000000" w:themeColor="text1"/>
          <w:kern w:val="0"/>
          <w:szCs w:val="21"/>
        </w:rPr>
        <w:t>中国</w:t>
      </w:r>
      <w:r w:rsidRPr="00D97CD7">
        <w:rPr>
          <w:rFonts w:eastAsiaTheme="minorEastAsia"/>
          <w:b/>
          <w:color w:val="000000" w:themeColor="text1"/>
          <w:kern w:val="0"/>
          <w:szCs w:val="21"/>
        </w:rPr>
        <w:t>A</w:t>
      </w:r>
      <w:r w:rsidRPr="00D97CD7">
        <w:rPr>
          <w:rFonts w:eastAsiaTheme="minorEastAsia"/>
          <w:b/>
          <w:color w:val="000000" w:themeColor="text1"/>
          <w:kern w:val="0"/>
          <w:szCs w:val="21"/>
        </w:rPr>
        <w:t>股</w:t>
      </w:r>
      <w:r w:rsidRPr="00D97CD7">
        <w:rPr>
          <w:rFonts w:eastAsiaTheme="minorEastAsia"/>
          <w:b/>
          <w:color w:val="000000" w:themeColor="text1"/>
          <w:kern w:val="0"/>
          <w:szCs w:val="21"/>
        </w:rPr>
        <w:t>ETF</w:t>
      </w:r>
      <w:r w:rsidRPr="00D97CD7">
        <w:rPr>
          <w:rFonts w:eastAsiaTheme="minorEastAsia"/>
          <w:b/>
          <w:color w:val="000000" w:themeColor="text1"/>
          <w:kern w:val="0"/>
          <w:szCs w:val="21"/>
        </w:rPr>
        <w:t>联接</w:t>
      </w:r>
      <w:r w:rsidRPr="00D97CD7">
        <w:rPr>
          <w:rFonts w:eastAsiaTheme="minorEastAsia"/>
          <w:b/>
          <w:color w:val="000000" w:themeColor="text1"/>
          <w:kern w:val="0"/>
          <w:szCs w:val="21"/>
        </w:rPr>
        <w:t>C</w:t>
      </w:r>
      <w:r w:rsidRPr="00D97CD7">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DB3887" w:rsidRPr="00D97CD7">
        <w:tc>
          <w:tcPr>
            <w:tcW w:w="1290"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阶段</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highlight w:val="green"/>
              </w:rPr>
            </w:pPr>
            <w:r w:rsidRPr="00D97CD7">
              <w:rPr>
                <w:rFonts w:eastAsiaTheme="minorEastAsia"/>
                <w:color w:val="000000" w:themeColor="text1"/>
                <w:szCs w:val="21"/>
              </w:rPr>
              <w:t>净值增长率</w:t>
            </w:r>
            <w:r w:rsidRPr="00D97CD7">
              <w:rPr>
                <w:rFonts w:ascii="宋体" w:hAnsi="宋体" w:cs="宋体" w:hint="eastAsia"/>
                <w:color w:val="000000" w:themeColor="text1"/>
                <w:szCs w:val="21"/>
              </w:rPr>
              <w:t>①</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highlight w:val="green"/>
              </w:rPr>
            </w:pPr>
            <w:r w:rsidRPr="00D97CD7">
              <w:rPr>
                <w:rFonts w:eastAsiaTheme="minorEastAsia"/>
                <w:color w:val="000000" w:themeColor="text1"/>
                <w:szCs w:val="21"/>
              </w:rPr>
              <w:t>净值增长率标准差</w:t>
            </w:r>
            <w:r w:rsidRPr="00D97CD7">
              <w:rPr>
                <w:rFonts w:ascii="宋体" w:hAnsi="宋体" w:cs="宋体" w:hint="eastAsia"/>
                <w:color w:val="000000" w:themeColor="text1"/>
                <w:szCs w:val="21"/>
              </w:rPr>
              <w:t>②</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eastAsiaTheme="minorEastAsia"/>
                <w:color w:val="000000" w:themeColor="text1"/>
                <w:szCs w:val="21"/>
              </w:rPr>
              <w:t>业绩比较基准收益率标准差</w:t>
            </w:r>
            <w:r w:rsidRPr="00D97CD7">
              <w:rPr>
                <w:rFonts w:ascii="宋体" w:hAnsi="宋体" w:cs="宋体" w:hint="eastAsia"/>
                <w:color w:val="000000" w:themeColor="text1"/>
                <w:szCs w:val="21"/>
              </w:rPr>
              <w:t>④</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①</w:t>
            </w:r>
            <w:r w:rsidRPr="00D97CD7">
              <w:rPr>
                <w:rFonts w:eastAsiaTheme="minorEastAsia"/>
                <w:color w:val="000000" w:themeColor="text1"/>
                <w:szCs w:val="21"/>
              </w:rPr>
              <w:t>－</w:t>
            </w:r>
            <w:r w:rsidRPr="00D97CD7">
              <w:rPr>
                <w:rFonts w:ascii="宋体" w:hAnsi="宋体" w:cs="宋体" w:hint="eastAsia"/>
                <w:color w:val="000000" w:themeColor="text1"/>
                <w:szCs w:val="21"/>
              </w:rPr>
              <w:t>③</w:t>
            </w:r>
          </w:p>
        </w:tc>
        <w:tc>
          <w:tcPr>
            <w:tcW w:w="1291" w:type="dxa"/>
            <w:vAlign w:val="center"/>
          </w:tcPr>
          <w:p w:rsidR="00DB3887" w:rsidRPr="00D97CD7" w:rsidRDefault="00FC6961">
            <w:pPr>
              <w:snapToGrid w:val="0"/>
              <w:spacing w:line="288" w:lineRule="auto"/>
              <w:jc w:val="center"/>
              <w:rPr>
                <w:rFonts w:eastAsiaTheme="minorEastAsia"/>
                <w:color w:val="000000" w:themeColor="text1"/>
                <w:szCs w:val="21"/>
              </w:rPr>
            </w:pPr>
            <w:r w:rsidRPr="00D97CD7">
              <w:rPr>
                <w:rFonts w:ascii="宋体" w:hAnsi="宋体" w:cs="宋体" w:hint="eastAsia"/>
                <w:color w:val="000000" w:themeColor="text1"/>
                <w:szCs w:val="21"/>
              </w:rPr>
              <w:t>②</w:t>
            </w:r>
            <w:r w:rsidRPr="00D97CD7">
              <w:rPr>
                <w:rFonts w:eastAsiaTheme="minorEastAsia"/>
                <w:color w:val="000000" w:themeColor="text1"/>
                <w:szCs w:val="21"/>
              </w:rPr>
              <w:t>－</w:t>
            </w:r>
            <w:r w:rsidRPr="00D97CD7">
              <w:rPr>
                <w:rFonts w:ascii="宋体" w:hAnsi="宋体" w:cs="宋体" w:hint="eastAsia"/>
                <w:color w:val="000000" w:themeColor="text1"/>
                <w:szCs w:val="21"/>
              </w:rPr>
              <w:t>④</w:t>
            </w:r>
          </w:p>
        </w:tc>
      </w:tr>
      <w:tr w:rsidR="003F295B">
        <w:tc>
          <w:tcPr>
            <w:tcW w:w="1290" w:type="dxa"/>
            <w:vAlign w:val="center"/>
          </w:tcPr>
          <w:p w:rsidR="003F295B" w:rsidRDefault="00C71A1A">
            <w:pPr>
              <w:jc w:val="left"/>
            </w:pPr>
            <w:r>
              <w:rPr>
                <w:rFonts w:eastAsiaTheme="minorEastAsia"/>
                <w:color w:val="000000" w:themeColor="text1"/>
                <w:szCs w:val="21"/>
              </w:rPr>
              <w:t>过去三个月</w:t>
            </w:r>
          </w:p>
        </w:tc>
        <w:tc>
          <w:tcPr>
            <w:tcW w:w="1291" w:type="dxa"/>
            <w:vAlign w:val="center"/>
          </w:tcPr>
          <w:p w:rsidR="003F295B" w:rsidRDefault="00C71A1A">
            <w:pPr>
              <w:jc w:val="right"/>
            </w:pPr>
            <w:r>
              <w:rPr>
                <w:rFonts w:eastAsiaTheme="minorEastAsia"/>
                <w:color w:val="000000" w:themeColor="text1"/>
                <w:szCs w:val="21"/>
              </w:rPr>
              <w:t>1.89%</w:t>
            </w:r>
          </w:p>
        </w:tc>
        <w:tc>
          <w:tcPr>
            <w:tcW w:w="1291" w:type="dxa"/>
            <w:vAlign w:val="center"/>
          </w:tcPr>
          <w:p w:rsidR="003F295B" w:rsidRDefault="00C71A1A">
            <w:pPr>
              <w:jc w:val="right"/>
            </w:pPr>
            <w:r>
              <w:rPr>
                <w:rFonts w:eastAsiaTheme="minorEastAsia"/>
                <w:color w:val="000000" w:themeColor="text1"/>
                <w:szCs w:val="21"/>
              </w:rPr>
              <w:t>0.70%</w:t>
            </w:r>
          </w:p>
        </w:tc>
        <w:tc>
          <w:tcPr>
            <w:tcW w:w="1291" w:type="dxa"/>
            <w:vAlign w:val="center"/>
          </w:tcPr>
          <w:p w:rsidR="003F295B" w:rsidRDefault="00C71A1A">
            <w:pPr>
              <w:jc w:val="right"/>
            </w:pPr>
            <w:r>
              <w:rPr>
                <w:rFonts w:eastAsiaTheme="minorEastAsia"/>
                <w:color w:val="000000" w:themeColor="text1"/>
                <w:szCs w:val="21"/>
              </w:rPr>
              <w:t>1.50%</w:t>
            </w:r>
          </w:p>
        </w:tc>
        <w:tc>
          <w:tcPr>
            <w:tcW w:w="1291" w:type="dxa"/>
            <w:vAlign w:val="center"/>
          </w:tcPr>
          <w:p w:rsidR="003F295B" w:rsidRDefault="00C71A1A">
            <w:pPr>
              <w:jc w:val="right"/>
            </w:pPr>
            <w:r>
              <w:rPr>
                <w:rFonts w:eastAsiaTheme="minorEastAsia"/>
                <w:color w:val="000000" w:themeColor="text1"/>
                <w:szCs w:val="21"/>
              </w:rPr>
              <w:t>0.71%</w:t>
            </w:r>
          </w:p>
        </w:tc>
        <w:tc>
          <w:tcPr>
            <w:tcW w:w="1291" w:type="dxa"/>
            <w:vAlign w:val="center"/>
          </w:tcPr>
          <w:p w:rsidR="003F295B" w:rsidRDefault="00C71A1A">
            <w:pPr>
              <w:jc w:val="right"/>
            </w:pPr>
            <w:r>
              <w:rPr>
                <w:rFonts w:eastAsiaTheme="minorEastAsia"/>
                <w:color w:val="000000" w:themeColor="text1"/>
                <w:szCs w:val="21"/>
              </w:rPr>
              <w:t>0.39%</w:t>
            </w:r>
          </w:p>
        </w:tc>
        <w:tc>
          <w:tcPr>
            <w:tcW w:w="1291" w:type="dxa"/>
            <w:vAlign w:val="center"/>
          </w:tcPr>
          <w:p w:rsidR="003F295B" w:rsidRDefault="00C71A1A">
            <w:pPr>
              <w:jc w:val="right"/>
            </w:pPr>
            <w:r>
              <w:rPr>
                <w:rFonts w:eastAsiaTheme="minorEastAsia"/>
                <w:color w:val="000000" w:themeColor="text1"/>
                <w:szCs w:val="21"/>
              </w:rPr>
              <w:t>-0.01%</w:t>
            </w:r>
          </w:p>
        </w:tc>
      </w:tr>
      <w:tr w:rsidR="003F295B">
        <w:tc>
          <w:tcPr>
            <w:tcW w:w="1290" w:type="dxa"/>
            <w:vAlign w:val="center"/>
          </w:tcPr>
          <w:p w:rsidR="003F295B" w:rsidRDefault="00C71A1A">
            <w:pPr>
              <w:jc w:val="left"/>
            </w:pPr>
            <w:r>
              <w:rPr>
                <w:rFonts w:eastAsiaTheme="minorEastAsia"/>
                <w:color w:val="000000" w:themeColor="text1"/>
                <w:szCs w:val="21"/>
              </w:rPr>
              <w:t>过去六个月</w:t>
            </w:r>
          </w:p>
        </w:tc>
        <w:tc>
          <w:tcPr>
            <w:tcW w:w="1291" w:type="dxa"/>
            <w:vAlign w:val="center"/>
          </w:tcPr>
          <w:p w:rsidR="003F295B" w:rsidRDefault="00C71A1A">
            <w:pPr>
              <w:jc w:val="right"/>
            </w:pPr>
            <w:r>
              <w:rPr>
                <w:rFonts w:eastAsiaTheme="minorEastAsia"/>
                <w:color w:val="000000" w:themeColor="text1"/>
                <w:szCs w:val="21"/>
              </w:rPr>
              <w:t>-0.73%</w:t>
            </w:r>
          </w:p>
        </w:tc>
        <w:tc>
          <w:tcPr>
            <w:tcW w:w="1291" w:type="dxa"/>
            <w:vAlign w:val="center"/>
          </w:tcPr>
          <w:p w:rsidR="003F295B" w:rsidRDefault="00C71A1A">
            <w:pPr>
              <w:jc w:val="right"/>
            </w:pPr>
            <w:r>
              <w:rPr>
                <w:rFonts w:eastAsiaTheme="minorEastAsia"/>
                <w:color w:val="000000" w:themeColor="text1"/>
                <w:szCs w:val="21"/>
              </w:rPr>
              <w:t>0.92%</w:t>
            </w:r>
          </w:p>
        </w:tc>
        <w:tc>
          <w:tcPr>
            <w:tcW w:w="1291" w:type="dxa"/>
            <w:vAlign w:val="center"/>
          </w:tcPr>
          <w:p w:rsidR="003F295B" w:rsidRDefault="00C71A1A">
            <w:pPr>
              <w:jc w:val="right"/>
            </w:pPr>
            <w:r>
              <w:rPr>
                <w:rFonts w:eastAsiaTheme="minorEastAsia"/>
                <w:color w:val="000000" w:themeColor="text1"/>
                <w:szCs w:val="21"/>
              </w:rPr>
              <w:t>-3.47%</w:t>
            </w:r>
          </w:p>
        </w:tc>
        <w:tc>
          <w:tcPr>
            <w:tcW w:w="1291" w:type="dxa"/>
            <w:vAlign w:val="center"/>
          </w:tcPr>
          <w:p w:rsidR="003F295B" w:rsidRDefault="00C71A1A">
            <w:pPr>
              <w:jc w:val="right"/>
            </w:pPr>
            <w:r>
              <w:rPr>
                <w:rFonts w:eastAsiaTheme="minorEastAsia"/>
                <w:color w:val="000000" w:themeColor="text1"/>
                <w:szCs w:val="21"/>
              </w:rPr>
              <w:t>0.93%</w:t>
            </w:r>
          </w:p>
        </w:tc>
        <w:tc>
          <w:tcPr>
            <w:tcW w:w="1291" w:type="dxa"/>
            <w:vAlign w:val="center"/>
          </w:tcPr>
          <w:p w:rsidR="003F295B" w:rsidRDefault="00C71A1A">
            <w:pPr>
              <w:jc w:val="right"/>
            </w:pPr>
            <w:r>
              <w:rPr>
                <w:rFonts w:eastAsiaTheme="minorEastAsia"/>
                <w:color w:val="000000" w:themeColor="text1"/>
                <w:szCs w:val="21"/>
              </w:rPr>
              <w:t>2.74%</w:t>
            </w:r>
          </w:p>
        </w:tc>
        <w:tc>
          <w:tcPr>
            <w:tcW w:w="1291" w:type="dxa"/>
            <w:vAlign w:val="center"/>
          </w:tcPr>
          <w:p w:rsidR="003F295B" w:rsidRDefault="00C71A1A">
            <w:pPr>
              <w:jc w:val="right"/>
            </w:pPr>
            <w:r>
              <w:rPr>
                <w:rFonts w:eastAsiaTheme="minorEastAsia"/>
                <w:color w:val="000000" w:themeColor="text1"/>
                <w:szCs w:val="21"/>
              </w:rPr>
              <w:t>-0.01%</w:t>
            </w:r>
          </w:p>
        </w:tc>
      </w:tr>
      <w:tr w:rsidR="003F295B">
        <w:tc>
          <w:tcPr>
            <w:tcW w:w="1290" w:type="dxa"/>
            <w:vAlign w:val="center"/>
          </w:tcPr>
          <w:p w:rsidR="003F295B" w:rsidRDefault="00C71A1A">
            <w:pPr>
              <w:jc w:val="left"/>
            </w:pPr>
            <w:r>
              <w:rPr>
                <w:rFonts w:eastAsiaTheme="minorEastAsia"/>
                <w:color w:val="000000" w:themeColor="text1"/>
                <w:szCs w:val="21"/>
              </w:rPr>
              <w:t>过去一年</w:t>
            </w:r>
          </w:p>
        </w:tc>
        <w:tc>
          <w:tcPr>
            <w:tcW w:w="1291" w:type="dxa"/>
            <w:vAlign w:val="center"/>
          </w:tcPr>
          <w:p w:rsidR="003F295B" w:rsidRDefault="00C71A1A">
            <w:pPr>
              <w:jc w:val="right"/>
            </w:pPr>
            <w:r>
              <w:rPr>
                <w:rFonts w:eastAsiaTheme="minorEastAsia"/>
                <w:color w:val="000000" w:themeColor="text1"/>
                <w:szCs w:val="21"/>
              </w:rPr>
              <w:t>4.69%</w:t>
            </w:r>
          </w:p>
        </w:tc>
        <w:tc>
          <w:tcPr>
            <w:tcW w:w="1291" w:type="dxa"/>
            <w:vAlign w:val="center"/>
          </w:tcPr>
          <w:p w:rsidR="003F295B" w:rsidRDefault="00C71A1A">
            <w:pPr>
              <w:jc w:val="right"/>
            </w:pPr>
            <w:r>
              <w:rPr>
                <w:rFonts w:eastAsiaTheme="minorEastAsia"/>
                <w:color w:val="000000" w:themeColor="text1"/>
                <w:szCs w:val="21"/>
              </w:rPr>
              <w:t>1.09%</w:t>
            </w:r>
          </w:p>
        </w:tc>
        <w:tc>
          <w:tcPr>
            <w:tcW w:w="1291" w:type="dxa"/>
            <w:vAlign w:val="center"/>
          </w:tcPr>
          <w:p w:rsidR="003F295B" w:rsidRDefault="00C71A1A">
            <w:pPr>
              <w:jc w:val="right"/>
            </w:pPr>
            <w:r>
              <w:rPr>
                <w:rFonts w:eastAsiaTheme="minorEastAsia"/>
                <w:color w:val="000000" w:themeColor="text1"/>
                <w:szCs w:val="21"/>
              </w:rPr>
              <w:t>-0.36%</w:t>
            </w:r>
          </w:p>
        </w:tc>
        <w:tc>
          <w:tcPr>
            <w:tcW w:w="1291" w:type="dxa"/>
            <w:vAlign w:val="center"/>
          </w:tcPr>
          <w:p w:rsidR="003F295B" w:rsidRDefault="00C71A1A">
            <w:pPr>
              <w:jc w:val="right"/>
            </w:pPr>
            <w:r>
              <w:rPr>
                <w:rFonts w:eastAsiaTheme="minorEastAsia"/>
                <w:color w:val="000000" w:themeColor="text1"/>
                <w:szCs w:val="21"/>
              </w:rPr>
              <w:t>1.10%</w:t>
            </w:r>
          </w:p>
        </w:tc>
        <w:tc>
          <w:tcPr>
            <w:tcW w:w="1291" w:type="dxa"/>
            <w:vAlign w:val="center"/>
          </w:tcPr>
          <w:p w:rsidR="003F295B" w:rsidRDefault="00C71A1A">
            <w:pPr>
              <w:jc w:val="right"/>
            </w:pPr>
            <w:r>
              <w:rPr>
                <w:rFonts w:eastAsiaTheme="minorEastAsia"/>
                <w:color w:val="000000" w:themeColor="text1"/>
                <w:szCs w:val="21"/>
              </w:rPr>
              <w:t>5.05%</w:t>
            </w:r>
          </w:p>
        </w:tc>
        <w:tc>
          <w:tcPr>
            <w:tcW w:w="1291" w:type="dxa"/>
            <w:vAlign w:val="center"/>
          </w:tcPr>
          <w:p w:rsidR="003F295B" w:rsidRDefault="00C71A1A">
            <w:pPr>
              <w:jc w:val="right"/>
            </w:pPr>
            <w:r>
              <w:rPr>
                <w:rFonts w:eastAsiaTheme="minorEastAsia"/>
                <w:color w:val="000000" w:themeColor="text1"/>
                <w:szCs w:val="21"/>
              </w:rPr>
              <w:t>-0.01%</w:t>
            </w:r>
          </w:p>
        </w:tc>
      </w:tr>
      <w:tr w:rsidR="003F295B">
        <w:tc>
          <w:tcPr>
            <w:tcW w:w="1290" w:type="dxa"/>
            <w:vAlign w:val="center"/>
          </w:tcPr>
          <w:p w:rsidR="003F295B" w:rsidRDefault="00C71A1A">
            <w:pPr>
              <w:jc w:val="left"/>
            </w:pPr>
            <w:r>
              <w:rPr>
                <w:rFonts w:eastAsiaTheme="minorEastAsia"/>
                <w:color w:val="000000" w:themeColor="text1"/>
                <w:szCs w:val="21"/>
              </w:rPr>
              <w:t>过去三年</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r>
      <w:tr w:rsidR="003F295B">
        <w:tc>
          <w:tcPr>
            <w:tcW w:w="1290" w:type="dxa"/>
            <w:vAlign w:val="center"/>
          </w:tcPr>
          <w:p w:rsidR="003F295B" w:rsidRDefault="00C71A1A">
            <w:pPr>
              <w:jc w:val="left"/>
            </w:pPr>
            <w:r>
              <w:rPr>
                <w:rFonts w:eastAsiaTheme="minorEastAsia"/>
                <w:color w:val="000000" w:themeColor="text1"/>
                <w:szCs w:val="21"/>
              </w:rPr>
              <w:t>过去五年</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c>
          <w:tcPr>
            <w:tcW w:w="1291" w:type="dxa"/>
            <w:vAlign w:val="center"/>
          </w:tcPr>
          <w:p w:rsidR="003F295B" w:rsidRDefault="00C71A1A">
            <w:pPr>
              <w:jc w:val="right"/>
            </w:pPr>
            <w:r>
              <w:rPr>
                <w:rFonts w:eastAsiaTheme="minorEastAsia"/>
                <w:color w:val="000000" w:themeColor="text1"/>
                <w:szCs w:val="21"/>
              </w:rPr>
              <w:t>-</w:t>
            </w:r>
          </w:p>
        </w:tc>
      </w:tr>
      <w:tr w:rsidR="003F295B">
        <w:tc>
          <w:tcPr>
            <w:tcW w:w="1290" w:type="dxa"/>
            <w:vAlign w:val="center"/>
          </w:tcPr>
          <w:p w:rsidR="003F295B" w:rsidRDefault="00C71A1A">
            <w:pPr>
              <w:jc w:val="left"/>
            </w:pPr>
            <w:r>
              <w:rPr>
                <w:rFonts w:eastAsiaTheme="minorEastAsia"/>
                <w:color w:val="000000" w:themeColor="text1"/>
                <w:szCs w:val="21"/>
              </w:rPr>
              <w:t>自基金合同生效起至今</w:t>
            </w:r>
          </w:p>
        </w:tc>
        <w:tc>
          <w:tcPr>
            <w:tcW w:w="1291" w:type="dxa"/>
            <w:vAlign w:val="center"/>
          </w:tcPr>
          <w:p w:rsidR="003F295B" w:rsidRDefault="00C71A1A">
            <w:pPr>
              <w:jc w:val="right"/>
            </w:pPr>
            <w:r>
              <w:rPr>
                <w:rFonts w:eastAsiaTheme="minorEastAsia"/>
                <w:color w:val="000000" w:themeColor="text1"/>
                <w:szCs w:val="21"/>
              </w:rPr>
              <w:t>15.43%</w:t>
            </w:r>
          </w:p>
        </w:tc>
        <w:tc>
          <w:tcPr>
            <w:tcW w:w="1291" w:type="dxa"/>
            <w:vAlign w:val="center"/>
          </w:tcPr>
          <w:p w:rsidR="003F295B" w:rsidRDefault="00C71A1A">
            <w:pPr>
              <w:jc w:val="right"/>
            </w:pPr>
            <w:r>
              <w:rPr>
                <w:rFonts w:eastAsiaTheme="minorEastAsia"/>
                <w:color w:val="000000" w:themeColor="text1"/>
                <w:szCs w:val="21"/>
              </w:rPr>
              <w:t>1.04%</w:t>
            </w:r>
          </w:p>
        </w:tc>
        <w:tc>
          <w:tcPr>
            <w:tcW w:w="1291" w:type="dxa"/>
            <w:vAlign w:val="center"/>
          </w:tcPr>
          <w:p w:rsidR="003F295B" w:rsidRDefault="00C71A1A">
            <w:pPr>
              <w:jc w:val="right"/>
            </w:pPr>
            <w:r>
              <w:rPr>
                <w:rFonts w:eastAsiaTheme="minorEastAsia"/>
                <w:color w:val="000000" w:themeColor="text1"/>
                <w:szCs w:val="21"/>
              </w:rPr>
              <w:t>9.47%</w:t>
            </w:r>
          </w:p>
        </w:tc>
        <w:tc>
          <w:tcPr>
            <w:tcW w:w="1291" w:type="dxa"/>
            <w:vAlign w:val="center"/>
          </w:tcPr>
          <w:p w:rsidR="003F295B" w:rsidRDefault="00C71A1A">
            <w:pPr>
              <w:jc w:val="right"/>
            </w:pPr>
            <w:r>
              <w:rPr>
                <w:rFonts w:eastAsiaTheme="minorEastAsia"/>
                <w:color w:val="000000" w:themeColor="text1"/>
                <w:szCs w:val="21"/>
              </w:rPr>
              <w:t>1.10%</w:t>
            </w:r>
          </w:p>
        </w:tc>
        <w:tc>
          <w:tcPr>
            <w:tcW w:w="1291" w:type="dxa"/>
            <w:vAlign w:val="center"/>
          </w:tcPr>
          <w:p w:rsidR="003F295B" w:rsidRDefault="00C71A1A">
            <w:pPr>
              <w:jc w:val="right"/>
            </w:pPr>
            <w:r>
              <w:rPr>
                <w:rFonts w:eastAsiaTheme="minorEastAsia"/>
                <w:color w:val="000000" w:themeColor="text1"/>
                <w:szCs w:val="21"/>
              </w:rPr>
              <w:t>5.96%</w:t>
            </w:r>
          </w:p>
        </w:tc>
        <w:tc>
          <w:tcPr>
            <w:tcW w:w="1291" w:type="dxa"/>
            <w:vAlign w:val="center"/>
          </w:tcPr>
          <w:p w:rsidR="003F295B" w:rsidRDefault="00C71A1A">
            <w:pPr>
              <w:jc w:val="right"/>
            </w:pPr>
            <w:r>
              <w:rPr>
                <w:rFonts w:eastAsiaTheme="minorEastAsia"/>
                <w:color w:val="000000" w:themeColor="text1"/>
                <w:szCs w:val="21"/>
              </w:rPr>
              <w:t>-0.06%</w:t>
            </w:r>
          </w:p>
        </w:tc>
      </w:tr>
    </w:tbl>
    <w:p w:rsidR="00DB3887" w:rsidRPr="00D97CD7" w:rsidRDefault="00FC6961">
      <w:pPr>
        <w:spacing w:beforeLines="100" w:before="312" w:line="360" w:lineRule="auto"/>
        <w:rPr>
          <w:rFonts w:eastAsiaTheme="minorEastAsia"/>
          <w:b/>
          <w:color w:val="000000" w:themeColor="text1"/>
          <w:kern w:val="0"/>
          <w:szCs w:val="21"/>
        </w:rPr>
      </w:pPr>
      <w:r w:rsidRPr="00D97CD7">
        <w:rPr>
          <w:rFonts w:eastAsiaTheme="minorEastAsia"/>
          <w:b/>
          <w:color w:val="000000" w:themeColor="text1"/>
          <w:kern w:val="0"/>
          <w:szCs w:val="21"/>
        </w:rPr>
        <w:lastRenderedPageBreak/>
        <w:t>3.2.2</w:t>
      </w:r>
      <w:r w:rsidRPr="00D97CD7">
        <w:rPr>
          <w:rFonts w:eastAsiaTheme="minorEastAsia"/>
          <w:b/>
          <w:color w:val="000000" w:themeColor="text1"/>
          <w:kern w:val="0"/>
          <w:szCs w:val="21"/>
        </w:rPr>
        <w:t xml:space="preserve">　</w:t>
      </w:r>
      <w:r w:rsidRPr="00D97CD7">
        <w:rPr>
          <w:rStyle w:val="af5"/>
          <w:rFonts w:eastAsiaTheme="minorEastAsia"/>
          <w:color w:val="000000" w:themeColor="text1"/>
          <w:szCs w:val="21"/>
          <w:shd w:val="clear" w:color="auto" w:fill="FFFFFF"/>
        </w:rPr>
        <w:t>自基金合同生效以来</w:t>
      </w:r>
      <w:r w:rsidRPr="00D97CD7">
        <w:rPr>
          <w:rFonts w:eastAsiaTheme="minorEastAsia"/>
          <w:b/>
          <w:color w:val="000000" w:themeColor="text1"/>
          <w:szCs w:val="21"/>
        </w:rPr>
        <w:t>基金累计净值增长率变动及其与同期业绩比较基准收益率变动的比较</w:t>
      </w:r>
    </w:p>
    <w:p w:rsidR="00DB3887" w:rsidRPr="00D97CD7" w:rsidRDefault="00FC6961">
      <w:pPr>
        <w:spacing w:line="360" w:lineRule="auto"/>
        <w:jc w:val="center"/>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股交易型开放式指数证券投资基金联接基金</w:t>
      </w:r>
    </w:p>
    <w:p w:rsidR="00DB3887" w:rsidRPr="00D97CD7" w:rsidRDefault="00FC6961">
      <w:pPr>
        <w:pStyle w:val="a9"/>
        <w:snapToGrid w:val="0"/>
        <w:spacing w:line="360" w:lineRule="auto"/>
        <w:jc w:val="center"/>
        <w:rPr>
          <w:rFonts w:ascii="Times New Roman" w:eastAsiaTheme="minorEastAsia" w:hAnsi="Times New Roman"/>
          <w:color w:val="000000" w:themeColor="text1"/>
        </w:rPr>
      </w:pPr>
      <w:r w:rsidRPr="00D97CD7">
        <w:rPr>
          <w:rFonts w:ascii="Times New Roman" w:eastAsiaTheme="minorEastAsia" w:hAnsi="Times New Roman"/>
          <w:color w:val="000000" w:themeColor="text1"/>
        </w:rPr>
        <w:t>累计净值增长率与业绩比较基准收益率的历史走势对比图</w:t>
      </w:r>
    </w:p>
    <w:p w:rsidR="00DB3887" w:rsidRPr="00D97CD7" w:rsidRDefault="00FC6961">
      <w:pPr>
        <w:pStyle w:val="a9"/>
        <w:snapToGrid w:val="0"/>
        <w:spacing w:line="360" w:lineRule="auto"/>
        <w:ind w:firstLine="480"/>
        <w:jc w:val="center"/>
        <w:rPr>
          <w:rFonts w:ascii="Times New Roman" w:eastAsiaTheme="minorEastAsia" w:hAnsi="Times New Roman"/>
          <w:color w:val="000000" w:themeColor="text1"/>
        </w:rPr>
      </w:pPr>
      <w:r w:rsidRPr="00D97CD7">
        <w:rPr>
          <w:rFonts w:ascii="Times New Roman" w:eastAsiaTheme="minorEastAsia" w:hAnsi="Times New Roman"/>
          <w:color w:val="000000" w:themeColor="text1"/>
        </w:rPr>
        <w:t>(2020</w:t>
      </w:r>
      <w:r w:rsidRPr="00D97CD7">
        <w:rPr>
          <w:rFonts w:ascii="Times New Roman" w:eastAsiaTheme="minorEastAsia" w:hAnsi="Times New Roman"/>
          <w:color w:val="000000" w:themeColor="text1"/>
        </w:rPr>
        <w:t>年</w:t>
      </w:r>
      <w:r w:rsidRPr="00D97CD7">
        <w:rPr>
          <w:rFonts w:ascii="Times New Roman" w:eastAsiaTheme="minorEastAsia" w:hAnsi="Times New Roman"/>
          <w:color w:val="000000" w:themeColor="text1"/>
        </w:rPr>
        <w:t>7</w:t>
      </w:r>
      <w:r w:rsidRPr="00D97CD7">
        <w:rPr>
          <w:rFonts w:ascii="Times New Roman" w:eastAsiaTheme="minorEastAsia" w:hAnsi="Times New Roman"/>
          <w:color w:val="000000" w:themeColor="text1"/>
        </w:rPr>
        <w:t>月</w:t>
      </w:r>
      <w:r w:rsidRPr="00D97CD7">
        <w:rPr>
          <w:rFonts w:ascii="Times New Roman" w:eastAsiaTheme="minorEastAsia" w:hAnsi="Times New Roman"/>
          <w:color w:val="000000" w:themeColor="text1"/>
        </w:rPr>
        <w:t>22</w:t>
      </w:r>
      <w:r w:rsidRPr="00D97CD7">
        <w:rPr>
          <w:rFonts w:ascii="Times New Roman" w:eastAsiaTheme="minorEastAsia" w:hAnsi="Times New Roman"/>
          <w:color w:val="000000" w:themeColor="text1"/>
        </w:rPr>
        <w:t>日至</w:t>
      </w:r>
      <w:r w:rsidRPr="00D97CD7">
        <w:rPr>
          <w:rFonts w:ascii="Times New Roman" w:eastAsiaTheme="minorEastAsia" w:hAnsi="Times New Roman"/>
          <w:color w:val="000000" w:themeColor="text1"/>
        </w:rPr>
        <w:t>2021</w:t>
      </w:r>
      <w:r w:rsidRPr="00D97CD7">
        <w:rPr>
          <w:rFonts w:ascii="Times New Roman" w:eastAsiaTheme="minorEastAsia" w:hAnsi="Times New Roman"/>
          <w:color w:val="000000" w:themeColor="text1"/>
        </w:rPr>
        <w:t>年</w:t>
      </w:r>
      <w:r w:rsidRPr="00D97CD7">
        <w:rPr>
          <w:rFonts w:ascii="Times New Roman" w:eastAsiaTheme="minorEastAsia" w:hAnsi="Times New Roman"/>
          <w:color w:val="000000" w:themeColor="text1"/>
        </w:rPr>
        <w:t>12</w:t>
      </w:r>
      <w:r w:rsidRPr="00D97CD7">
        <w:rPr>
          <w:rFonts w:ascii="Times New Roman" w:eastAsiaTheme="minorEastAsia" w:hAnsi="Times New Roman"/>
          <w:color w:val="000000" w:themeColor="text1"/>
        </w:rPr>
        <w:t>月</w:t>
      </w:r>
      <w:r w:rsidRPr="00D97CD7">
        <w:rPr>
          <w:rFonts w:ascii="Times New Roman" w:eastAsiaTheme="minorEastAsia" w:hAnsi="Times New Roman"/>
          <w:color w:val="000000" w:themeColor="text1"/>
        </w:rPr>
        <w:t>31</w:t>
      </w:r>
      <w:r w:rsidRPr="00D97CD7">
        <w:rPr>
          <w:rFonts w:ascii="Times New Roman" w:eastAsiaTheme="minorEastAsia" w:hAnsi="Times New Roman"/>
          <w:color w:val="000000" w:themeColor="text1"/>
        </w:rPr>
        <w:t>日</w:t>
      </w:r>
      <w:r w:rsidRPr="00D97CD7">
        <w:rPr>
          <w:rFonts w:ascii="Times New Roman" w:eastAsiaTheme="minorEastAsia" w:hAnsi="Times New Roman"/>
          <w:color w:val="000000" w:themeColor="text1"/>
        </w:rPr>
        <w:t>)</w:t>
      </w:r>
    </w:p>
    <w:p w:rsidR="00DB3887" w:rsidRPr="00D97CD7" w:rsidRDefault="00FC6961">
      <w:pPr>
        <w:snapToGrid w:val="0"/>
        <w:spacing w:line="360" w:lineRule="auto"/>
        <w:rPr>
          <w:rFonts w:eastAsiaTheme="minorEastAsia"/>
          <w:color w:val="000000" w:themeColor="text1"/>
          <w:szCs w:val="21"/>
        </w:rPr>
      </w:pPr>
      <w:r w:rsidRPr="00D97CD7">
        <w:rPr>
          <w:rFonts w:eastAsiaTheme="minorEastAsia"/>
          <w:color w:val="000000" w:themeColor="text1"/>
          <w:szCs w:val="21"/>
        </w:rPr>
        <w:t>1</w:t>
      </w: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r w:rsidRPr="00D97CD7">
        <w:rPr>
          <w:rFonts w:eastAsiaTheme="minorEastAsia"/>
          <w:color w:val="000000" w:themeColor="text1"/>
          <w:szCs w:val="21"/>
        </w:rPr>
        <w:t>：</w:t>
      </w:r>
    </w:p>
    <w:p w:rsidR="00DB3887" w:rsidRPr="00D97CD7" w:rsidRDefault="00FC6961">
      <w:pPr>
        <w:pStyle w:val="20"/>
        <w:spacing w:line="288" w:lineRule="auto"/>
        <w:ind w:firstLineChars="0" w:firstLine="0"/>
        <w:jc w:val="center"/>
        <w:rPr>
          <w:rFonts w:ascii="Times New Roman" w:eastAsiaTheme="minorEastAsia" w:hAnsi="Times New Roman"/>
          <w:color w:val="000000" w:themeColor="text1"/>
          <w:sz w:val="21"/>
          <w:szCs w:val="21"/>
        </w:rPr>
      </w:pPr>
      <w:r w:rsidRPr="00D97CD7">
        <w:rPr>
          <w:rFonts w:ascii="Times New Roman" w:eastAsiaTheme="minorEastAsia" w:hAnsi="Times New Roman"/>
          <w:noProof/>
          <w:color w:val="000000" w:themeColor="text1"/>
          <w:sz w:val="21"/>
          <w:szCs w:val="21"/>
        </w:rPr>
        <w:drawing>
          <wp:inline distT="0" distB="0" distL="0" distR="0" wp14:anchorId="6740E604" wp14:editId="3FC51B11">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本基金建仓期为本基金合同生效日起</w:t>
      </w:r>
      <w:r w:rsidRPr="00D97CD7">
        <w:rPr>
          <w:rFonts w:eastAsiaTheme="minorEastAsia"/>
          <w:color w:val="000000" w:themeColor="text1"/>
          <w:szCs w:val="21"/>
        </w:rPr>
        <w:t xml:space="preserve"> 6 </w:t>
      </w:r>
      <w:r w:rsidRPr="00D97CD7">
        <w:rPr>
          <w:rFonts w:eastAsiaTheme="minorEastAsia"/>
          <w:color w:val="000000" w:themeColor="text1"/>
          <w:szCs w:val="21"/>
        </w:rPr>
        <w:t>个月，建仓期结束时资产配置比例符合本基金基金合同规定。</w:t>
      </w:r>
    </w:p>
    <w:p w:rsidR="00DB3887" w:rsidRPr="00D97CD7" w:rsidRDefault="00FC6961">
      <w:pPr>
        <w:snapToGrid w:val="0"/>
        <w:spacing w:beforeLines="100" w:before="312" w:line="360" w:lineRule="auto"/>
        <w:rPr>
          <w:rFonts w:eastAsiaTheme="minorEastAsia"/>
          <w:color w:val="000000" w:themeColor="text1"/>
          <w:szCs w:val="21"/>
        </w:rPr>
      </w:pPr>
      <w:r w:rsidRPr="00D97CD7">
        <w:rPr>
          <w:rFonts w:eastAsiaTheme="minorEastAsia"/>
          <w:color w:val="000000" w:themeColor="text1"/>
          <w:szCs w:val="21"/>
        </w:rPr>
        <w:t>2</w:t>
      </w: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r w:rsidRPr="00D97CD7">
        <w:rPr>
          <w:rFonts w:eastAsiaTheme="minorEastAsia"/>
          <w:color w:val="000000" w:themeColor="text1"/>
          <w:szCs w:val="21"/>
        </w:rPr>
        <w:t>：</w:t>
      </w:r>
    </w:p>
    <w:p w:rsidR="00DB3887" w:rsidRPr="00D97CD7" w:rsidRDefault="00FC6961">
      <w:pPr>
        <w:pStyle w:val="20"/>
        <w:spacing w:line="288" w:lineRule="auto"/>
        <w:ind w:firstLineChars="0" w:firstLine="0"/>
        <w:jc w:val="center"/>
        <w:rPr>
          <w:rFonts w:ascii="Times New Roman" w:eastAsiaTheme="minorEastAsia" w:hAnsi="Times New Roman"/>
          <w:color w:val="000000" w:themeColor="text1"/>
          <w:sz w:val="21"/>
          <w:szCs w:val="21"/>
        </w:rPr>
      </w:pPr>
      <w:r w:rsidRPr="00D97CD7">
        <w:rPr>
          <w:rFonts w:ascii="Times New Roman" w:eastAsiaTheme="minorEastAsia" w:hAnsi="Times New Roman"/>
          <w:noProof/>
          <w:color w:val="000000" w:themeColor="text1"/>
          <w:sz w:val="21"/>
          <w:szCs w:val="21"/>
        </w:rPr>
        <w:lastRenderedPageBreak/>
        <w:drawing>
          <wp:inline distT="0" distB="0" distL="0" distR="0" wp14:anchorId="07AC3F6F" wp14:editId="760A3A2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本基金建仓期为本基金合同生效日起</w:t>
      </w:r>
      <w:r w:rsidRPr="00D97CD7">
        <w:rPr>
          <w:rFonts w:eastAsiaTheme="minorEastAsia"/>
          <w:color w:val="000000" w:themeColor="text1"/>
          <w:szCs w:val="21"/>
        </w:rPr>
        <w:t xml:space="preserve"> 6 </w:t>
      </w:r>
      <w:r w:rsidRPr="00D97CD7">
        <w:rPr>
          <w:rFonts w:eastAsiaTheme="minorEastAsia"/>
          <w:color w:val="000000" w:themeColor="text1"/>
          <w:szCs w:val="21"/>
        </w:rPr>
        <w:t>个月，建仓期结束时资产配置比例符合本基金基金合同规定。</w:t>
      </w:r>
    </w:p>
    <w:p w:rsidR="00DB3887" w:rsidRPr="00D97CD7" w:rsidRDefault="00DB3887">
      <w:pPr>
        <w:tabs>
          <w:tab w:val="left" w:pos="1800"/>
        </w:tabs>
        <w:spacing w:line="288" w:lineRule="auto"/>
        <w:rPr>
          <w:rFonts w:eastAsiaTheme="minorEastAsia"/>
          <w:color w:val="000000" w:themeColor="text1"/>
          <w:szCs w:val="21"/>
        </w:rPr>
      </w:pP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§4  </w:t>
      </w:r>
      <w:r w:rsidRPr="00D97CD7">
        <w:rPr>
          <w:rFonts w:eastAsiaTheme="minorEastAsia"/>
          <w:color w:val="000000" w:themeColor="text1"/>
          <w:kern w:val="0"/>
          <w:sz w:val="21"/>
          <w:szCs w:val="21"/>
        </w:rPr>
        <w:t>管理人报告</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4.1 </w:t>
      </w:r>
      <w:r w:rsidRPr="00D97CD7">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DB3887" w:rsidRPr="00D97CD7">
        <w:tc>
          <w:tcPr>
            <w:tcW w:w="952"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姓名</w:t>
            </w:r>
          </w:p>
        </w:tc>
        <w:tc>
          <w:tcPr>
            <w:tcW w:w="930"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职务</w:t>
            </w:r>
          </w:p>
        </w:tc>
        <w:tc>
          <w:tcPr>
            <w:tcW w:w="2519" w:type="dxa"/>
            <w:gridSpan w:val="2"/>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任本基金的基金经理期限</w:t>
            </w:r>
          </w:p>
        </w:tc>
        <w:tc>
          <w:tcPr>
            <w:tcW w:w="1254"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证券从业年限</w:t>
            </w:r>
          </w:p>
        </w:tc>
        <w:tc>
          <w:tcPr>
            <w:tcW w:w="3276" w:type="dxa"/>
            <w:vMerge w:val="restart"/>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说明</w:t>
            </w:r>
          </w:p>
        </w:tc>
      </w:tr>
      <w:tr w:rsidR="00DB3887" w:rsidRPr="00D97CD7">
        <w:tc>
          <w:tcPr>
            <w:tcW w:w="952"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任职日期</w:t>
            </w:r>
          </w:p>
        </w:tc>
        <w:tc>
          <w:tcPr>
            <w:tcW w:w="1309" w:type="dxa"/>
            <w:vAlign w:val="center"/>
          </w:tcPr>
          <w:p w:rsidR="00DB3887" w:rsidRPr="00D97CD7" w:rsidRDefault="00FC6961">
            <w:pPr>
              <w:autoSpaceDE w:val="0"/>
              <w:autoSpaceDN w:val="0"/>
              <w:adjustRightInd w:val="0"/>
              <w:spacing w:before="29" w:line="288"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离任日期</w:t>
            </w:r>
          </w:p>
        </w:tc>
        <w:tc>
          <w:tcPr>
            <w:tcW w:w="1254"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DB3887" w:rsidRPr="00D97CD7" w:rsidRDefault="00DB3887">
            <w:pPr>
              <w:autoSpaceDE w:val="0"/>
              <w:autoSpaceDN w:val="0"/>
              <w:adjustRightInd w:val="0"/>
              <w:spacing w:before="29" w:line="288" w:lineRule="auto"/>
              <w:ind w:left="15"/>
              <w:jc w:val="center"/>
              <w:rPr>
                <w:rFonts w:eastAsiaTheme="minorEastAsia"/>
                <w:color w:val="000000" w:themeColor="text1"/>
                <w:kern w:val="0"/>
                <w:szCs w:val="21"/>
              </w:rPr>
            </w:pPr>
          </w:p>
        </w:tc>
      </w:tr>
      <w:tr w:rsidR="003F295B">
        <w:tc>
          <w:tcPr>
            <w:tcW w:w="952" w:type="dxa"/>
            <w:vAlign w:val="center"/>
          </w:tcPr>
          <w:p w:rsidR="003F295B" w:rsidRDefault="00C71A1A">
            <w:pPr>
              <w:jc w:val="center"/>
            </w:pPr>
            <w:r>
              <w:rPr>
                <w:rFonts w:eastAsiaTheme="minorEastAsia"/>
                <w:color w:val="000000" w:themeColor="text1"/>
                <w:szCs w:val="21"/>
              </w:rPr>
              <w:t>胡迪</w:t>
            </w:r>
          </w:p>
        </w:tc>
        <w:tc>
          <w:tcPr>
            <w:tcW w:w="930" w:type="dxa"/>
            <w:vAlign w:val="center"/>
          </w:tcPr>
          <w:p w:rsidR="003F295B" w:rsidRDefault="00C71A1A">
            <w:pPr>
              <w:jc w:val="center"/>
            </w:pPr>
            <w:r>
              <w:rPr>
                <w:rFonts w:eastAsiaTheme="minorEastAsia"/>
                <w:color w:val="000000" w:themeColor="text1"/>
                <w:szCs w:val="21"/>
              </w:rPr>
              <w:t>本基金基金经理、指数及量化投资部总监</w:t>
            </w:r>
          </w:p>
        </w:tc>
        <w:tc>
          <w:tcPr>
            <w:tcW w:w="1210" w:type="dxa"/>
            <w:vAlign w:val="center"/>
          </w:tcPr>
          <w:p w:rsidR="003F295B" w:rsidRDefault="00C71A1A">
            <w:pPr>
              <w:jc w:val="center"/>
            </w:pPr>
            <w:r>
              <w:rPr>
                <w:rFonts w:eastAsiaTheme="minorEastAsia"/>
                <w:color w:val="000000" w:themeColor="text1"/>
                <w:szCs w:val="21"/>
              </w:rPr>
              <w:t>2021-01-07</w:t>
            </w:r>
          </w:p>
        </w:tc>
        <w:tc>
          <w:tcPr>
            <w:tcW w:w="1309" w:type="dxa"/>
            <w:vAlign w:val="center"/>
          </w:tcPr>
          <w:p w:rsidR="003F295B" w:rsidRDefault="00C71A1A">
            <w:pPr>
              <w:jc w:val="center"/>
            </w:pPr>
            <w:r>
              <w:rPr>
                <w:rFonts w:eastAsiaTheme="minorEastAsia"/>
                <w:color w:val="000000" w:themeColor="text1"/>
                <w:szCs w:val="21"/>
              </w:rPr>
              <w:t>-</w:t>
            </w:r>
          </w:p>
        </w:tc>
        <w:tc>
          <w:tcPr>
            <w:tcW w:w="1254" w:type="dxa"/>
            <w:vAlign w:val="center"/>
          </w:tcPr>
          <w:p w:rsidR="003F295B" w:rsidRDefault="00C71A1A">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F295B" w:rsidRDefault="00C71A1A">
            <w:r>
              <w:rPr>
                <w:rFonts w:eastAsiaTheme="minorEastAsia"/>
                <w:color w:val="000000" w:themeColor="text1"/>
                <w:szCs w:val="21"/>
              </w:rPr>
              <w:t>胡迪女士，</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FRM</w:t>
            </w:r>
            <w:r>
              <w:rPr>
                <w:rFonts w:eastAsiaTheme="minorEastAsia"/>
                <w:color w:val="000000" w:themeColor="text1"/>
                <w:szCs w:val="21"/>
              </w:rPr>
              <w:t>，美国哥伦比亚大学金融工程硕士，现任指数及量化投资部总监。胡迪女士自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月在纽约美林证券担任全球资产管理部高级经理；自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月在纽约标准普尔担任量化投资主管；自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月在中国国际金融股份有限公司担任资产管理部执行总经理；自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月加入上投摩根基金管理有限公司，现任指数及量化投资部总监，自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w:t>
            </w:r>
            <w:r>
              <w:rPr>
                <w:rFonts w:eastAsiaTheme="minorEastAsia"/>
                <w:color w:val="000000" w:themeColor="text1"/>
                <w:szCs w:val="21"/>
              </w:rPr>
              <w:lastRenderedPageBreak/>
              <w:t>担任上投摩根量化多因子灵活配置混合型证券投资基金、上投摩根优选多因子股票型证券投资基金、上投摩根动态</w:t>
            </w:r>
            <w:r>
              <w:rPr>
                <w:rFonts w:eastAsiaTheme="minorEastAsia"/>
                <w:color w:val="000000" w:themeColor="text1"/>
                <w:szCs w:val="21"/>
              </w:rPr>
              <w:t>多因子策略灵活配置混合型证券投资基金、上投摩根中证消费服务领先指数证券投资基金、上投摩根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股交易型开放式指数证券投资基金联接基金、上投摩根标普港股通低波红利指数型证券投资基金基金经理</w:t>
            </w:r>
            <w:r>
              <w:rPr>
                <w:rFonts w:eastAsiaTheme="minorEastAsia"/>
                <w:color w:val="000000" w:themeColor="text1"/>
                <w:szCs w:val="21"/>
              </w:rPr>
              <w:t>,</w:t>
            </w:r>
            <w:r>
              <w:rPr>
                <w:rFonts w:eastAsiaTheme="minorEastAsia"/>
                <w:color w:val="000000" w:themeColor="text1"/>
                <w:szCs w:val="21"/>
              </w:rPr>
              <w:t>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r w:rsidR="003F295B">
        <w:tc>
          <w:tcPr>
            <w:tcW w:w="952" w:type="dxa"/>
            <w:vAlign w:val="center"/>
          </w:tcPr>
          <w:p w:rsidR="003F295B" w:rsidRDefault="00C71A1A">
            <w:pPr>
              <w:jc w:val="center"/>
            </w:pPr>
            <w:r>
              <w:rPr>
                <w:rFonts w:eastAsiaTheme="minorEastAsia"/>
                <w:color w:val="000000" w:themeColor="text1"/>
                <w:szCs w:val="21"/>
              </w:rPr>
              <w:lastRenderedPageBreak/>
              <w:t>何智豪</w:t>
            </w:r>
          </w:p>
        </w:tc>
        <w:tc>
          <w:tcPr>
            <w:tcW w:w="930" w:type="dxa"/>
            <w:vAlign w:val="center"/>
          </w:tcPr>
          <w:p w:rsidR="003F295B" w:rsidRDefault="00C71A1A">
            <w:pPr>
              <w:jc w:val="center"/>
            </w:pPr>
            <w:r>
              <w:rPr>
                <w:rFonts w:eastAsiaTheme="minorEastAsia"/>
                <w:color w:val="000000" w:themeColor="text1"/>
                <w:szCs w:val="21"/>
              </w:rPr>
              <w:t>本基金基金经理</w:t>
            </w:r>
          </w:p>
        </w:tc>
        <w:tc>
          <w:tcPr>
            <w:tcW w:w="1210" w:type="dxa"/>
            <w:vAlign w:val="center"/>
          </w:tcPr>
          <w:p w:rsidR="003F295B" w:rsidRDefault="00C71A1A">
            <w:pPr>
              <w:jc w:val="center"/>
            </w:pPr>
            <w:r>
              <w:rPr>
                <w:rFonts w:eastAsiaTheme="minorEastAsia"/>
                <w:color w:val="000000" w:themeColor="text1"/>
                <w:szCs w:val="21"/>
              </w:rPr>
              <w:t>2021-02-19</w:t>
            </w:r>
          </w:p>
        </w:tc>
        <w:tc>
          <w:tcPr>
            <w:tcW w:w="1309" w:type="dxa"/>
            <w:vAlign w:val="center"/>
          </w:tcPr>
          <w:p w:rsidR="003F295B" w:rsidRDefault="00C71A1A">
            <w:pPr>
              <w:jc w:val="center"/>
            </w:pPr>
            <w:r>
              <w:rPr>
                <w:rFonts w:eastAsiaTheme="minorEastAsia"/>
                <w:color w:val="000000" w:themeColor="text1"/>
                <w:szCs w:val="21"/>
              </w:rPr>
              <w:t>-</w:t>
            </w:r>
          </w:p>
        </w:tc>
        <w:tc>
          <w:tcPr>
            <w:tcW w:w="1254" w:type="dxa"/>
            <w:vAlign w:val="center"/>
          </w:tcPr>
          <w:p w:rsidR="003F295B" w:rsidRDefault="00C71A1A">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3F295B" w:rsidRDefault="00C71A1A">
            <w:r>
              <w:rPr>
                <w:rFonts w:eastAsiaTheme="minorEastAsia"/>
                <w:color w:val="000000" w:themeColor="text1"/>
                <w:szCs w:val="21"/>
              </w:rPr>
              <w:t>何智豪先生，复旦大学应用数学硕士，现任指数及量化投资部基金经理。何智豪先生自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月，在中国国际金融股份有限公司担任组合与量化策略研究员、资产管理部高级经理；自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月起同时担任上投摩根量化多因子灵活配置混合型证券投资基金、上投摩根优选多因子股票型证券投资基金、上投摩根中证消费服务领先指数证券投资基金、上投摩根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w:t>
            </w:r>
            <w:r>
              <w:rPr>
                <w:rFonts w:eastAsiaTheme="minorEastAsia"/>
                <w:color w:val="000000" w:themeColor="text1"/>
                <w:szCs w:val="21"/>
              </w:rPr>
              <w:t>开放式指数证券投资基金联接基金、上投摩根标普港股通低波红利指数型证券投资基金基金经理，自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3F295B" w:rsidRDefault="00C71A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 xml:space="preserve">2. </w:t>
      </w:r>
      <w:r w:rsidRPr="00D97CD7">
        <w:rPr>
          <w:rFonts w:eastAsiaTheme="minorEastAsia"/>
          <w:color w:val="000000" w:themeColor="text1"/>
          <w:szCs w:val="21"/>
        </w:rPr>
        <w:t>证券从业的含义遵从行业协会《证券业从业人员资格管理办法》的相关规定。</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4.2</w:t>
      </w:r>
      <w:r w:rsidRPr="00D97CD7">
        <w:rPr>
          <w:rFonts w:eastAsiaTheme="minorEastAsia"/>
          <w:b/>
          <w:color w:val="000000" w:themeColor="text1"/>
          <w:kern w:val="0"/>
          <w:szCs w:val="21"/>
        </w:rPr>
        <w:t>管理人对报告期内本基金运作遵规守信情况的说明</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交易型开放式指数证券投资基金联接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4.3 </w:t>
      </w:r>
      <w:r w:rsidRPr="00D97CD7">
        <w:rPr>
          <w:rFonts w:eastAsiaTheme="minorEastAsia"/>
          <w:b/>
          <w:color w:val="000000" w:themeColor="text1"/>
          <w:kern w:val="0"/>
          <w:szCs w:val="21"/>
        </w:rPr>
        <w:t>公平交易专项说明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 xml:space="preserve">4.3.1 </w:t>
      </w:r>
      <w:r w:rsidRPr="00D97CD7">
        <w:rPr>
          <w:rFonts w:eastAsiaTheme="minorEastAsia"/>
          <w:color w:val="000000" w:themeColor="text1"/>
          <w:szCs w:val="21"/>
        </w:rPr>
        <w:t>公平交易制度的执行情况</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w:t>
      </w:r>
      <w:r>
        <w:rPr>
          <w:rFonts w:eastAsiaTheme="minorEastAsia"/>
          <w:color w:val="000000" w:themeColor="text1"/>
          <w:szCs w:val="21"/>
        </w:rPr>
        <w:t>；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 xml:space="preserve">4.3.2 </w:t>
      </w:r>
      <w:r w:rsidRPr="00D97CD7">
        <w:rPr>
          <w:rFonts w:eastAsiaTheme="minorEastAsia"/>
          <w:color w:val="000000" w:themeColor="text1"/>
          <w:szCs w:val="21"/>
        </w:rPr>
        <w:t>异常交易行为的专项说明</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所有投资组合参与的交易所公开竞价同日反向交易成交较少的单边交易量超过该证券当日成交量的</w:t>
      </w:r>
      <w:r w:rsidRPr="00D97CD7">
        <w:rPr>
          <w:rFonts w:eastAsiaTheme="minorEastAsia"/>
          <w:color w:val="000000" w:themeColor="text1"/>
          <w:szCs w:val="21"/>
        </w:rPr>
        <w:t>5%</w:t>
      </w:r>
      <w:r w:rsidRPr="00D97CD7">
        <w:rPr>
          <w:rFonts w:eastAsiaTheme="minorEastAsia"/>
          <w:color w:val="000000" w:themeColor="text1"/>
          <w:szCs w:val="21"/>
        </w:rPr>
        <w:t>的情形：无。</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lastRenderedPageBreak/>
        <w:t xml:space="preserve">4.4 </w:t>
      </w:r>
      <w:r w:rsidRPr="00D97CD7">
        <w:rPr>
          <w:rFonts w:eastAsiaTheme="minorEastAsia"/>
          <w:b/>
          <w:color w:val="000000" w:themeColor="text1"/>
          <w:kern w:val="0"/>
          <w:szCs w:val="21"/>
        </w:rPr>
        <w:t>报告期内基金的投资策略和业绩表现说明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4.4.1</w:t>
      </w:r>
      <w:r w:rsidRPr="00D97CD7">
        <w:rPr>
          <w:rFonts w:eastAsiaTheme="minorEastAsia"/>
          <w:color w:val="000000" w:themeColor="text1"/>
          <w:szCs w:val="21"/>
        </w:rPr>
        <w:t>报告期内基金投资策略和运作分析</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四季度，本基金跟踪的</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股指数小幅上行，当季收涨</w:t>
      </w:r>
      <w:r>
        <w:rPr>
          <w:rFonts w:eastAsiaTheme="minorEastAsia"/>
          <w:color w:val="000000" w:themeColor="text1"/>
          <w:szCs w:val="21"/>
        </w:rPr>
        <w:t>1.57%</w:t>
      </w:r>
      <w:r>
        <w:rPr>
          <w:rFonts w:eastAsiaTheme="minorEastAsia"/>
          <w:color w:val="000000" w:themeColor="text1"/>
          <w:szCs w:val="21"/>
        </w:rPr>
        <w:t>，同期沪深</w:t>
      </w:r>
      <w:r>
        <w:rPr>
          <w:rFonts w:eastAsiaTheme="minorEastAsia"/>
          <w:color w:val="000000" w:themeColor="text1"/>
          <w:szCs w:val="21"/>
        </w:rPr>
        <w:t>300</w:t>
      </w:r>
      <w:r>
        <w:rPr>
          <w:rFonts w:eastAsiaTheme="minorEastAsia"/>
          <w:color w:val="000000" w:themeColor="text1"/>
          <w:szCs w:val="21"/>
        </w:rPr>
        <w:t>指数收涨</w:t>
      </w:r>
      <w:r>
        <w:rPr>
          <w:rFonts w:eastAsiaTheme="minorEastAsia"/>
          <w:color w:val="000000" w:themeColor="text1"/>
          <w:szCs w:val="21"/>
        </w:rPr>
        <w:t>1.52%</w:t>
      </w:r>
      <w:r>
        <w:rPr>
          <w:rFonts w:eastAsiaTheme="minorEastAsia"/>
          <w:color w:val="000000" w:themeColor="text1"/>
          <w:szCs w:val="21"/>
        </w:rPr>
        <w:t>。四季度以来经历了市场的高低切换和轮动，以建筑材料、轻工制造、建筑装饰等为代表的低估值板块和基建板块涨幅显著，而周期板块继三季度的突出表现后出现显著回调。整个四季度内，申万一级行业中，采掘、钢铁分别下跌</w:t>
      </w:r>
      <w:r>
        <w:rPr>
          <w:rFonts w:eastAsiaTheme="minorEastAsia"/>
          <w:color w:val="000000" w:themeColor="text1"/>
          <w:szCs w:val="21"/>
        </w:rPr>
        <w:t>13.83%</w:t>
      </w:r>
      <w:r>
        <w:rPr>
          <w:rFonts w:eastAsiaTheme="minorEastAsia"/>
          <w:color w:val="000000" w:themeColor="text1"/>
          <w:szCs w:val="21"/>
        </w:rPr>
        <w:t>和</w:t>
      </w:r>
      <w:r>
        <w:rPr>
          <w:rFonts w:eastAsiaTheme="minorEastAsia"/>
          <w:color w:val="000000" w:themeColor="text1"/>
          <w:szCs w:val="21"/>
        </w:rPr>
        <w:t>9.41%</w:t>
      </w:r>
      <w:r>
        <w:rPr>
          <w:rFonts w:eastAsiaTheme="minorEastAsia"/>
          <w:color w:val="000000" w:themeColor="text1"/>
          <w:szCs w:val="21"/>
        </w:rPr>
        <w:t>，而国防军工、</w:t>
      </w:r>
      <w:r>
        <w:rPr>
          <w:rFonts w:eastAsiaTheme="minorEastAsia"/>
          <w:color w:val="000000" w:themeColor="text1"/>
          <w:szCs w:val="21"/>
        </w:rPr>
        <w:t>通信、轻工制造、电子板块分别上涨</w:t>
      </w:r>
      <w:r>
        <w:rPr>
          <w:rFonts w:eastAsiaTheme="minorEastAsia"/>
          <w:color w:val="000000" w:themeColor="text1"/>
          <w:szCs w:val="21"/>
        </w:rPr>
        <w:t>16.39%</w:t>
      </w:r>
      <w:r>
        <w:rPr>
          <w:rFonts w:eastAsiaTheme="minorEastAsia"/>
          <w:color w:val="000000" w:themeColor="text1"/>
          <w:szCs w:val="21"/>
        </w:rPr>
        <w:t>、</w:t>
      </w:r>
      <w:r>
        <w:rPr>
          <w:rFonts w:eastAsiaTheme="minorEastAsia"/>
          <w:color w:val="000000" w:themeColor="text1"/>
          <w:szCs w:val="21"/>
        </w:rPr>
        <w:t>12.74%</w:t>
      </w:r>
      <w:r>
        <w:rPr>
          <w:rFonts w:eastAsiaTheme="minorEastAsia"/>
          <w:color w:val="000000" w:themeColor="text1"/>
          <w:szCs w:val="21"/>
        </w:rPr>
        <w:t>、</w:t>
      </w:r>
      <w:r>
        <w:rPr>
          <w:rFonts w:eastAsiaTheme="minorEastAsia"/>
          <w:color w:val="000000" w:themeColor="text1"/>
          <w:szCs w:val="21"/>
        </w:rPr>
        <w:t>11.68%</w:t>
      </w:r>
      <w:r>
        <w:rPr>
          <w:rFonts w:eastAsiaTheme="minorEastAsia"/>
          <w:color w:val="000000" w:themeColor="text1"/>
          <w:szCs w:val="21"/>
        </w:rPr>
        <w:t>和</w:t>
      </w:r>
      <w:r>
        <w:rPr>
          <w:rFonts w:eastAsiaTheme="minorEastAsia"/>
          <w:color w:val="000000" w:themeColor="text1"/>
          <w:szCs w:val="21"/>
        </w:rPr>
        <w:t>11.63%</w:t>
      </w:r>
      <w:r>
        <w:rPr>
          <w:rFonts w:eastAsiaTheme="minorEastAsia"/>
          <w:color w:val="000000" w:themeColor="text1"/>
          <w:szCs w:val="21"/>
        </w:rPr>
        <w:t>。本基金继续采用完全复制的方法跟踪标的指数，跟踪误差保持在合理范围内。</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展望</w:t>
      </w:r>
      <w:r w:rsidRPr="00D97CD7">
        <w:rPr>
          <w:rFonts w:eastAsiaTheme="minorEastAsia"/>
          <w:color w:val="000000" w:themeColor="text1"/>
          <w:szCs w:val="21"/>
        </w:rPr>
        <w:t>2022</w:t>
      </w:r>
      <w:r w:rsidRPr="00D97CD7">
        <w:rPr>
          <w:rFonts w:eastAsiaTheme="minorEastAsia"/>
          <w:color w:val="000000" w:themeColor="text1"/>
          <w:szCs w:val="21"/>
        </w:rPr>
        <w:t>年一季度，市场有望走出春季行情。从政策方面，稳增长成为政策基调，财政与货币政策积极发力；资金面上，随着降准的落地，货币政策边际趋松；随着区域全面经济伙伴关系协定（</w:t>
      </w:r>
      <w:r w:rsidRPr="00D97CD7">
        <w:rPr>
          <w:rFonts w:eastAsiaTheme="minorEastAsia"/>
          <w:color w:val="000000" w:themeColor="text1"/>
          <w:szCs w:val="21"/>
        </w:rPr>
        <w:t>RCEP</w:t>
      </w:r>
      <w:r w:rsidRPr="00D97CD7">
        <w:rPr>
          <w:rFonts w:eastAsiaTheme="minorEastAsia"/>
          <w:color w:val="000000" w:themeColor="text1"/>
          <w:szCs w:val="21"/>
        </w:rPr>
        <w:t>）落地生效，中国经济</w:t>
      </w:r>
      <w:r w:rsidRPr="00D97CD7">
        <w:rPr>
          <w:rFonts w:eastAsiaTheme="minorEastAsia"/>
          <w:color w:val="000000" w:themeColor="text1"/>
          <w:szCs w:val="21"/>
        </w:rPr>
        <w:t>“</w:t>
      </w:r>
      <w:r w:rsidRPr="00D97CD7">
        <w:rPr>
          <w:rFonts w:eastAsiaTheme="minorEastAsia"/>
          <w:color w:val="000000" w:themeColor="text1"/>
          <w:szCs w:val="21"/>
        </w:rPr>
        <w:t>外循环</w:t>
      </w:r>
      <w:r w:rsidRPr="00D97CD7">
        <w:rPr>
          <w:rFonts w:eastAsiaTheme="minorEastAsia"/>
          <w:color w:val="000000" w:themeColor="text1"/>
          <w:szCs w:val="21"/>
        </w:rPr>
        <w:t>”</w:t>
      </w:r>
      <w:r w:rsidRPr="00D97CD7">
        <w:rPr>
          <w:rFonts w:eastAsiaTheme="minorEastAsia"/>
          <w:color w:val="000000" w:themeColor="text1"/>
          <w:szCs w:val="21"/>
        </w:rPr>
        <w:t>的韧性有望增强。后续主要的风险来自于</w:t>
      </w:r>
      <w:r w:rsidRPr="00D97CD7">
        <w:rPr>
          <w:rFonts w:eastAsiaTheme="minorEastAsia"/>
          <w:color w:val="000000" w:themeColor="text1"/>
          <w:szCs w:val="21"/>
        </w:rPr>
        <w:t>Omicron</w:t>
      </w:r>
      <w:r w:rsidRPr="00D97CD7">
        <w:rPr>
          <w:rFonts w:eastAsiaTheme="minorEastAsia"/>
          <w:color w:val="000000" w:themeColor="text1"/>
          <w:szCs w:val="21"/>
        </w:rPr>
        <w:t>疫情变种的反复，以及美联储加息节奏的变化。</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szCs w:val="21"/>
        </w:rPr>
        <w:t>4.4.2</w:t>
      </w:r>
      <w:r w:rsidRPr="00D97CD7">
        <w:rPr>
          <w:rFonts w:eastAsiaTheme="minorEastAsia"/>
          <w:color w:val="000000" w:themeColor="text1"/>
          <w:szCs w:val="21"/>
        </w:rPr>
        <w:t>报告期内基金的业绩表现</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w:t>
      </w:r>
      <w:r>
        <w:rPr>
          <w:rFonts w:eastAsiaTheme="minorEastAsia"/>
          <w:color w:val="000000" w:themeColor="text1"/>
          <w:szCs w:val="21"/>
        </w:rPr>
        <w:t>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:1.92%</w:t>
      </w:r>
      <w:r>
        <w:rPr>
          <w:rFonts w:eastAsiaTheme="minorEastAsia"/>
          <w:color w:val="000000" w:themeColor="text1"/>
          <w:szCs w:val="21"/>
        </w:rPr>
        <w:t>，同期业绩比较基准收益率为</w:t>
      </w:r>
      <w:r>
        <w:rPr>
          <w:rFonts w:eastAsiaTheme="minorEastAsia"/>
          <w:color w:val="000000" w:themeColor="text1"/>
          <w:szCs w:val="21"/>
        </w:rPr>
        <w:t>:1.50%,</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r w:rsidRPr="00D97CD7">
        <w:rPr>
          <w:rFonts w:eastAsiaTheme="minorEastAsia"/>
          <w:color w:val="000000" w:themeColor="text1"/>
          <w:szCs w:val="21"/>
        </w:rPr>
        <w:t>份额净值增长率为</w:t>
      </w:r>
      <w:r w:rsidRPr="00D97CD7">
        <w:rPr>
          <w:rFonts w:eastAsiaTheme="minorEastAsia"/>
          <w:color w:val="000000" w:themeColor="text1"/>
          <w:szCs w:val="21"/>
        </w:rPr>
        <w:t>:1.89%</w:t>
      </w:r>
      <w:r w:rsidRPr="00D97CD7">
        <w:rPr>
          <w:rFonts w:eastAsiaTheme="minorEastAsia"/>
          <w:color w:val="000000" w:themeColor="text1"/>
          <w:szCs w:val="21"/>
        </w:rPr>
        <w:t>，同期业绩比较基准收益率为</w:t>
      </w:r>
      <w:r w:rsidRPr="00D97CD7">
        <w:rPr>
          <w:rFonts w:eastAsiaTheme="minorEastAsia"/>
          <w:color w:val="000000" w:themeColor="text1"/>
          <w:szCs w:val="21"/>
        </w:rPr>
        <w:t>:1.50%</w:t>
      </w:r>
      <w:r w:rsidRPr="00D97CD7">
        <w:rPr>
          <w:rFonts w:eastAsiaTheme="minorEastAsia"/>
          <w:color w:val="000000" w:themeColor="text1"/>
          <w:szCs w:val="21"/>
        </w:rPr>
        <w:t>。</w:t>
      </w:r>
    </w:p>
    <w:p w:rsidR="00DB3887" w:rsidRPr="00D97CD7" w:rsidRDefault="00DB3887">
      <w:pPr>
        <w:spacing w:line="360" w:lineRule="auto"/>
        <w:ind w:firstLineChars="200" w:firstLine="420"/>
        <w:rPr>
          <w:rFonts w:eastAsiaTheme="minorEastAsia"/>
          <w:color w:val="000000" w:themeColor="text1"/>
          <w:szCs w:val="21"/>
        </w:rPr>
      </w:pPr>
    </w:p>
    <w:p w:rsidR="00DB3887" w:rsidRPr="00D97CD7" w:rsidRDefault="00FC6961">
      <w:pPr>
        <w:spacing w:line="360" w:lineRule="auto"/>
        <w:rPr>
          <w:rFonts w:eastAsiaTheme="minorEastAsia"/>
          <w:color w:val="000000" w:themeColor="text1"/>
          <w:szCs w:val="21"/>
        </w:rPr>
      </w:pPr>
      <w:r w:rsidRPr="00D97CD7">
        <w:rPr>
          <w:rFonts w:eastAsiaTheme="minorEastAsia"/>
          <w:b/>
          <w:color w:val="000000" w:themeColor="text1"/>
          <w:kern w:val="0"/>
          <w:szCs w:val="21"/>
        </w:rPr>
        <w:t>4.5</w:t>
      </w:r>
      <w:r w:rsidRPr="00D97CD7">
        <w:rPr>
          <w:rFonts w:eastAsiaTheme="minorEastAsia"/>
          <w:b/>
          <w:color w:val="000000" w:themeColor="text1"/>
          <w:kern w:val="0"/>
          <w:szCs w:val="21"/>
        </w:rPr>
        <w:t>报告期内基金持有人数或基金资产净值预警说明</w:t>
      </w:r>
    </w:p>
    <w:p w:rsidR="00DB3887" w:rsidRPr="00D97CD7" w:rsidRDefault="00FC6961">
      <w:pPr>
        <w:spacing w:line="360" w:lineRule="auto"/>
        <w:rPr>
          <w:rFonts w:eastAsiaTheme="minorEastAsia"/>
          <w:color w:val="000000" w:themeColor="text1"/>
          <w:szCs w:val="21"/>
        </w:rPr>
      </w:pPr>
      <w:r w:rsidRPr="00D97CD7">
        <w:rPr>
          <w:rFonts w:eastAsiaTheme="minorEastAsia"/>
          <w:color w:val="000000" w:themeColor="text1"/>
          <w:kern w:val="0"/>
          <w:szCs w:val="21"/>
        </w:rPr>
        <w:t>无。</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§5  </w:t>
      </w:r>
      <w:r w:rsidRPr="00D97CD7">
        <w:rPr>
          <w:rFonts w:eastAsiaTheme="minorEastAsia"/>
          <w:color w:val="000000" w:themeColor="text1"/>
          <w:kern w:val="0"/>
          <w:sz w:val="21"/>
          <w:szCs w:val="21"/>
        </w:rPr>
        <w:t>投资组合报告</w:t>
      </w:r>
    </w:p>
    <w:p w:rsidR="00DB3887" w:rsidRPr="00D97CD7" w:rsidRDefault="00FC6961">
      <w:pPr>
        <w:autoSpaceDE w:val="0"/>
        <w:autoSpaceDN w:val="0"/>
        <w:adjustRightInd w:val="0"/>
        <w:spacing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5.1 </w:t>
      </w:r>
      <w:r w:rsidRPr="00D97CD7">
        <w:rPr>
          <w:rFonts w:eastAsiaTheme="minorEastAsia"/>
          <w:b/>
          <w:color w:val="000000" w:themeColor="text1"/>
          <w:kern w:val="0"/>
          <w:szCs w:val="21"/>
        </w:rPr>
        <w:t>报告期末基金资产组合情况</w:t>
      </w:r>
    </w:p>
    <w:tbl>
      <w:tblPr>
        <w:tblStyle w:val="afa"/>
        <w:tblW w:w="8528" w:type="dxa"/>
        <w:tblInd w:w="108" w:type="dxa"/>
        <w:tblLayout w:type="fixed"/>
        <w:tblLook w:val="04A0" w:firstRow="1" w:lastRow="0" w:firstColumn="1" w:lastColumn="0" w:noHBand="0" w:noVBand="1"/>
      </w:tblPr>
      <w:tblGrid>
        <w:gridCol w:w="720"/>
        <w:gridCol w:w="3357"/>
        <w:gridCol w:w="2694"/>
        <w:gridCol w:w="1757"/>
      </w:tblGrid>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序号</w:t>
            </w:r>
          </w:p>
        </w:tc>
        <w:tc>
          <w:tcPr>
            <w:tcW w:w="3357"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项目</w:t>
            </w:r>
          </w:p>
        </w:tc>
        <w:tc>
          <w:tcPr>
            <w:tcW w:w="2694"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金额</w:t>
            </w:r>
            <w:r w:rsidRPr="00D97CD7">
              <w:rPr>
                <w:rFonts w:eastAsiaTheme="minorEastAsia"/>
                <w:color w:val="000000" w:themeColor="text1"/>
                <w:szCs w:val="21"/>
              </w:rPr>
              <w:t>(</w:t>
            </w:r>
            <w:r w:rsidRPr="00D97CD7">
              <w:rPr>
                <w:rFonts w:eastAsiaTheme="minorEastAsia"/>
                <w:color w:val="000000" w:themeColor="text1"/>
                <w:szCs w:val="21"/>
              </w:rPr>
              <w:t>元</w:t>
            </w: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占基金总资产的比例</w:t>
            </w: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1</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权益投资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其中：股票</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2</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基金投资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49,517,901.58</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93.55</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3</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固定收益投资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其中：债券</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autoSpaceDE w:val="0"/>
              <w:autoSpaceDN w:val="0"/>
              <w:adjustRightInd w:val="0"/>
              <w:spacing w:before="29" w:line="360" w:lineRule="auto"/>
              <w:ind w:left="17" w:firstLineChars="300" w:firstLine="630"/>
              <w:jc w:val="left"/>
              <w:rPr>
                <w:rFonts w:eastAsiaTheme="minorEastAsia"/>
                <w:color w:val="000000" w:themeColor="text1"/>
                <w:szCs w:val="21"/>
              </w:rPr>
            </w:pPr>
            <w:r w:rsidRPr="00D97CD7">
              <w:rPr>
                <w:rFonts w:eastAsiaTheme="minorEastAsia"/>
                <w:color w:val="000000" w:themeColor="text1"/>
                <w:szCs w:val="21"/>
              </w:rPr>
              <w:t>资产支持证券</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4</w:t>
            </w:r>
          </w:p>
        </w:tc>
        <w:tc>
          <w:tcPr>
            <w:tcW w:w="3357" w:type="dxa"/>
          </w:tcPr>
          <w:p w:rsidR="00DB3887" w:rsidRPr="00D97CD7" w:rsidRDefault="00FC6961">
            <w:pPr>
              <w:spacing w:before="29" w:line="360" w:lineRule="auto"/>
              <w:ind w:leftChars="50" w:left="105"/>
              <w:rPr>
                <w:rFonts w:eastAsiaTheme="minorEastAsia"/>
                <w:color w:val="000000" w:themeColor="text1"/>
                <w:szCs w:val="21"/>
              </w:rPr>
            </w:pPr>
            <w:r w:rsidRPr="00D97CD7">
              <w:rPr>
                <w:rFonts w:eastAsiaTheme="minorEastAsia"/>
                <w:color w:val="000000" w:themeColor="text1"/>
                <w:szCs w:val="21"/>
              </w:rPr>
              <w:t>贵金属投资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5</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金融衍生品投资</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6</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买入返售金融资产</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DB3887">
            <w:pPr>
              <w:spacing w:before="29" w:line="360" w:lineRule="auto"/>
              <w:ind w:left="17"/>
              <w:jc w:val="center"/>
              <w:rPr>
                <w:rFonts w:eastAsiaTheme="minorEastAsia"/>
                <w:color w:val="000000" w:themeColor="text1"/>
                <w:szCs w:val="21"/>
              </w:rPr>
            </w:pP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其中：买断式回购的买入返售金融资产</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7</w:t>
            </w:r>
          </w:p>
        </w:tc>
        <w:tc>
          <w:tcPr>
            <w:tcW w:w="3357" w:type="dxa"/>
            <w:vAlign w:val="center"/>
          </w:tcPr>
          <w:p w:rsidR="00DB3887" w:rsidRPr="00D97CD7" w:rsidRDefault="00FC6961">
            <w:pPr>
              <w:spacing w:before="29" w:line="360" w:lineRule="auto"/>
              <w:ind w:left="17"/>
              <w:jc w:val="left"/>
              <w:rPr>
                <w:rFonts w:eastAsiaTheme="minorEastAsia"/>
                <w:color w:val="000000" w:themeColor="text1"/>
                <w:szCs w:val="21"/>
              </w:rPr>
            </w:pPr>
            <w:r w:rsidRPr="00D97CD7">
              <w:rPr>
                <w:rFonts w:eastAsiaTheme="minorEastAsia"/>
                <w:color w:val="000000" w:themeColor="text1"/>
                <w:szCs w:val="21"/>
              </w:rPr>
              <w:t>银行存款和结算备付金合计</w:t>
            </w:r>
          </w:p>
        </w:tc>
        <w:tc>
          <w:tcPr>
            <w:tcW w:w="2694"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3,180,380.53</w:t>
            </w:r>
          </w:p>
        </w:tc>
        <w:tc>
          <w:tcPr>
            <w:tcW w:w="1757" w:type="dxa"/>
            <w:vAlign w:val="center"/>
          </w:tcPr>
          <w:p w:rsidR="00DB3887" w:rsidRPr="00D97CD7" w:rsidRDefault="00FC6961">
            <w:pPr>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6.01</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8</w:t>
            </w:r>
          </w:p>
        </w:tc>
        <w:tc>
          <w:tcPr>
            <w:tcW w:w="3357"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其他各项资产</w:t>
            </w:r>
          </w:p>
        </w:tc>
        <w:tc>
          <w:tcPr>
            <w:tcW w:w="2694"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236,302.58</w:t>
            </w:r>
          </w:p>
        </w:tc>
        <w:tc>
          <w:tcPr>
            <w:tcW w:w="1757"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0.45</w:t>
            </w:r>
          </w:p>
        </w:tc>
      </w:tr>
      <w:tr w:rsidR="00DB3887" w:rsidRPr="00D97CD7">
        <w:tc>
          <w:tcPr>
            <w:tcW w:w="720" w:type="dxa"/>
            <w:vAlign w:val="center"/>
          </w:tcPr>
          <w:p w:rsidR="00DB3887" w:rsidRPr="00D97CD7" w:rsidRDefault="00FC6961">
            <w:pPr>
              <w:spacing w:before="29" w:line="360" w:lineRule="auto"/>
              <w:ind w:left="17"/>
              <w:jc w:val="center"/>
              <w:rPr>
                <w:rFonts w:eastAsiaTheme="minorEastAsia"/>
                <w:color w:val="000000" w:themeColor="text1"/>
                <w:szCs w:val="21"/>
              </w:rPr>
            </w:pPr>
            <w:r w:rsidRPr="00D97CD7">
              <w:rPr>
                <w:rFonts w:eastAsiaTheme="minorEastAsia"/>
                <w:color w:val="000000" w:themeColor="text1"/>
                <w:szCs w:val="21"/>
              </w:rPr>
              <w:t>9</w:t>
            </w:r>
          </w:p>
        </w:tc>
        <w:tc>
          <w:tcPr>
            <w:tcW w:w="3357" w:type="dxa"/>
            <w:vAlign w:val="center"/>
          </w:tcPr>
          <w:p w:rsidR="00DB3887" w:rsidRPr="00D97CD7" w:rsidRDefault="00FC6961">
            <w:pPr>
              <w:jc w:val="left"/>
              <w:rPr>
                <w:rFonts w:eastAsiaTheme="minorEastAsia"/>
                <w:color w:val="000000" w:themeColor="text1"/>
                <w:szCs w:val="21"/>
              </w:rPr>
            </w:pPr>
            <w:r w:rsidRPr="00D97CD7">
              <w:rPr>
                <w:rFonts w:eastAsiaTheme="minorEastAsia"/>
                <w:color w:val="000000" w:themeColor="text1"/>
                <w:szCs w:val="21"/>
              </w:rPr>
              <w:t>合计</w:t>
            </w:r>
          </w:p>
        </w:tc>
        <w:tc>
          <w:tcPr>
            <w:tcW w:w="2694"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52,934,584.69</w:t>
            </w:r>
          </w:p>
        </w:tc>
        <w:tc>
          <w:tcPr>
            <w:tcW w:w="1757" w:type="dxa"/>
            <w:vAlign w:val="center"/>
          </w:tcPr>
          <w:p w:rsidR="00DB3887" w:rsidRPr="00D97CD7" w:rsidRDefault="00FC6961">
            <w:pPr>
              <w:jc w:val="right"/>
              <w:rPr>
                <w:rFonts w:eastAsiaTheme="minorEastAsia"/>
                <w:color w:val="000000" w:themeColor="text1"/>
                <w:szCs w:val="21"/>
              </w:rPr>
            </w:pPr>
            <w:r w:rsidRPr="00D97CD7">
              <w:rPr>
                <w:rFonts w:eastAsiaTheme="minorEastAsia"/>
                <w:color w:val="000000" w:themeColor="text1"/>
                <w:szCs w:val="21"/>
              </w:rPr>
              <w:t>100.00</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5.2</w:t>
      </w:r>
      <w:r w:rsidRPr="00D97CD7">
        <w:rPr>
          <w:rFonts w:eastAsiaTheme="minorEastAsia"/>
          <w:b/>
          <w:color w:val="000000" w:themeColor="text1"/>
          <w:kern w:val="0"/>
          <w:szCs w:val="21"/>
        </w:rPr>
        <w:t>期末投资目标基金明细</w:t>
      </w:r>
    </w:p>
    <w:tbl>
      <w:tblPr>
        <w:tblStyle w:val="afa"/>
        <w:tblW w:w="8928" w:type="dxa"/>
        <w:tblInd w:w="108" w:type="dxa"/>
        <w:tblLayout w:type="fixed"/>
        <w:tblLook w:val="04A0" w:firstRow="1" w:lastRow="0" w:firstColumn="1" w:lastColumn="0" w:noHBand="0" w:noVBand="1"/>
      </w:tblPr>
      <w:tblGrid>
        <w:gridCol w:w="1238"/>
        <w:gridCol w:w="1239"/>
        <w:gridCol w:w="1240"/>
        <w:gridCol w:w="1240"/>
        <w:gridCol w:w="1240"/>
        <w:gridCol w:w="1241"/>
        <w:gridCol w:w="1490"/>
      </w:tblGrid>
      <w:tr w:rsidR="00DB3887" w:rsidRPr="00D97CD7">
        <w:tc>
          <w:tcPr>
            <w:tcW w:w="1238"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序号</w:t>
            </w:r>
          </w:p>
        </w:tc>
        <w:tc>
          <w:tcPr>
            <w:tcW w:w="1239"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基金名称</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基金类型</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运作方式</w:t>
            </w:r>
          </w:p>
        </w:tc>
        <w:tc>
          <w:tcPr>
            <w:tcW w:w="124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管理人</w:t>
            </w:r>
          </w:p>
        </w:tc>
        <w:tc>
          <w:tcPr>
            <w:tcW w:w="1241"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公允价值</w:t>
            </w:r>
          </w:p>
        </w:tc>
        <w:tc>
          <w:tcPr>
            <w:tcW w:w="149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kern w:val="0"/>
                <w:szCs w:val="21"/>
              </w:rPr>
              <w:t>占基金资产净值比例（</w:t>
            </w:r>
            <w:r w:rsidRPr="00D97CD7">
              <w:rPr>
                <w:rFonts w:eastAsiaTheme="minorEastAsia"/>
                <w:color w:val="000000" w:themeColor="text1"/>
                <w:kern w:val="0"/>
                <w:szCs w:val="21"/>
              </w:rPr>
              <w:t>%</w:t>
            </w:r>
            <w:r w:rsidRPr="00D97CD7">
              <w:rPr>
                <w:rFonts w:eastAsiaTheme="minorEastAsia"/>
                <w:color w:val="000000" w:themeColor="text1"/>
                <w:kern w:val="0"/>
                <w:szCs w:val="21"/>
              </w:rPr>
              <w:t>）</w:t>
            </w:r>
          </w:p>
        </w:tc>
      </w:tr>
      <w:tr w:rsidR="003F295B">
        <w:tc>
          <w:tcPr>
            <w:tcW w:w="1238" w:type="dxa"/>
            <w:vAlign w:val="center"/>
          </w:tcPr>
          <w:p w:rsidR="003F295B" w:rsidRDefault="00C71A1A">
            <w:pPr>
              <w:jc w:val="center"/>
            </w:pPr>
            <w:r>
              <w:rPr>
                <w:rFonts w:eastAsiaTheme="minorEastAsia"/>
                <w:color w:val="000000" w:themeColor="text1"/>
                <w:szCs w:val="21"/>
              </w:rPr>
              <w:t>1</w:t>
            </w:r>
          </w:p>
        </w:tc>
        <w:tc>
          <w:tcPr>
            <w:tcW w:w="1239" w:type="dxa"/>
            <w:vAlign w:val="center"/>
          </w:tcPr>
          <w:p w:rsidR="003F295B" w:rsidRDefault="00C71A1A">
            <w:pPr>
              <w:jc w:val="center"/>
            </w:pP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p>
        </w:tc>
        <w:tc>
          <w:tcPr>
            <w:tcW w:w="1240" w:type="dxa"/>
            <w:vAlign w:val="center"/>
          </w:tcPr>
          <w:p w:rsidR="003F295B" w:rsidRDefault="00C71A1A">
            <w:pPr>
              <w:jc w:val="center"/>
            </w:pPr>
            <w:r>
              <w:rPr>
                <w:rFonts w:eastAsiaTheme="minorEastAsia"/>
                <w:color w:val="000000" w:themeColor="text1"/>
                <w:szCs w:val="21"/>
              </w:rPr>
              <w:t>股票型</w:t>
            </w:r>
          </w:p>
        </w:tc>
        <w:tc>
          <w:tcPr>
            <w:tcW w:w="1240" w:type="dxa"/>
            <w:vAlign w:val="center"/>
          </w:tcPr>
          <w:p w:rsidR="003F295B" w:rsidRDefault="00C71A1A">
            <w:pPr>
              <w:jc w:val="center"/>
            </w:pPr>
            <w:r>
              <w:rPr>
                <w:rFonts w:eastAsiaTheme="minorEastAsia"/>
                <w:color w:val="000000" w:themeColor="text1"/>
                <w:szCs w:val="21"/>
              </w:rPr>
              <w:t>交易型开放式</w:t>
            </w:r>
          </w:p>
        </w:tc>
        <w:tc>
          <w:tcPr>
            <w:tcW w:w="1240" w:type="dxa"/>
            <w:vAlign w:val="center"/>
          </w:tcPr>
          <w:p w:rsidR="003F295B" w:rsidRDefault="00C71A1A">
            <w:pPr>
              <w:jc w:val="center"/>
            </w:pPr>
            <w:r>
              <w:rPr>
                <w:rFonts w:eastAsiaTheme="minorEastAsia"/>
                <w:color w:val="000000" w:themeColor="text1"/>
                <w:szCs w:val="21"/>
              </w:rPr>
              <w:t>上投摩根基金管理有限公司</w:t>
            </w:r>
          </w:p>
        </w:tc>
        <w:tc>
          <w:tcPr>
            <w:tcW w:w="1241" w:type="dxa"/>
            <w:vAlign w:val="center"/>
          </w:tcPr>
          <w:p w:rsidR="003F295B" w:rsidRDefault="00C71A1A">
            <w:pPr>
              <w:jc w:val="right"/>
            </w:pPr>
            <w:r>
              <w:rPr>
                <w:rFonts w:eastAsiaTheme="minorEastAsia"/>
                <w:color w:val="000000" w:themeColor="text1"/>
                <w:szCs w:val="21"/>
              </w:rPr>
              <w:t>49,517,901.58</w:t>
            </w:r>
          </w:p>
        </w:tc>
        <w:tc>
          <w:tcPr>
            <w:tcW w:w="1490" w:type="dxa"/>
            <w:vAlign w:val="center"/>
          </w:tcPr>
          <w:p w:rsidR="003F295B" w:rsidRDefault="00C71A1A">
            <w:pPr>
              <w:jc w:val="right"/>
            </w:pPr>
            <w:r>
              <w:rPr>
                <w:rFonts w:eastAsiaTheme="minorEastAsia"/>
                <w:color w:val="000000" w:themeColor="text1"/>
                <w:szCs w:val="21"/>
              </w:rPr>
              <w:t>94.93</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5.3 </w:t>
      </w:r>
      <w:r w:rsidRPr="00D97CD7">
        <w:rPr>
          <w:rFonts w:eastAsiaTheme="minorEastAsia"/>
          <w:b/>
          <w:color w:val="000000" w:themeColor="text1"/>
          <w:kern w:val="0"/>
          <w:szCs w:val="21"/>
        </w:rPr>
        <w:t>报告期末按行业分类的股票投资组合</w:t>
      </w:r>
    </w:p>
    <w:p w:rsidR="00DB3887" w:rsidRPr="00D97CD7" w:rsidRDefault="00FC6961">
      <w:pPr>
        <w:rPr>
          <w:b/>
        </w:rPr>
      </w:pPr>
      <w:r w:rsidRPr="00D97CD7">
        <w:rPr>
          <w:rFonts w:eastAsiaTheme="minorEastAsia"/>
          <w:b/>
          <w:color w:val="000000" w:themeColor="text1"/>
          <w:kern w:val="0"/>
          <w:szCs w:val="21"/>
        </w:rPr>
        <w:t>5.3.1</w:t>
      </w:r>
      <w:r w:rsidRPr="00D97CD7">
        <w:rPr>
          <w:rFonts w:eastAsiaTheme="minorEastAsia"/>
          <w:b/>
          <w:color w:val="000000" w:themeColor="text1"/>
          <w:kern w:val="0"/>
          <w:szCs w:val="21"/>
        </w:rPr>
        <w:t>报告期末按行业分类的境内股票投资组合</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本基金本报告期末未持有股票。</w:t>
      </w:r>
    </w:p>
    <w:p w:rsidR="00DB3887" w:rsidRPr="00D97CD7" w:rsidRDefault="00DB3887">
      <w:pPr>
        <w:autoSpaceDE w:val="0"/>
        <w:autoSpaceDN w:val="0"/>
        <w:adjustRightInd w:val="0"/>
        <w:spacing w:line="360" w:lineRule="auto"/>
        <w:ind w:firstLineChars="200" w:firstLine="420"/>
        <w:jc w:val="left"/>
        <w:rPr>
          <w:rFonts w:eastAsiaTheme="minorEastAsia"/>
          <w:color w:val="000000" w:themeColor="text1"/>
          <w:szCs w:val="21"/>
        </w:rPr>
      </w:pPr>
    </w:p>
    <w:p w:rsidR="00D97CD7" w:rsidRPr="007A4E67" w:rsidRDefault="00D97CD7" w:rsidP="00D97CD7">
      <w:pPr>
        <w:spacing w:line="360" w:lineRule="auto"/>
        <w:rPr>
          <w:rFonts w:eastAsiaTheme="minorEastAsia"/>
          <w:szCs w:val="21"/>
        </w:rPr>
      </w:pPr>
      <w:bookmarkStart w:id="2" w:name="_Hlk73460790"/>
      <w:r w:rsidRPr="007A4E67">
        <w:rPr>
          <w:rFonts w:eastAsiaTheme="minorEastAsia"/>
          <w:b/>
          <w:bCs/>
          <w:kern w:val="0"/>
          <w:szCs w:val="21"/>
        </w:rPr>
        <w:t>5.4</w:t>
      </w:r>
      <w:r w:rsidRPr="007A4E67">
        <w:rPr>
          <w:rFonts w:asciiTheme="minorEastAsia" w:eastAsiaTheme="minorEastAsia" w:hAnsiTheme="minorEastAsia" w:hint="eastAsia"/>
          <w:b/>
          <w:bCs/>
          <w:kern w:val="0"/>
          <w:szCs w:val="21"/>
        </w:rPr>
        <w:t>期末按公允价值占基金资产净值比例大小排序的股票投资明细</w:t>
      </w:r>
      <w:r w:rsidRPr="007A4E67">
        <w:rPr>
          <w:rFonts w:asciiTheme="minorEastAsia" w:eastAsiaTheme="minorEastAsia" w:hAnsiTheme="minorEastAsia" w:hint="eastAsia"/>
          <w:b/>
          <w:bCs/>
          <w:kern w:val="0"/>
          <w:szCs w:val="21"/>
        </w:rPr>
        <w:cr/>
      </w:r>
      <w:r w:rsidRPr="007A4E67">
        <w:rPr>
          <w:rFonts w:eastAsiaTheme="minorEastAsia"/>
          <w:b/>
          <w:bCs/>
          <w:kern w:val="0"/>
          <w:szCs w:val="21"/>
        </w:rPr>
        <w:t>5.4.1</w:t>
      </w:r>
      <w:r w:rsidRPr="007A4E67">
        <w:rPr>
          <w:rFonts w:asciiTheme="minorEastAsia" w:eastAsiaTheme="minorEastAsia" w:hAnsiTheme="minorEastAsia" w:hint="eastAsia"/>
          <w:b/>
          <w:bCs/>
          <w:kern w:val="0"/>
          <w:szCs w:val="21"/>
        </w:rPr>
        <w:t>报告期末按公允价值占基金资产净值比例大小排序的前十名股票投资明细</w:t>
      </w:r>
    </w:p>
    <w:p w:rsidR="00D97CD7" w:rsidRPr="007A4E67" w:rsidRDefault="00D97CD7" w:rsidP="00D97CD7">
      <w:pPr>
        <w:spacing w:line="360" w:lineRule="auto"/>
        <w:ind w:firstLineChars="200" w:firstLine="420"/>
        <w:rPr>
          <w:rFonts w:eastAsiaTheme="minorEastAsia"/>
          <w:szCs w:val="21"/>
        </w:rPr>
      </w:pPr>
      <w:r w:rsidRPr="007A4E67">
        <w:rPr>
          <w:rFonts w:eastAsiaTheme="minorEastAsia"/>
          <w:szCs w:val="21"/>
        </w:rPr>
        <w:t>本基金本报告期末未持有股票。</w:t>
      </w:r>
    </w:p>
    <w:bookmarkEnd w:id="2"/>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5.5 </w:t>
      </w:r>
      <w:r w:rsidRPr="00D97CD7">
        <w:rPr>
          <w:rFonts w:eastAsiaTheme="minorEastAsia"/>
          <w:b/>
          <w:color w:val="000000" w:themeColor="text1"/>
          <w:kern w:val="0"/>
          <w:szCs w:val="21"/>
        </w:rPr>
        <w:t>报告期末按债券品种分类的债券投资组合</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本基金本报告期末未持有债券。</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5.6 </w:t>
      </w:r>
      <w:r w:rsidRPr="00D97CD7">
        <w:rPr>
          <w:rFonts w:eastAsiaTheme="minorEastAsia"/>
          <w:b/>
          <w:color w:val="000000" w:themeColor="text1"/>
          <w:kern w:val="0"/>
          <w:szCs w:val="21"/>
        </w:rPr>
        <w:t>报告期末按公允价值占基金资产净值比例大小排序的前五名债券投资明细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本基金本报告期末未持有债券。</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lastRenderedPageBreak/>
        <w:t>5.7</w:t>
      </w:r>
      <w:r w:rsidRPr="00D97CD7">
        <w:rPr>
          <w:rFonts w:eastAsiaTheme="minorEastAsia"/>
          <w:b/>
          <w:color w:val="000000" w:themeColor="text1"/>
          <w:kern w:val="0"/>
          <w:szCs w:val="21"/>
        </w:rPr>
        <w:t xml:space="preserve">　报告期末按公允价值占基金资产净值比例大小排序的前十名资产支持证券投资明细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本基金本报告期末未持有资产支持证券。</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 xml:space="preserve">5.8 </w:t>
      </w:r>
      <w:r w:rsidRPr="00D97CD7">
        <w:rPr>
          <w:rFonts w:eastAsiaTheme="minorEastAsia"/>
          <w:b/>
          <w:bCs/>
          <w:color w:val="000000" w:themeColor="text1"/>
          <w:kern w:val="0"/>
          <w:szCs w:val="21"/>
        </w:rPr>
        <w:t>报告期末按公允价值占基金资产净值比例大小排序的前五名贵金属投资明细</w:t>
      </w:r>
    </w:p>
    <w:p w:rsidR="00DB3887" w:rsidRPr="00D97CD7" w:rsidRDefault="00FC6961">
      <w:pPr>
        <w:widowControl/>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本基金本报告期末未持有贵金属。</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 xml:space="preserve">5.9 </w:t>
      </w:r>
      <w:r w:rsidRPr="00D97CD7">
        <w:rPr>
          <w:rFonts w:eastAsiaTheme="minorEastAsia"/>
          <w:b/>
          <w:color w:val="000000" w:themeColor="text1"/>
          <w:kern w:val="0"/>
          <w:szCs w:val="21"/>
        </w:rPr>
        <w:t>报告</w:t>
      </w:r>
      <w:r w:rsidRPr="00D97CD7">
        <w:rPr>
          <w:rFonts w:eastAsiaTheme="minorEastAsia"/>
          <w:b/>
          <w:bCs/>
          <w:color w:val="000000" w:themeColor="text1"/>
          <w:kern w:val="0"/>
          <w:szCs w:val="21"/>
        </w:rPr>
        <w:t>期末</w:t>
      </w:r>
      <w:r w:rsidRPr="00D97CD7">
        <w:rPr>
          <w:rFonts w:eastAsiaTheme="minorEastAsia"/>
          <w:b/>
          <w:color w:val="000000" w:themeColor="text1"/>
          <w:kern w:val="0"/>
          <w:szCs w:val="21"/>
        </w:rPr>
        <w:t>按公允价值占基金资产净值比例大小排序的前五名权证投资明细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本基金本报告期末未持有权证。</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szCs w:val="21"/>
        </w:rPr>
      </w:pPr>
      <w:r w:rsidRPr="00D97CD7">
        <w:rPr>
          <w:rFonts w:eastAsiaTheme="minorEastAsia"/>
          <w:b/>
          <w:color w:val="000000" w:themeColor="text1"/>
          <w:szCs w:val="21"/>
        </w:rPr>
        <w:t xml:space="preserve">5.10 </w:t>
      </w:r>
      <w:r w:rsidRPr="00D97CD7">
        <w:rPr>
          <w:rFonts w:eastAsiaTheme="minorEastAsia"/>
          <w:b/>
          <w:color w:val="000000" w:themeColor="text1"/>
          <w:szCs w:val="21"/>
        </w:rPr>
        <w:t>报告期末本基金投资的股指期货交易情况说明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本基金本报告期末未持有股指期货。</w:t>
      </w:r>
    </w:p>
    <w:p w:rsidR="00DB3887" w:rsidRPr="00D97CD7" w:rsidRDefault="00FC6961">
      <w:pPr>
        <w:adjustRightInd w:val="0"/>
        <w:snapToGrid w:val="0"/>
        <w:spacing w:beforeLines="100" w:before="312" w:line="360" w:lineRule="auto"/>
        <w:rPr>
          <w:rFonts w:eastAsiaTheme="minorEastAsia"/>
          <w:b/>
          <w:color w:val="000000" w:themeColor="text1"/>
          <w:szCs w:val="21"/>
        </w:rPr>
      </w:pPr>
      <w:r w:rsidRPr="00D97CD7">
        <w:rPr>
          <w:rFonts w:eastAsiaTheme="minorEastAsia"/>
          <w:b/>
          <w:color w:val="000000" w:themeColor="text1"/>
          <w:szCs w:val="21"/>
        </w:rPr>
        <w:t>5.11</w:t>
      </w:r>
      <w:r w:rsidRPr="00D97CD7">
        <w:rPr>
          <w:rFonts w:eastAsiaTheme="minorEastAsia"/>
          <w:b/>
          <w:color w:val="000000" w:themeColor="text1"/>
          <w:szCs w:val="21"/>
        </w:rPr>
        <w:t>报告期末本基金投资的国债期货交易情况说明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本基金本报告期末未持有国债期货。</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w:t>
      </w:r>
      <w:r w:rsidRPr="00D97CD7">
        <w:rPr>
          <w:rFonts w:eastAsiaTheme="minorEastAsia"/>
          <w:b/>
          <w:color w:val="000000" w:themeColor="text1"/>
          <w:kern w:val="0"/>
          <w:szCs w:val="21"/>
        </w:rPr>
        <w:t>投资组合报告附注</w:t>
      </w:r>
    </w:p>
    <w:p w:rsidR="00DB3887" w:rsidRPr="00D97CD7" w:rsidRDefault="00FC6961">
      <w:pPr>
        <w:widowControl/>
        <w:spacing w:line="360" w:lineRule="auto"/>
        <w:rPr>
          <w:rFonts w:eastAsiaTheme="minorEastAsia"/>
          <w:color w:val="000000" w:themeColor="text1"/>
          <w:szCs w:val="21"/>
        </w:rPr>
      </w:pPr>
      <w:r w:rsidRPr="00D97CD7">
        <w:rPr>
          <w:rFonts w:eastAsiaTheme="minorEastAsia"/>
          <w:color w:val="000000" w:themeColor="text1"/>
          <w:szCs w:val="21"/>
        </w:rPr>
        <w:t>5.12.1</w:t>
      </w:r>
      <w:r w:rsidRPr="00D97CD7">
        <w:rPr>
          <w:rFonts w:eastAsiaTheme="minorEastAsia"/>
          <w:color w:val="000000" w:themeColor="text1"/>
          <w:szCs w:val="21"/>
        </w:rPr>
        <w:t>本基金投资的前十名证券的发行主体本期未出现被监管部门立案调查，或在报告编制日前一年内受到公开谴责、处罚的情形。</w:t>
      </w:r>
    </w:p>
    <w:p w:rsidR="00DB3887" w:rsidRPr="00D97CD7" w:rsidRDefault="00FC6961">
      <w:pPr>
        <w:widowControl/>
        <w:spacing w:line="360" w:lineRule="auto"/>
        <w:rPr>
          <w:rFonts w:eastAsiaTheme="minorEastAsia"/>
          <w:color w:val="000000" w:themeColor="text1"/>
          <w:szCs w:val="21"/>
        </w:rPr>
      </w:pPr>
      <w:r w:rsidRPr="00D97CD7">
        <w:rPr>
          <w:rFonts w:eastAsiaTheme="minorEastAsia"/>
          <w:color w:val="000000" w:themeColor="text1"/>
          <w:szCs w:val="21"/>
        </w:rPr>
        <w:t>5.12.2</w:t>
      </w:r>
      <w:r w:rsidRPr="00D97CD7">
        <w:rPr>
          <w:rFonts w:eastAsiaTheme="minorEastAsia"/>
          <w:color w:val="000000" w:themeColor="text1"/>
          <w:szCs w:val="21"/>
        </w:rPr>
        <w:t>报告期内本基金投资的前十名股票中没有在基金合同规定备选股票库之外的股票。</w:t>
      </w:r>
    </w:p>
    <w:p w:rsidR="00DB3887" w:rsidRPr="00D97CD7" w:rsidRDefault="00FC6961">
      <w:pPr>
        <w:autoSpaceDE w:val="0"/>
        <w:autoSpaceDN w:val="0"/>
        <w:adjustRightInd w:val="0"/>
        <w:spacing w:line="360" w:lineRule="auto"/>
        <w:rPr>
          <w:rFonts w:eastAsiaTheme="minorEastAsia"/>
          <w:b/>
          <w:color w:val="000000" w:themeColor="text1"/>
          <w:kern w:val="0"/>
          <w:szCs w:val="21"/>
        </w:rPr>
      </w:pPr>
      <w:r w:rsidRPr="00D97CD7">
        <w:rPr>
          <w:rFonts w:eastAsiaTheme="minorEastAsia"/>
          <w:b/>
          <w:color w:val="000000" w:themeColor="text1"/>
          <w:kern w:val="0"/>
          <w:szCs w:val="21"/>
        </w:rPr>
        <w:t>5.12.3</w:t>
      </w:r>
      <w:r w:rsidRPr="00D97CD7">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DB3887" w:rsidRPr="00D97CD7">
        <w:tc>
          <w:tcPr>
            <w:tcW w:w="1110"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序号</w:t>
            </w:r>
          </w:p>
        </w:tc>
        <w:tc>
          <w:tcPr>
            <w:tcW w:w="2761"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名称</w:t>
            </w:r>
          </w:p>
        </w:tc>
        <w:tc>
          <w:tcPr>
            <w:tcW w:w="4808" w:type="dxa"/>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金额</w:t>
            </w:r>
            <w:r w:rsidRPr="00D97CD7">
              <w:rPr>
                <w:rFonts w:eastAsiaTheme="minorEastAsia"/>
                <w:color w:val="000000" w:themeColor="text1"/>
                <w:kern w:val="0"/>
                <w:szCs w:val="21"/>
              </w:rPr>
              <w:t>(</w:t>
            </w:r>
            <w:r w:rsidRPr="00D97CD7">
              <w:rPr>
                <w:rFonts w:eastAsiaTheme="minorEastAsia"/>
                <w:color w:val="000000" w:themeColor="text1"/>
                <w:kern w:val="0"/>
                <w:szCs w:val="21"/>
              </w:rPr>
              <w:t>元</w:t>
            </w: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kern w:val="0"/>
                <w:szCs w:val="21"/>
              </w:rPr>
            </w:pPr>
            <w:r w:rsidRPr="00D97CD7">
              <w:rPr>
                <w:rFonts w:eastAsiaTheme="minorEastAsia"/>
                <w:color w:val="000000" w:themeColor="text1"/>
                <w:szCs w:val="21"/>
              </w:rPr>
              <w:t>1</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存出保证金</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2,412.82</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2</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应收证券清算款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3</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应收股利</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4</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应收利息</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323.62</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5</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应收申购款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233,566.14</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6</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其他应收款</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7</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szCs w:val="21"/>
              </w:rPr>
            </w:pPr>
            <w:r w:rsidRPr="00D97CD7">
              <w:rPr>
                <w:rFonts w:eastAsiaTheme="minorEastAsia"/>
                <w:color w:val="000000" w:themeColor="text1"/>
                <w:szCs w:val="21"/>
              </w:rPr>
              <w:t>待摊费用</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8</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其他</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w:t>
            </w:r>
          </w:p>
        </w:tc>
      </w:tr>
      <w:tr w:rsidR="00DB3887" w:rsidRPr="00D97CD7">
        <w:tc>
          <w:tcPr>
            <w:tcW w:w="1110" w:type="dxa"/>
            <w:vAlign w:val="center"/>
          </w:tcPr>
          <w:p w:rsidR="00DB3887" w:rsidRPr="00D97CD7" w:rsidRDefault="00FC6961">
            <w:pPr>
              <w:autoSpaceDE w:val="0"/>
              <w:autoSpaceDN w:val="0"/>
              <w:adjustRightInd w:val="0"/>
              <w:spacing w:before="29" w:line="360" w:lineRule="auto"/>
              <w:ind w:left="15"/>
              <w:jc w:val="center"/>
              <w:rPr>
                <w:rFonts w:eastAsiaTheme="minorEastAsia"/>
                <w:color w:val="000000" w:themeColor="text1"/>
                <w:szCs w:val="21"/>
              </w:rPr>
            </w:pPr>
            <w:r w:rsidRPr="00D97CD7">
              <w:rPr>
                <w:rFonts w:eastAsiaTheme="minorEastAsia"/>
                <w:color w:val="000000" w:themeColor="text1"/>
                <w:szCs w:val="21"/>
              </w:rPr>
              <w:t>9</w:t>
            </w:r>
          </w:p>
        </w:tc>
        <w:tc>
          <w:tcPr>
            <w:tcW w:w="2761" w:type="dxa"/>
            <w:vAlign w:val="center"/>
          </w:tcPr>
          <w:p w:rsidR="00DB3887" w:rsidRPr="00D97CD7" w:rsidRDefault="00FC6961">
            <w:pPr>
              <w:autoSpaceDE w:val="0"/>
              <w:autoSpaceDN w:val="0"/>
              <w:adjustRightInd w:val="0"/>
              <w:spacing w:before="29" w:line="360" w:lineRule="auto"/>
              <w:ind w:left="15"/>
              <w:jc w:val="left"/>
              <w:rPr>
                <w:rFonts w:eastAsiaTheme="minorEastAsia"/>
                <w:color w:val="000000" w:themeColor="text1"/>
                <w:kern w:val="0"/>
                <w:szCs w:val="21"/>
              </w:rPr>
            </w:pPr>
            <w:r w:rsidRPr="00D97CD7">
              <w:rPr>
                <w:rFonts w:eastAsiaTheme="minorEastAsia"/>
                <w:color w:val="000000" w:themeColor="text1"/>
                <w:kern w:val="0"/>
                <w:szCs w:val="21"/>
              </w:rPr>
              <w:t>合计</w:t>
            </w:r>
          </w:p>
        </w:tc>
        <w:tc>
          <w:tcPr>
            <w:tcW w:w="4808" w:type="dxa"/>
            <w:vAlign w:val="center"/>
          </w:tcPr>
          <w:p w:rsidR="00DB3887" w:rsidRPr="00D97CD7" w:rsidRDefault="00FC6961">
            <w:pPr>
              <w:autoSpaceDE w:val="0"/>
              <w:autoSpaceDN w:val="0"/>
              <w:adjustRightInd w:val="0"/>
              <w:spacing w:before="29" w:line="360" w:lineRule="auto"/>
              <w:ind w:left="15"/>
              <w:jc w:val="right"/>
              <w:rPr>
                <w:rFonts w:eastAsiaTheme="minorEastAsia"/>
                <w:color w:val="000000" w:themeColor="text1"/>
                <w:kern w:val="0"/>
                <w:szCs w:val="21"/>
              </w:rPr>
            </w:pPr>
            <w:r w:rsidRPr="00D97CD7">
              <w:rPr>
                <w:rFonts w:eastAsiaTheme="minorEastAsia"/>
                <w:color w:val="000000" w:themeColor="text1"/>
                <w:kern w:val="0"/>
                <w:szCs w:val="21"/>
              </w:rPr>
              <w:t>236,302.58</w:t>
            </w:r>
          </w:p>
        </w:tc>
      </w:tr>
    </w:tbl>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lastRenderedPageBreak/>
        <w:t>5.12.4</w:t>
      </w:r>
      <w:r w:rsidRPr="00D97CD7">
        <w:rPr>
          <w:rFonts w:eastAsiaTheme="minorEastAsia"/>
          <w:b/>
          <w:color w:val="000000" w:themeColor="text1"/>
          <w:kern w:val="0"/>
          <w:szCs w:val="21"/>
        </w:rPr>
        <w:t>报告期末持有的处于转股期的可转换债券明细</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本基金本报告期末未持有处于转股期的可转换债券。</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szCs w:val="21"/>
        </w:rPr>
      </w:pPr>
      <w:r w:rsidRPr="00D97CD7">
        <w:rPr>
          <w:rFonts w:eastAsiaTheme="minorEastAsia"/>
          <w:b/>
          <w:color w:val="000000" w:themeColor="text1"/>
          <w:kern w:val="0"/>
          <w:szCs w:val="21"/>
        </w:rPr>
        <w:t>5.12.5</w:t>
      </w:r>
      <w:r w:rsidRPr="00D97CD7">
        <w:rPr>
          <w:rFonts w:eastAsiaTheme="minorEastAsia"/>
          <w:b/>
          <w:bCs/>
          <w:color w:val="000000" w:themeColor="text1"/>
          <w:szCs w:val="21"/>
        </w:rPr>
        <w:t>报告期末前十名股票中存在流通受限情况的说明</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本基金本报告期末前十名股票中不存在流通受限情况。</w:t>
      </w:r>
    </w:p>
    <w:p w:rsidR="00DB3887" w:rsidRPr="00D97CD7" w:rsidRDefault="00FC6961">
      <w:pPr>
        <w:autoSpaceDE w:val="0"/>
        <w:autoSpaceDN w:val="0"/>
        <w:adjustRightInd w:val="0"/>
        <w:spacing w:beforeLines="100" w:before="312" w:line="360" w:lineRule="auto"/>
        <w:jc w:val="left"/>
        <w:rPr>
          <w:rFonts w:eastAsiaTheme="minorEastAsia"/>
          <w:b/>
          <w:color w:val="000000" w:themeColor="text1"/>
          <w:kern w:val="0"/>
          <w:szCs w:val="21"/>
        </w:rPr>
      </w:pPr>
      <w:r w:rsidRPr="00D97CD7">
        <w:rPr>
          <w:rFonts w:eastAsiaTheme="minorEastAsia"/>
          <w:b/>
          <w:color w:val="000000" w:themeColor="text1"/>
          <w:kern w:val="0"/>
          <w:szCs w:val="21"/>
        </w:rPr>
        <w:t>5.12.6</w:t>
      </w:r>
      <w:r w:rsidRPr="00D97CD7">
        <w:rPr>
          <w:rFonts w:eastAsiaTheme="minorEastAsia"/>
          <w:b/>
          <w:color w:val="000000" w:themeColor="text1"/>
          <w:kern w:val="0"/>
          <w:szCs w:val="21"/>
        </w:rPr>
        <w:t>投资组合报告附注的其他文字描述部分</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因四舍五入的原因，投资组合报告中分项之和与合计数可能存在尾差。</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 xml:space="preserve">§6  </w:t>
      </w:r>
      <w:r w:rsidRPr="00D97CD7">
        <w:rPr>
          <w:rFonts w:eastAsiaTheme="minorEastAsia"/>
          <w:color w:val="000000" w:themeColor="text1"/>
          <w:kern w:val="0"/>
          <w:sz w:val="21"/>
          <w:szCs w:val="21"/>
        </w:rPr>
        <w:t>开放式基金份额变动</w:t>
      </w:r>
    </w:p>
    <w:p w:rsidR="00DB3887" w:rsidRPr="00D97CD7" w:rsidRDefault="00FC6961">
      <w:pPr>
        <w:autoSpaceDE w:val="0"/>
        <w:autoSpaceDN w:val="0"/>
        <w:adjustRightInd w:val="0"/>
        <w:spacing w:before="29" w:line="288" w:lineRule="auto"/>
        <w:ind w:left="15" w:right="480"/>
        <w:jc w:val="right"/>
        <w:rPr>
          <w:rFonts w:eastAsiaTheme="minorEastAsia"/>
          <w:color w:val="000000" w:themeColor="text1"/>
          <w:kern w:val="0"/>
          <w:szCs w:val="21"/>
        </w:rPr>
      </w:pPr>
      <w:r w:rsidRPr="00D97CD7">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center"/>
              <w:rPr>
                <w:rFonts w:eastAsiaTheme="minorEastAsia"/>
                <w:color w:val="000000" w:themeColor="text1"/>
                <w:kern w:val="0"/>
                <w:szCs w:val="21"/>
              </w:rPr>
            </w:pPr>
            <w:r w:rsidRPr="00D97CD7">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上投摩根</w:t>
            </w:r>
            <w:r w:rsidRPr="00D97CD7">
              <w:rPr>
                <w:rFonts w:eastAsiaTheme="minorEastAsia"/>
                <w:color w:val="000000" w:themeColor="text1"/>
                <w:szCs w:val="21"/>
              </w:rPr>
              <w:t>MSCI</w:t>
            </w:r>
            <w:r w:rsidRPr="00D97CD7">
              <w:rPr>
                <w:rFonts w:eastAsiaTheme="minorEastAsia"/>
                <w:color w:val="000000" w:themeColor="text1"/>
                <w:szCs w:val="21"/>
              </w:rPr>
              <w:t>中国</w:t>
            </w:r>
            <w:r w:rsidRPr="00D97CD7">
              <w:rPr>
                <w:rFonts w:eastAsiaTheme="minorEastAsia"/>
                <w:color w:val="000000" w:themeColor="text1"/>
                <w:szCs w:val="21"/>
              </w:rPr>
              <w:t>A</w:t>
            </w:r>
            <w:r w:rsidRPr="00D97CD7">
              <w:rPr>
                <w:rFonts w:eastAsiaTheme="minorEastAsia"/>
                <w:color w:val="000000" w:themeColor="text1"/>
                <w:szCs w:val="21"/>
              </w:rPr>
              <w:t>股</w:t>
            </w:r>
            <w:r w:rsidRPr="00D97CD7">
              <w:rPr>
                <w:rFonts w:eastAsiaTheme="minorEastAsia"/>
                <w:color w:val="000000" w:themeColor="text1"/>
                <w:szCs w:val="21"/>
              </w:rPr>
              <w:t>ETF</w:t>
            </w:r>
            <w:r w:rsidRPr="00D97CD7">
              <w:rPr>
                <w:rFonts w:eastAsiaTheme="minorEastAsia"/>
                <w:color w:val="000000" w:themeColor="text1"/>
                <w:szCs w:val="21"/>
              </w:rPr>
              <w:t>联接</w:t>
            </w:r>
            <w:r w:rsidRPr="00D97CD7">
              <w:rPr>
                <w:rFonts w:eastAsiaTheme="minorEastAsia"/>
                <w:color w:val="000000" w:themeColor="text1"/>
                <w:szCs w:val="21"/>
              </w:rPr>
              <w:t>C</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39,256,013.31</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15,077,434.34</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501,408.16</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21,396,545.98</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6,537,176.86</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24,552,134.19</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w:t>
            </w:r>
          </w:p>
        </w:tc>
      </w:tr>
      <w:tr w:rsidR="00DB3887" w:rsidRPr="00D97CD7">
        <w:tc>
          <w:tcPr>
            <w:tcW w:w="3900"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left"/>
              <w:rPr>
                <w:rFonts w:eastAsiaTheme="minorEastAsia"/>
                <w:color w:val="000000" w:themeColor="text1"/>
                <w:kern w:val="0"/>
                <w:szCs w:val="21"/>
              </w:rPr>
            </w:pPr>
            <w:r w:rsidRPr="00D97CD7">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33,220,244.61</w:t>
            </w:r>
          </w:p>
        </w:tc>
        <w:tc>
          <w:tcPr>
            <w:tcW w:w="2367" w:type="dxa"/>
            <w:tcBorders>
              <w:top w:val="single" w:sz="8" w:space="0" w:color="000000"/>
              <w:left w:val="single" w:sz="8" w:space="0" w:color="000000"/>
              <w:bottom w:val="single" w:sz="8" w:space="0" w:color="000000"/>
              <w:right w:val="single" w:sz="8" w:space="0" w:color="000000"/>
            </w:tcBorders>
            <w:vAlign w:val="center"/>
          </w:tcPr>
          <w:p w:rsidR="00DB3887" w:rsidRPr="00D97CD7" w:rsidRDefault="00FC6961">
            <w:pPr>
              <w:autoSpaceDE w:val="0"/>
              <w:autoSpaceDN w:val="0"/>
              <w:adjustRightInd w:val="0"/>
              <w:spacing w:before="29" w:line="360" w:lineRule="auto"/>
              <w:ind w:left="17"/>
              <w:jc w:val="right"/>
              <w:rPr>
                <w:rFonts w:eastAsiaTheme="minorEastAsia"/>
                <w:color w:val="000000" w:themeColor="text1"/>
                <w:szCs w:val="21"/>
              </w:rPr>
            </w:pPr>
            <w:r w:rsidRPr="00D97CD7">
              <w:rPr>
                <w:rFonts w:eastAsiaTheme="minorEastAsia"/>
                <w:color w:val="000000" w:themeColor="text1"/>
                <w:szCs w:val="21"/>
              </w:rPr>
              <w:t>11,921,846.13</w:t>
            </w:r>
          </w:p>
        </w:tc>
      </w:tr>
    </w:tbl>
    <w:p w:rsidR="00DB3887" w:rsidRPr="00D97CD7" w:rsidRDefault="00FC6961">
      <w:pPr>
        <w:pStyle w:val="1"/>
        <w:tabs>
          <w:tab w:val="center" w:pos="4156"/>
          <w:tab w:val="right" w:pos="8312"/>
        </w:tabs>
        <w:spacing w:beforeLines="100" w:before="312" w:afterLines="100" w:after="312" w:line="360" w:lineRule="auto"/>
        <w:jc w:val="center"/>
        <w:rPr>
          <w:rFonts w:eastAsiaTheme="minorEastAsia"/>
          <w:color w:val="000000" w:themeColor="text1"/>
          <w:sz w:val="21"/>
          <w:szCs w:val="21"/>
        </w:rPr>
      </w:pPr>
      <w:r w:rsidRPr="00D97CD7">
        <w:rPr>
          <w:rFonts w:eastAsiaTheme="minorEastAsia"/>
          <w:color w:val="000000" w:themeColor="text1"/>
          <w:kern w:val="0"/>
          <w:sz w:val="21"/>
          <w:szCs w:val="21"/>
        </w:rPr>
        <w:t xml:space="preserve">§7  </w:t>
      </w:r>
      <w:r w:rsidRPr="00D97CD7">
        <w:rPr>
          <w:rFonts w:eastAsiaTheme="minorEastAsia"/>
          <w:color w:val="000000" w:themeColor="text1"/>
          <w:sz w:val="21"/>
          <w:szCs w:val="21"/>
        </w:rPr>
        <w:t>基金管理人运用固有资金投资本基金情况</w:t>
      </w:r>
    </w:p>
    <w:p w:rsidR="00DB3887" w:rsidRPr="00D97CD7" w:rsidRDefault="00FC6961">
      <w:pPr>
        <w:spacing w:line="360" w:lineRule="auto"/>
        <w:jc w:val="left"/>
        <w:rPr>
          <w:rFonts w:eastAsiaTheme="minorEastAsia"/>
          <w:color w:val="000000" w:themeColor="text1"/>
          <w:szCs w:val="21"/>
        </w:rPr>
      </w:pPr>
      <w:r w:rsidRPr="00D97CD7">
        <w:rPr>
          <w:rFonts w:eastAsiaTheme="minorEastAsia"/>
          <w:b/>
          <w:color w:val="000000" w:themeColor="text1"/>
          <w:szCs w:val="21"/>
        </w:rPr>
        <w:t xml:space="preserve">7.1 </w:t>
      </w:r>
      <w:r w:rsidRPr="00D97CD7">
        <w:rPr>
          <w:rFonts w:eastAsiaTheme="minorEastAsia"/>
          <w:b/>
          <w:bCs/>
          <w:color w:val="000000" w:themeColor="text1"/>
          <w:kern w:val="44"/>
          <w:szCs w:val="21"/>
        </w:rPr>
        <w:t>基金管理人持有本基金份额变动情况</w:t>
      </w:r>
    </w:p>
    <w:p w:rsidR="00DB3887" w:rsidRPr="00D97CD7" w:rsidRDefault="00FC6961">
      <w:pPr>
        <w:autoSpaceDE w:val="0"/>
        <w:autoSpaceDN w:val="0"/>
        <w:adjustRightInd w:val="0"/>
        <w:spacing w:line="360" w:lineRule="auto"/>
        <w:ind w:firstLineChars="200" w:firstLine="420"/>
        <w:jc w:val="left"/>
        <w:rPr>
          <w:rFonts w:eastAsiaTheme="minorEastAsia"/>
          <w:color w:val="000000" w:themeColor="text1"/>
          <w:szCs w:val="21"/>
        </w:rPr>
      </w:pPr>
      <w:r w:rsidRPr="00D97CD7">
        <w:rPr>
          <w:rFonts w:eastAsiaTheme="minorEastAsia"/>
          <w:color w:val="000000" w:themeColor="text1"/>
          <w:szCs w:val="21"/>
        </w:rPr>
        <w:t>无。</w:t>
      </w:r>
    </w:p>
    <w:p w:rsidR="00DB3887" w:rsidRPr="00D97CD7" w:rsidRDefault="00FC6961">
      <w:pPr>
        <w:pStyle w:val="1"/>
        <w:spacing w:beforeLines="100" w:before="312" w:afterLines="100" w:after="312" w:line="360" w:lineRule="auto"/>
        <w:jc w:val="center"/>
        <w:rPr>
          <w:rFonts w:eastAsiaTheme="minorEastAsia"/>
          <w:color w:val="000000" w:themeColor="text1"/>
          <w:kern w:val="0"/>
          <w:sz w:val="21"/>
          <w:szCs w:val="21"/>
        </w:rPr>
      </w:pPr>
      <w:r w:rsidRPr="00D97CD7">
        <w:rPr>
          <w:rFonts w:eastAsiaTheme="minorEastAsia"/>
          <w:color w:val="000000" w:themeColor="text1"/>
          <w:kern w:val="0"/>
          <w:sz w:val="21"/>
          <w:szCs w:val="21"/>
        </w:rPr>
        <w:t>§8</w:t>
      </w:r>
      <w:r w:rsidRPr="00D97CD7">
        <w:rPr>
          <w:rFonts w:eastAsiaTheme="minorEastAsia"/>
          <w:color w:val="000000" w:themeColor="text1"/>
          <w:kern w:val="0"/>
          <w:sz w:val="21"/>
          <w:szCs w:val="21"/>
        </w:rPr>
        <w:t>备查文件目录</w:t>
      </w:r>
    </w:p>
    <w:p w:rsidR="00DB3887" w:rsidRPr="00D97CD7" w:rsidRDefault="00FC6961">
      <w:pPr>
        <w:autoSpaceDE w:val="0"/>
        <w:autoSpaceDN w:val="0"/>
        <w:adjustRightInd w:val="0"/>
        <w:spacing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8.1</w:t>
      </w:r>
      <w:r w:rsidRPr="00D97CD7">
        <w:rPr>
          <w:rFonts w:eastAsiaTheme="minorEastAsia"/>
          <w:b/>
          <w:bCs/>
          <w:color w:val="000000" w:themeColor="text1"/>
          <w:kern w:val="0"/>
          <w:szCs w:val="21"/>
        </w:rPr>
        <w:t>备查文件目录</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股交易型开放式指数证券投资基金联接基金募集注册的文件</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股交易型开放式指数证券投资基金联接基金基金合同</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股交易型开放式指数证券投资基金联接基金托管协议</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3F295B" w:rsidRDefault="00C7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w:t>
      </w:r>
      <w:r w:rsidRPr="00D97CD7">
        <w:rPr>
          <w:rFonts w:eastAsiaTheme="minorEastAsia"/>
          <w:color w:val="000000" w:themeColor="text1"/>
          <w:szCs w:val="21"/>
        </w:rPr>
        <w:t>八</w:t>
      </w:r>
      <w:r w:rsidRPr="00D97CD7">
        <w:rPr>
          <w:rFonts w:eastAsiaTheme="minorEastAsia"/>
          <w:color w:val="000000" w:themeColor="text1"/>
          <w:szCs w:val="21"/>
        </w:rPr>
        <w:t>)</w:t>
      </w:r>
      <w:r w:rsidRPr="00D97CD7">
        <w:rPr>
          <w:rFonts w:eastAsiaTheme="minorEastAsia"/>
          <w:color w:val="000000" w:themeColor="text1"/>
          <w:szCs w:val="21"/>
        </w:rPr>
        <w:t>中国证监会要求的其他文件</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8.2</w:t>
      </w:r>
      <w:r w:rsidRPr="00D97CD7">
        <w:rPr>
          <w:rFonts w:eastAsiaTheme="minorEastAsia"/>
          <w:b/>
          <w:bCs/>
          <w:color w:val="000000" w:themeColor="text1"/>
          <w:kern w:val="0"/>
          <w:szCs w:val="21"/>
        </w:rPr>
        <w:t>存放地点</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基金管理人或基金托管人住所。</w:t>
      </w:r>
    </w:p>
    <w:p w:rsidR="00DB3887" w:rsidRPr="00D97CD7" w:rsidRDefault="00FC6961">
      <w:pPr>
        <w:autoSpaceDE w:val="0"/>
        <w:autoSpaceDN w:val="0"/>
        <w:adjustRightInd w:val="0"/>
        <w:spacing w:beforeLines="100" w:before="312" w:line="360" w:lineRule="auto"/>
        <w:jc w:val="left"/>
        <w:rPr>
          <w:rFonts w:eastAsiaTheme="minorEastAsia"/>
          <w:b/>
          <w:bCs/>
          <w:color w:val="000000" w:themeColor="text1"/>
          <w:kern w:val="0"/>
          <w:szCs w:val="21"/>
        </w:rPr>
      </w:pPr>
      <w:r w:rsidRPr="00D97CD7">
        <w:rPr>
          <w:rFonts w:eastAsiaTheme="minorEastAsia"/>
          <w:b/>
          <w:bCs/>
          <w:color w:val="000000" w:themeColor="text1"/>
          <w:kern w:val="0"/>
          <w:szCs w:val="21"/>
        </w:rPr>
        <w:t>8.3</w:t>
      </w:r>
      <w:r w:rsidRPr="00D97CD7">
        <w:rPr>
          <w:rFonts w:eastAsiaTheme="minorEastAsia"/>
          <w:b/>
          <w:bCs/>
          <w:color w:val="000000" w:themeColor="text1"/>
          <w:kern w:val="0"/>
          <w:szCs w:val="21"/>
        </w:rPr>
        <w:t>查阅方式</w:t>
      </w:r>
    </w:p>
    <w:p w:rsidR="00DB3887" w:rsidRPr="00D97CD7" w:rsidRDefault="00FC6961">
      <w:pPr>
        <w:spacing w:line="360" w:lineRule="auto"/>
        <w:ind w:firstLineChars="200" w:firstLine="420"/>
        <w:rPr>
          <w:rFonts w:eastAsiaTheme="minorEastAsia"/>
          <w:color w:val="000000" w:themeColor="text1"/>
          <w:szCs w:val="21"/>
        </w:rPr>
      </w:pPr>
      <w:r w:rsidRPr="00D97CD7">
        <w:rPr>
          <w:rFonts w:eastAsiaTheme="minorEastAsia"/>
          <w:color w:val="000000" w:themeColor="text1"/>
          <w:szCs w:val="21"/>
        </w:rPr>
        <w:t>投资者可在营业时间免费查阅，也可按工本费购买复印件。</w:t>
      </w:r>
    </w:p>
    <w:p w:rsidR="00DB3887" w:rsidRPr="00D97CD7" w:rsidRDefault="00DB3887">
      <w:pPr>
        <w:spacing w:line="360" w:lineRule="auto"/>
        <w:ind w:left="840"/>
        <w:jc w:val="right"/>
        <w:rPr>
          <w:rFonts w:eastAsiaTheme="minorEastAsia"/>
          <w:color w:val="000000" w:themeColor="text1"/>
          <w:szCs w:val="21"/>
        </w:rPr>
      </w:pPr>
    </w:p>
    <w:p w:rsidR="00DB3887" w:rsidRPr="00D97CD7" w:rsidRDefault="00DB3887">
      <w:pPr>
        <w:spacing w:line="360" w:lineRule="auto"/>
        <w:ind w:left="840"/>
        <w:jc w:val="center"/>
        <w:rPr>
          <w:rFonts w:eastAsiaTheme="minorEastAsia"/>
          <w:b/>
          <w:color w:val="000000" w:themeColor="text1"/>
          <w:szCs w:val="21"/>
        </w:rPr>
      </w:pPr>
    </w:p>
    <w:p w:rsidR="00DB3887" w:rsidRPr="00D97CD7" w:rsidRDefault="00FC6961">
      <w:pPr>
        <w:spacing w:line="360" w:lineRule="auto"/>
        <w:jc w:val="right"/>
        <w:rPr>
          <w:rFonts w:eastAsiaTheme="minorEastAsia"/>
          <w:b/>
          <w:bCs/>
          <w:color w:val="000000" w:themeColor="text1"/>
          <w:szCs w:val="21"/>
        </w:rPr>
      </w:pPr>
      <w:r w:rsidRPr="00D97CD7">
        <w:rPr>
          <w:rFonts w:eastAsiaTheme="minorEastAsia"/>
          <w:b/>
          <w:bCs/>
          <w:color w:val="000000" w:themeColor="text1"/>
          <w:szCs w:val="21"/>
        </w:rPr>
        <w:t>上投摩根基金管理有限公司</w:t>
      </w:r>
    </w:p>
    <w:p w:rsidR="00DB3887" w:rsidRPr="00D97CD7" w:rsidRDefault="00FC6961">
      <w:pPr>
        <w:spacing w:line="360" w:lineRule="auto"/>
        <w:jc w:val="right"/>
        <w:rPr>
          <w:rFonts w:eastAsiaTheme="minorEastAsia"/>
          <w:b/>
          <w:bCs/>
          <w:color w:val="000000" w:themeColor="text1"/>
          <w:szCs w:val="21"/>
        </w:rPr>
      </w:pPr>
      <w:r w:rsidRPr="00D97CD7">
        <w:rPr>
          <w:rFonts w:eastAsiaTheme="minorEastAsia"/>
          <w:b/>
          <w:bCs/>
          <w:color w:val="000000" w:themeColor="text1"/>
          <w:szCs w:val="21"/>
        </w:rPr>
        <w:t>二〇二二年一月二十四日</w:t>
      </w:r>
    </w:p>
    <w:sectPr w:rsidR="00DB3887" w:rsidRPr="00D97CD7">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A1" w:rsidRDefault="008B6CA1">
      <w:r>
        <w:separator/>
      </w:r>
    </w:p>
  </w:endnote>
  <w:endnote w:type="continuationSeparator" w:id="0">
    <w:p w:rsidR="008B6CA1" w:rsidRDefault="008B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71A1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71A1A">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C6961" w:rsidRDefault="00FC696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71A1A">
      <w:rPr>
        <w:rStyle w:val="af6"/>
        <w:noProof/>
      </w:rPr>
      <w:t>2</w:t>
    </w:r>
    <w:r>
      <w:rPr>
        <w:rStyle w:val="af6"/>
      </w:rPr>
      <w:fldChar w:fldCharType="end"/>
    </w:r>
  </w:p>
  <w:p w:rsidR="00FC6961" w:rsidRDefault="00FC69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A1" w:rsidRDefault="008B6CA1">
      <w:r>
        <w:separator/>
      </w:r>
    </w:p>
  </w:footnote>
  <w:footnote w:type="continuationSeparator" w:id="0">
    <w:p w:rsidR="008B6CA1" w:rsidRDefault="008B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61" w:rsidRDefault="00FC6961">
    <w:pPr>
      <w:pStyle w:val="af"/>
      <w:pBdr>
        <w:bottom w:val="single" w:sz="6" w:space="0" w:color="auto"/>
      </w:pBdr>
      <w:jc w:val="right"/>
    </w:pPr>
    <w:r>
      <w:rPr>
        <w:sz w:val="21"/>
        <w:szCs w:val="21"/>
      </w:rPr>
      <w:t>上投摩根</w:t>
    </w:r>
    <w:r>
      <w:rPr>
        <w:sz w:val="21"/>
        <w:szCs w:val="21"/>
      </w:rPr>
      <w:t>MSCI</w:t>
    </w:r>
    <w:r>
      <w:rPr>
        <w:sz w:val="21"/>
        <w:szCs w:val="21"/>
      </w:rPr>
      <w:t>中国</w:t>
    </w:r>
    <w:r>
      <w:rPr>
        <w:sz w:val="21"/>
        <w:szCs w:val="21"/>
      </w:rPr>
      <w:t>A</w:t>
    </w:r>
    <w:r>
      <w:rPr>
        <w:sz w:val="21"/>
        <w:szCs w:val="21"/>
      </w:rPr>
      <w:t>股交易型开放式指数证券投资基金联接基金</w:t>
    </w:r>
    <w:r>
      <w:rPr>
        <w:sz w:val="21"/>
        <w:szCs w:val="21"/>
      </w:rPr>
      <w:t>2021</w:t>
    </w:r>
    <w:r>
      <w:rPr>
        <w:sz w:val="21"/>
        <w:szCs w:val="21"/>
      </w:rPr>
      <w:t>年第</w:t>
    </w:r>
    <w:r>
      <w:rPr>
        <w:sz w:val="21"/>
        <w:szCs w:val="21"/>
      </w:rPr>
      <w:t>4</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4851"/>
    <w:rsid w:val="0001579C"/>
    <w:rsid w:val="00016551"/>
    <w:rsid w:val="00016934"/>
    <w:rsid w:val="00020737"/>
    <w:rsid w:val="00020C27"/>
    <w:rsid w:val="000219D5"/>
    <w:rsid w:val="00022396"/>
    <w:rsid w:val="00023073"/>
    <w:rsid w:val="00023B97"/>
    <w:rsid w:val="00024836"/>
    <w:rsid w:val="000252D8"/>
    <w:rsid w:val="0003564A"/>
    <w:rsid w:val="00035B0C"/>
    <w:rsid w:val="00042065"/>
    <w:rsid w:val="00043FD2"/>
    <w:rsid w:val="00045BA9"/>
    <w:rsid w:val="00047D87"/>
    <w:rsid w:val="000510AB"/>
    <w:rsid w:val="00053FFD"/>
    <w:rsid w:val="00055F3C"/>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3452"/>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75F"/>
    <w:rsid w:val="000F17D1"/>
    <w:rsid w:val="000F1CC9"/>
    <w:rsid w:val="000F5ABD"/>
    <w:rsid w:val="000F60FF"/>
    <w:rsid w:val="000F6F7C"/>
    <w:rsid w:val="001005BB"/>
    <w:rsid w:val="00103B0E"/>
    <w:rsid w:val="001040EA"/>
    <w:rsid w:val="00112BCF"/>
    <w:rsid w:val="00114942"/>
    <w:rsid w:val="00114E7E"/>
    <w:rsid w:val="00117465"/>
    <w:rsid w:val="00117F22"/>
    <w:rsid w:val="00120280"/>
    <w:rsid w:val="001207F2"/>
    <w:rsid w:val="00121533"/>
    <w:rsid w:val="0012304E"/>
    <w:rsid w:val="00123051"/>
    <w:rsid w:val="001257C7"/>
    <w:rsid w:val="00125E66"/>
    <w:rsid w:val="00126AC0"/>
    <w:rsid w:val="00126C2B"/>
    <w:rsid w:val="00127A01"/>
    <w:rsid w:val="00130D77"/>
    <w:rsid w:val="00131EF6"/>
    <w:rsid w:val="0013251D"/>
    <w:rsid w:val="00134734"/>
    <w:rsid w:val="00134CBE"/>
    <w:rsid w:val="001364DC"/>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874"/>
    <w:rsid w:val="0017725A"/>
    <w:rsid w:val="0018052A"/>
    <w:rsid w:val="00180952"/>
    <w:rsid w:val="0018191A"/>
    <w:rsid w:val="00185B68"/>
    <w:rsid w:val="00186199"/>
    <w:rsid w:val="00194155"/>
    <w:rsid w:val="001A0417"/>
    <w:rsid w:val="001A0B71"/>
    <w:rsid w:val="001A1389"/>
    <w:rsid w:val="001A3016"/>
    <w:rsid w:val="001A3914"/>
    <w:rsid w:val="001A5FA6"/>
    <w:rsid w:val="001B053A"/>
    <w:rsid w:val="001B06D5"/>
    <w:rsid w:val="001B0C78"/>
    <w:rsid w:val="001B1A13"/>
    <w:rsid w:val="001B22BA"/>
    <w:rsid w:val="001B67D3"/>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E0C72"/>
    <w:rsid w:val="001F03E1"/>
    <w:rsid w:val="001F1F19"/>
    <w:rsid w:val="001F2BD1"/>
    <w:rsid w:val="001F3080"/>
    <w:rsid w:val="001F3CC6"/>
    <w:rsid w:val="001F5028"/>
    <w:rsid w:val="001F5F5F"/>
    <w:rsid w:val="001F66D3"/>
    <w:rsid w:val="00205064"/>
    <w:rsid w:val="0020548A"/>
    <w:rsid w:val="00206EC3"/>
    <w:rsid w:val="00211668"/>
    <w:rsid w:val="002118A6"/>
    <w:rsid w:val="002122FF"/>
    <w:rsid w:val="002125F7"/>
    <w:rsid w:val="0021288A"/>
    <w:rsid w:val="002150AC"/>
    <w:rsid w:val="00221938"/>
    <w:rsid w:val="00222262"/>
    <w:rsid w:val="002230A8"/>
    <w:rsid w:val="00227D20"/>
    <w:rsid w:val="00231BCE"/>
    <w:rsid w:val="00233CFB"/>
    <w:rsid w:val="0023524C"/>
    <w:rsid w:val="002359EB"/>
    <w:rsid w:val="0023649E"/>
    <w:rsid w:val="00241740"/>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5FD0"/>
    <w:rsid w:val="00280514"/>
    <w:rsid w:val="002819E7"/>
    <w:rsid w:val="00282FF2"/>
    <w:rsid w:val="00283483"/>
    <w:rsid w:val="002844B5"/>
    <w:rsid w:val="0028459B"/>
    <w:rsid w:val="002872F8"/>
    <w:rsid w:val="00296E4A"/>
    <w:rsid w:val="002976E5"/>
    <w:rsid w:val="002A1F14"/>
    <w:rsid w:val="002A2678"/>
    <w:rsid w:val="002A3369"/>
    <w:rsid w:val="002A4B8A"/>
    <w:rsid w:val="002A5161"/>
    <w:rsid w:val="002A5C0F"/>
    <w:rsid w:val="002A61BA"/>
    <w:rsid w:val="002A6385"/>
    <w:rsid w:val="002A7929"/>
    <w:rsid w:val="002B41D7"/>
    <w:rsid w:val="002B5240"/>
    <w:rsid w:val="002B6A13"/>
    <w:rsid w:val="002C0904"/>
    <w:rsid w:val="002C0F67"/>
    <w:rsid w:val="002C1E84"/>
    <w:rsid w:val="002C32ED"/>
    <w:rsid w:val="002C36C3"/>
    <w:rsid w:val="002C77CC"/>
    <w:rsid w:val="002D2A00"/>
    <w:rsid w:val="002D5199"/>
    <w:rsid w:val="002E2862"/>
    <w:rsid w:val="002E4C01"/>
    <w:rsid w:val="002F0516"/>
    <w:rsid w:val="002F22D2"/>
    <w:rsid w:val="002F778A"/>
    <w:rsid w:val="00302187"/>
    <w:rsid w:val="003028D8"/>
    <w:rsid w:val="0030290F"/>
    <w:rsid w:val="00302DE9"/>
    <w:rsid w:val="00303869"/>
    <w:rsid w:val="00303F1D"/>
    <w:rsid w:val="00305084"/>
    <w:rsid w:val="00307E1A"/>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0C22"/>
    <w:rsid w:val="00351704"/>
    <w:rsid w:val="003570C8"/>
    <w:rsid w:val="00367770"/>
    <w:rsid w:val="00371424"/>
    <w:rsid w:val="00371FF4"/>
    <w:rsid w:val="00372209"/>
    <w:rsid w:val="003771ED"/>
    <w:rsid w:val="0037768B"/>
    <w:rsid w:val="00382E6F"/>
    <w:rsid w:val="00387C00"/>
    <w:rsid w:val="00397960"/>
    <w:rsid w:val="00397F75"/>
    <w:rsid w:val="003A2008"/>
    <w:rsid w:val="003A3BC4"/>
    <w:rsid w:val="003A4AA3"/>
    <w:rsid w:val="003B405E"/>
    <w:rsid w:val="003B4843"/>
    <w:rsid w:val="003B494E"/>
    <w:rsid w:val="003B560C"/>
    <w:rsid w:val="003C4EDC"/>
    <w:rsid w:val="003C6E9E"/>
    <w:rsid w:val="003C792F"/>
    <w:rsid w:val="003D117A"/>
    <w:rsid w:val="003D1AD1"/>
    <w:rsid w:val="003D36B2"/>
    <w:rsid w:val="003D42D5"/>
    <w:rsid w:val="003D78B5"/>
    <w:rsid w:val="003E0BD4"/>
    <w:rsid w:val="003E45B9"/>
    <w:rsid w:val="003E654C"/>
    <w:rsid w:val="003F0DE5"/>
    <w:rsid w:val="003F295B"/>
    <w:rsid w:val="003F46FC"/>
    <w:rsid w:val="003F4AA5"/>
    <w:rsid w:val="003F697D"/>
    <w:rsid w:val="003F7C45"/>
    <w:rsid w:val="00400500"/>
    <w:rsid w:val="0040132C"/>
    <w:rsid w:val="0040218E"/>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280E"/>
    <w:rsid w:val="00443C8F"/>
    <w:rsid w:val="00447BC6"/>
    <w:rsid w:val="004501CE"/>
    <w:rsid w:val="00452481"/>
    <w:rsid w:val="00453417"/>
    <w:rsid w:val="00454A0F"/>
    <w:rsid w:val="0046335D"/>
    <w:rsid w:val="00463C2C"/>
    <w:rsid w:val="00483271"/>
    <w:rsid w:val="004856A9"/>
    <w:rsid w:val="0049210E"/>
    <w:rsid w:val="0049297D"/>
    <w:rsid w:val="0049327D"/>
    <w:rsid w:val="0049405D"/>
    <w:rsid w:val="0049455C"/>
    <w:rsid w:val="00495A03"/>
    <w:rsid w:val="004A1BE1"/>
    <w:rsid w:val="004A63CB"/>
    <w:rsid w:val="004A67B0"/>
    <w:rsid w:val="004A6FB2"/>
    <w:rsid w:val="004B0847"/>
    <w:rsid w:val="004B0E6D"/>
    <w:rsid w:val="004B16E8"/>
    <w:rsid w:val="004B54B8"/>
    <w:rsid w:val="004C0541"/>
    <w:rsid w:val="004C634A"/>
    <w:rsid w:val="004C660B"/>
    <w:rsid w:val="004D050C"/>
    <w:rsid w:val="004D23D9"/>
    <w:rsid w:val="004D3537"/>
    <w:rsid w:val="004D45B6"/>
    <w:rsid w:val="004D4D4E"/>
    <w:rsid w:val="004D614E"/>
    <w:rsid w:val="004D650F"/>
    <w:rsid w:val="004E2133"/>
    <w:rsid w:val="004E4E04"/>
    <w:rsid w:val="004F521C"/>
    <w:rsid w:val="00502CD8"/>
    <w:rsid w:val="0050361C"/>
    <w:rsid w:val="00506A40"/>
    <w:rsid w:val="0051064F"/>
    <w:rsid w:val="00513A0E"/>
    <w:rsid w:val="005147F3"/>
    <w:rsid w:val="00515D7B"/>
    <w:rsid w:val="00515F29"/>
    <w:rsid w:val="0052009E"/>
    <w:rsid w:val="00524880"/>
    <w:rsid w:val="00530161"/>
    <w:rsid w:val="00532998"/>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3723"/>
    <w:rsid w:val="005852D1"/>
    <w:rsid w:val="0058607A"/>
    <w:rsid w:val="0058694E"/>
    <w:rsid w:val="005875F9"/>
    <w:rsid w:val="00593A35"/>
    <w:rsid w:val="00593C74"/>
    <w:rsid w:val="00597D8B"/>
    <w:rsid w:val="005A46FF"/>
    <w:rsid w:val="005A509C"/>
    <w:rsid w:val="005A557E"/>
    <w:rsid w:val="005A63FD"/>
    <w:rsid w:val="005B462A"/>
    <w:rsid w:val="005B5137"/>
    <w:rsid w:val="005B6047"/>
    <w:rsid w:val="005C0ED7"/>
    <w:rsid w:val="005C5409"/>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5F7D47"/>
    <w:rsid w:val="0060008E"/>
    <w:rsid w:val="00602321"/>
    <w:rsid w:val="006033E3"/>
    <w:rsid w:val="00606B29"/>
    <w:rsid w:val="0060758A"/>
    <w:rsid w:val="00607D0E"/>
    <w:rsid w:val="006101F5"/>
    <w:rsid w:val="00610DA5"/>
    <w:rsid w:val="00611663"/>
    <w:rsid w:val="0061321C"/>
    <w:rsid w:val="00613F44"/>
    <w:rsid w:val="006160BD"/>
    <w:rsid w:val="00617125"/>
    <w:rsid w:val="00620EDB"/>
    <w:rsid w:val="0062386E"/>
    <w:rsid w:val="00623DB6"/>
    <w:rsid w:val="006253EF"/>
    <w:rsid w:val="00626075"/>
    <w:rsid w:val="0062680E"/>
    <w:rsid w:val="00631158"/>
    <w:rsid w:val="00632923"/>
    <w:rsid w:val="006341E6"/>
    <w:rsid w:val="00634439"/>
    <w:rsid w:val="006366C6"/>
    <w:rsid w:val="00636B55"/>
    <w:rsid w:val="00636EB1"/>
    <w:rsid w:val="006373D6"/>
    <w:rsid w:val="006403D4"/>
    <w:rsid w:val="00642CBC"/>
    <w:rsid w:val="0064454A"/>
    <w:rsid w:val="00645293"/>
    <w:rsid w:val="00651B78"/>
    <w:rsid w:val="0065237A"/>
    <w:rsid w:val="00652FF5"/>
    <w:rsid w:val="00654382"/>
    <w:rsid w:val="00661244"/>
    <w:rsid w:val="006640DF"/>
    <w:rsid w:val="00666A3C"/>
    <w:rsid w:val="00667519"/>
    <w:rsid w:val="006676A0"/>
    <w:rsid w:val="00670857"/>
    <w:rsid w:val="00670868"/>
    <w:rsid w:val="00673D69"/>
    <w:rsid w:val="00676431"/>
    <w:rsid w:val="0068050D"/>
    <w:rsid w:val="00685FFC"/>
    <w:rsid w:val="00686943"/>
    <w:rsid w:val="00686EDE"/>
    <w:rsid w:val="00687AD5"/>
    <w:rsid w:val="00690A31"/>
    <w:rsid w:val="006911CE"/>
    <w:rsid w:val="00695251"/>
    <w:rsid w:val="00695B58"/>
    <w:rsid w:val="0069798D"/>
    <w:rsid w:val="006A4828"/>
    <w:rsid w:val="006A7C09"/>
    <w:rsid w:val="006B046C"/>
    <w:rsid w:val="006B252F"/>
    <w:rsid w:val="006B3940"/>
    <w:rsid w:val="006B3FDB"/>
    <w:rsid w:val="006B66FE"/>
    <w:rsid w:val="006C168D"/>
    <w:rsid w:val="006C4033"/>
    <w:rsid w:val="006C642C"/>
    <w:rsid w:val="006D7386"/>
    <w:rsid w:val="006E0DAD"/>
    <w:rsid w:val="006E313F"/>
    <w:rsid w:val="006E3EFB"/>
    <w:rsid w:val="006F1F1A"/>
    <w:rsid w:val="006F5AC2"/>
    <w:rsid w:val="006F5B4C"/>
    <w:rsid w:val="006F6C28"/>
    <w:rsid w:val="007007EB"/>
    <w:rsid w:val="00701F57"/>
    <w:rsid w:val="00703E8A"/>
    <w:rsid w:val="00706046"/>
    <w:rsid w:val="007112F0"/>
    <w:rsid w:val="00711343"/>
    <w:rsid w:val="00712305"/>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008C"/>
    <w:rsid w:val="0078105B"/>
    <w:rsid w:val="00782B50"/>
    <w:rsid w:val="00783DFF"/>
    <w:rsid w:val="00784FE0"/>
    <w:rsid w:val="007858B1"/>
    <w:rsid w:val="0078648E"/>
    <w:rsid w:val="00791A3A"/>
    <w:rsid w:val="00791D9C"/>
    <w:rsid w:val="007A13FC"/>
    <w:rsid w:val="007A391B"/>
    <w:rsid w:val="007A4409"/>
    <w:rsid w:val="007A4E67"/>
    <w:rsid w:val="007A4F37"/>
    <w:rsid w:val="007A5241"/>
    <w:rsid w:val="007A5738"/>
    <w:rsid w:val="007A59B8"/>
    <w:rsid w:val="007B06C7"/>
    <w:rsid w:val="007B3D06"/>
    <w:rsid w:val="007B42F5"/>
    <w:rsid w:val="007B5157"/>
    <w:rsid w:val="007B5CD8"/>
    <w:rsid w:val="007C04A1"/>
    <w:rsid w:val="007C1122"/>
    <w:rsid w:val="007C19EC"/>
    <w:rsid w:val="007C364E"/>
    <w:rsid w:val="007C5359"/>
    <w:rsid w:val="007C6701"/>
    <w:rsid w:val="007D16ED"/>
    <w:rsid w:val="007D2398"/>
    <w:rsid w:val="007D440B"/>
    <w:rsid w:val="007D5908"/>
    <w:rsid w:val="007D62F9"/>
    <w:rsid w:val="007D63A4"/>
    <w:rsid w:val="007D732D"/>
    <w:rsid w:val="007E0F19"/>
    <w:rsid w:val="007E2A84"/>
    <w:rsid w:val="007E5ECB"/>
    <w:rsid w:val="007F063D"/>
    <w:rsid w:val="007F0D73"/>
    <w:rsid w:val="007F432A"/>
    <w:rsid w:val="007F63AA"/>
    <w:rsid w:val="008006B7"/>
    <w:rsid w:val="008032FD"/>
    <w:rsid w:val="00806461"/>
    <w:rsid w:val="008064CE"/>
    <w:rsid w:val="0080673A"/>
    <w:rsid w:val="00807A94"/>
    <w:rsid w:val="00810B79"/>
    <w:rsid w:val="00810EAD"/>
    <w:rsid w:val="00812803"/>
    <w:rsid w:val="008129C0"/>
    <w:rsid w:val="00813B0C"/>
    <w:rsid w:val="00814530"/>
    <w:rsid w:val="00815386"/>
    <w:rsid w:val="00821F9C"/>
    <w:rsid w:val="00825570"/>
    <w:rsid w:val="00826403"/>
    <w:rsid w:val="00827990"/>
    <w:rsid w:val="00834CA6"/>
    <w:rsid w:val="0083623B"/>
    <w:rsid w:val="008379E4"/>
    <w:rsid w:val="00837E59"/>
    <w:rsid w:val="00842100"/>
    <w:rsid w:val="008428A9"/>
    <w:rsid w:val="0084308F"/>
    <w:rsid w:val="00846C2B"/>
    <w:rsid w:val="0085139A"/>
    <w:rsid w:val="008524F6"/>
    <w:rsid w:val="00854B3F"/>
    <w:rsid w:val="00861C2C"/>
    <w:rsid w:val="008668B8"/>
    <w:rsid w:val="0086748F"/>
    <w:rsid w:val="00867B4D"/>
    <w:rsid w:val="00867CF3"/>
    <w:rsid w:val="00870278"/>
    <w:rsid w:val="00874AB5"/>
    <w:rsid w:val="00875A68"/>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6CA1"/>
    <w:rsid w:val="008B7110"/>
    <w:rsid w:val="008B7F4A"/>
    <w:rsid w:val="008C04E1"/>
    <w:rsid w:val="008C04FE"/>
    <w:rsid w:val="008C2F50"/>
    <w:rsid w:val="008C3109"/>
    <w:rsid w:val="008C4966"/>
    <w:rsid w:val="008C5312"/>
    <w:rsid w:val="008C5DBD"/>
    <w:rsid w:val="008C61D6"/>
    <w:rsid w:val="008D49AF"/>
    <w:rsid w:val="008D4A2B"/>
    <w:rsid w:val="008D4A9F"/>
    <w:rsid w:val="008D6294"/>
    <w:rsid w:val="008E1FE0"/>
    <w:rsid w:val="008E3939"/>
    <w:rsid w:val="008E3DDD"/>
    <w:rsid w:val="008F1426"/>
    <w:rsid w:val="008F23F4"/>
    <w:rsid w:val="008F61C4"/>
    <w:rsid w:val="008F7763"/>
    <w:rsid w:val="009007CB"/>
    <w:rsid w:val="009010F0"/>
    <w:rsid w:val="00901162"/>
    <w:rsid w:val="00901D46"/>
    <w:rsid w:val="009028E2"/>
    <w:rsid w:val="00903692"/>
    <w:rsid w:val="00904E07"/>
    <w:rsid w:val="00912BAF"/>
    <w:rsid w:val="00914EAB"/>
    <w:rsid w:val="0091541F"/>
    <w:rsid w:val="00920D98"/>
    <w:rsid w:val="00922D49"/>
    <w:rsid w:val="009238DB"/>
    <w:rsid w:val="00925E37"/>
    <w:rsid w:val="00925EDD"/>
    <w:rsid w:val="00930079"/>
    <w:rsid w:val="00930966"/>
    <w:rsid w:val="00932F64"/>
    <w:rsid w:val="00936075"/>
    <w:rsid w:val="00936D40"/>
    <w:rsid w:val="00937ABF"/>
    <w:rsid w:val="00937DB1"/>
    <w:rsid w:val="009407FE"/>
    <w:rsid w:val="009463CC"/>
    <w:rsid w:val="00950413"/>
    <w:rsid w:val="0095078E"/>
    <w:rsid w:val="00952404"/>
    <w:rsid w:val="00952A72"/>
    <w:rsid w:val="0095465B"/>
    <w:rsid w:val="009550A8"/>
    <w:rsid w:val="00955FF2"/>
    <w:rsid w:val="0095693D"/>
    <w:rsid w:val="00956B0D"/>
    <w:rsid w:val="0096260B"/>
    <w:rsid w:val="009631C1"/>
    <w:rsid w:val="00963918"/>
    <w:rsid w:val="00970C69"/>
    <w:rsid w:val="00973B57"/>
    <w:rsid w:val="00973E0D"/>
    <w:rsid w:val="0097403F"/>
    <w:rsid w:val="00975D18"/>
    <w:rsid w:val="00976797"/>
    <w:rsid w:val="00980C0C"/>
    <w:rsid w:val="00982E47"/>
    <w:rsid w:val="00983E7D"/>
    <w:rsid w:val="00991642"/>
    <w:rsid w:val="0099260C"/>
    <w:rsid w:val="009942F4"/>
    <w:rsid w:val="00995B3C"/>
    <w:rsid w:val="009A045B"/>
    <w:rsid w:val="009A0513"/>
    <w:rsid w:val="009A2283"/>
    <w:rsid w:val="009A31AF"/>
    <w:rsid w:val="009A3507"/>
    <w:rsid w:val="009A5C1D"/>
    <w:rsid w:val="009B4286"/>
    <w:rsid w:val="009B5BF9"/>
    <w:rsid w:val="009B5DAF"/>
    <w:rsid w:val="009B5F83"/>
    <w:rsid w:val="009B61C5"/>
    <w:rsid w:val="009B769E"/>
    <w:rsid w:val="009C03E5"/>
    <w:rsid w:val="009C4D19"/>
    <w:rsid w:val="009C5FDB"/>
    <w:rsid w:val="009C65AF"/>
    <w:rsid w:val="009C67A4"/>
    <w:rsid w:val="009C70CB"/>
    <w:rsid w:val="009C74DD"/>
    <w:rsid w:val="009D27AA"/>
    <w:rsid w:val="009D2AD9"/>
    <w:rsid w:val="009D4346"/>
    <w:rsid w:val="009D514E"/>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6437"/>
    <w:rsid w:val="00A32410"/>
    <w:rsid w:val="00A32B48"/>
    <w:rsid w:val="00A36D00"/>
    <w:rsid w:val="00A43389"/>
    <w:rsid w:val="00A4642E"/>
    <w:rsid w:val="00A47AF8"/>
    <w:rsid w:val="00A50AC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F63"/>
    <w:rsid w:val="00AA7EBD"/>
    <w:rsid w:val="00AB2431"/>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33EA"/>
    <w:rsid w:val="00AE5129"/>
    <w:rsid w:val="00AE5645"/>
    <w:rsid w:val="00AF1D6B"/>
    <w:rsid w:val="00AF24AA"/>
    <w:rsid w:val="00AF3AF9"/>
    <w:rsid w:val="00AF3E5F"/>
    <w:rsid w:val="00AF4F09"/>
    <w:rsid w:val="00AF643E"/>
    <w:rsid w:val="00AF79C8"/>
    <w:rsid w:val="00B007B6"/>
    <w:rsid w:val="00B00FA8"/>
    <w:rsid w:val="00B011B0"/>
    <w:rsid w:val="00B0270C"/>
    <w:rsid w:val="00B0391C"/>
    <w:rsid w:val="00B047F6"/>
    <w:rsid w:val="00B06019"/>
    <w:rsid w:val="00B0700F"/>
    <w:rsid w:val="00B1493B"/>
    <w:rsid w:val="00B15119"/>
    <w:rsid w:val="00B17169"/>
    <w:rsid w:val="00B20F47"/>
    <w:rsid w:val="00B23996"/>
    <w:rsid w:val="00B23CB2"/>
    <w:rsid w:val="00B24A18"/>
    <w:rsid w:val="00B255C5"/>
    <w:rsid w:val="00B25807"/>
    <w:rsid w:val="00B268B3"/>
    <w:rsid w:val="00B268DD"/>
    <w:rsid w:val="00B32AE1"/>
    <w:rsid w:val="00B37780"/>
    <w:rsid w:val="00B37813"/>
    <w:rsid w:val="00B37EEF"/>
    <w:rsid w:val="00B41ABB"/>
    <w:rsid w:val="00B41C1D"/>
    <w:rsid w:val="00B43917"/>
    <w:rsid w:val="00B4515C"/>
    <w:rsid w:val="00B46220"/>
    <w:rsid w:val="00B464EA"/>
    <w:rsid w:val="00B47574"/>
    <w:rsid w:val="00B50DF7"/>
    <w:rsid w:val="00B5430C"/>
    <w:rsid w:val="00B56A90"/>
    <w:rsid w:val="00B5711C"/>
    <w:rsid w:val="00B57BCF"/>
    <w:rsid w:val="00B57E36"/>
    <w:rsid w:val="00B60209"/>
    <w:rsid w:val="00B606A3"/>
    <w:rsid w:val="00B65D6F"/>
    <w:rsid w:val="00B664B8"/>
    <w:rsid w:val="00B673F3"/>
    <w:rsid w:val="00B67A25"/>
    <w:rsid w:val="00B70229"/>
    <w:rsid w:val="00B7354A"/>
    <w:rsid w:val="00B7435B"/>
    <w:rsid w:val="00B74446"/>
    <w:rsid w:val="00B74B59"/>
    <w:rsid w:val="00B77142"/>
    <w:rsid w:val="00B8024E"/>
    <w:rsid w:val="00B80C3A"/>
    <w:rsid w:val="00B81633"/>
    <w:rsid w:val="00B84643"/>
    <w:rsid w:val="00B90452"/>
    <w:rsid w:val="00B90780"/>
    <w:rsid w:val="00B916D6"/>
    <w:rsid w:val="00B91AD8"/>
    <w:rsid w:val="00B9209B"/>
    <w:rsid w:val="00B9240D"/>
    <w:rsid w:val="00B95753"/>
    <w:rsid w:val="00B97E42"/>
    <w:rsid w:val="00BA0C05"/>
    <w:rsid w:val="00BA54D0"/>
    <w:rsid w:val="00BB1013"/>
    <w:rsid w:val="00BB44F9"/>
    <w:rsid w:val="00BB4515"/>
    <w:rsid w:val="00BB7B89"/>
    <w:rsid w:val="00BC1A9B"/>
    <w:rsid w:val="00BC2A22"/>
    <w:rsid w:val="00BC4986"/>
    <w:rsid w:val="00BC5E2E"/>
    <w:rsid w:val="00BC6379"/>
    <w:rsid w:val="00BC7EEF"/>
    <w:rsid w:val="00BD43BB"/>
    <w:rsid w:val="00BD7ADE"/>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5AEF"/>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1D3D"/>
    <w:rsid w:val="00C52D18"/>
    <w:rsid w:val="00C559CE"/>
    <w:rsid w:val="00C55E19"/>
    <w:rsid w:val="00C563BF"/>
    <w:rsid w:val="00C57512"/>
    <w:rsid w:val="00C57607"/>
    <w:rsid w:val="00C61133"/>
    <w:rsid w:val="00C64009"/>
    <w:rsid w:val="00C7016D"/>
    <w:rsid w:val="00C71A1A"/>
    <w:rsid w:val="00C767B3"/>
    <w:rsid w:val="00C76C07"/>
    <w:rsid w:val="00C80F23"/>
    <w:rsid w:val="00C817E5"/>
    <w:rsid w:val="00C850A3"/>
    <w:rsid w:val="00C87568"/>
    <w:rsid w:val="00C92451"/>
    <w:rsid w:val="00C9272C"/>
    <w:rsid w:val="00C97764"/>
    <w:rsid w:val="00C97C9B"/>
    <w:rsid w:val="00CA344C"/>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05C9"/>
    <w:rsid w:val="00D3194F"/>
    <w:rsid w:val="00D33751"/>
    <w:rsid w:val="00D37343"/>
    <w:rsid w:val="00D37495"/>
    <w:rsid w:val="00D41727"/>
    <w:rsid w:val="00D427E4"/>
    <w:rsid w:val="00D45F1B"/>
    <w:rsid w:val="00D472A5"/>
    <w:rsid w:val="00D52289"/>
    <w:rsid w:val="00D55A37"/>
    <w:rsid w:val="00D55B7E"/>
    <w:rsid w:val="00D64354"/>
    <w:rsid w:val="00D66685"/>
    <w:rsid w:val="00D70D35"/>
    <w:rsid w:val="00D71351"/>
    <w:rsid w:val="00D71997"/>
    <w:rsid w:val="00D753E9"/>
    <w:rsid w:val="00D777B9"/>
    <w:rsid w:val="00D82273"/>
    <w:rsid w:val="00D82FA5"/>
    <w:rsid w:val="00D84A4B"/>
    <w:rsid w:val="00D84B45"/>
    <w:rsid w:val="00D857AE"/>
    <w:rsid w:val="00D8623D"/>
    <w:rsid w:val="00D867FB"/>
    <w:rsid w:val="00D873C4"/>
    <w:rsid w:val="00D9110D"/>
    <w:rsid w:val="00D91124"/>
    <w:rsid w:val="00D91987"/>
    <w:rsid w:val="00D92168"/>
    <w:rsid w:val="00D93426"/>
    <w:rsid w:val="00D94B22"/>
    <w:rsid w:val="00D958D3"/>
    <w:rsid w:val="00D9594F"/>
    <w:rsid w:val="00D97213"/>
    <w:rsid w:val="00D97CD7"/>
    <w:rsid w:val="00DA134E"/>
    <w:rsid w:val="00DA13F3"/>
    <w:rsid w:val="00DA2DE3"/>
    <w:rsid w:val="00DA64AF"/>
    <w:rsid w:val="00DB1F4F"/>
    <w:rsid w:val="00DB2AC7"/>
    <w:rsid w:val="00DB3887"/>
    <w:rsid w:val="00DB704C"/>
    <w:rsid w:val="00DC2623"/>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0789"/>
    <w:rsid w:val="00E02DEB"/>
    <w:rsid w:val="00E042A1"/>
    <w:rsid w:val="00E0476C"/>
    <w:rsid w:val="00E0576B"/>
    <w:rsid w:val="00E067EA"/>
    <w:rsid w:val="00E06D18"/>
    <w:rsid w:val="00E104FA"/>
    <w:rsid w:val="00E1320D"/>
    <w:rsid w:val="00E15FD1"/>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1F9"/>
    <w:rsid w:val="00E5645D"/>
    <w:rsid w:val="00E627A4"/>
    <w:rsid w:val="00E6280E"/>
    <w:rsid w:val="00E62C9C"/>
    <w:rsid w:val="00E630EE"/>
    <w:rsid w:val="00E67A61"/>
    <w:rsid w:val="00E70455"/>
    <w:rsid w:val="00E73221"/>
    <w:rsid w:val="00E75116"/>
    <w:rsid w:val="00E763EB"/>
    <w:rsid w:val="00E8249B"/>
    <w:rsid w:val="00E8342F"/>
    <w:rsid w:val="00E84632"/>
    <w:rsid w:val="00E847EE"/>
    <w:rsid w:val="00E876F9"/>
    <w:rsid w:val="00E92BE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5D21"/>
    <w:rsid w:val="00EC737D"/>
    <w:rsid w:val="00ED2154"/>
    <w:rsid w:val="00ED4277"/>
    <w:rsid w:val="00ED7C8C"/>
    <w:rsid w:val="00ED7DDB"/>
    <w:rsid w:val="00EE431B"/>
    <w:rsid w:val="00EE4874"/>
    <w:rsid w:val="00EE53E5"/>
    <w:rsid w:val="00EE6852"/>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15173"/>
    <w:rsid w:val="00F20065"/>
    <w:rsid w:val="00F22211"/>
    <w:rsid w:val="00F22341"/>
    <w:rsid w:val="00F24039"/>
    <w:rsid w:val="00F24E0E"/>
    <w:rsid w:val="00F26693"/>
    <w:rsid w:val="00F3477D"/>
    <w:rsid w:val="00F347FE"/>
    <w:rsid w:val="00F34859"/>
    <w:rsid w:val="00F356F7"/>
    <w:rsid w:val="00F40055"/>
    <w:rsid w:val="00F40868"/>
    <w:rsid w:val="00F421D5"/>
    <w:rsid w:val="00F44FDE"/>
    <w:rsid w:val="00F46467"/>
    <w:rsid w:val="00F46B63"/>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91B52"/>
    <w:rsid w:val="00F961A9"/>
    <w:rsid w:val="00F97478"/>
    <w:rsid w:val="00F97B71"/>
    <w:rsid w:val="00F97B9E"/>
    <w:rsid w:val="00FA0527"/>
    <w:rsid w:val="00FA085E"/>
    <w:rsid w:val="00FA0947"/>
    <w:rsid w:val="00FA2D49"/>
    <w:rsid w:val="00FA4B52"/>
    <w:rsid w:val="00FA4D4F"/>
    <w:rsid w:val="00FA4D5B"/>
    <w:rsid w:val="00FA54E8"/>
    <w:rsid w:val="00FA621E"/>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961"/>
    <w:rsid w:val="00FC7F43"/>
    <w:rsid w:val="00FD7D41"/>
    <w:rsid w:val="00FE0072"/>
    <w:rsid w:val="00FE0C71"/>
    <w:rsid w:val="00FE0C8B"/>
    <w:rsid w:val="00FE1E47"/>
    <w:rsid w:val="00FE275D"/>
    <w:rsid w:val="00FE7FBD"/>
    <w:rsid w:val="00FF10BC"/>
    <w:rsid w:val="00FF5DCF"/>
    <w:rsid w:val="00FF6ADB"/>
    <w:rsid w:val="404B1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29908D-DE47-4094-8239-F43C4054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Normal Indent" w:uiPriority="99"/>
    <w:lsdException w:name="footnote text" w:qFormat="1"/>
    <w:lsdException w:name="annotation text" w:semiHidden="1" w:qFormat="1"/>
    <w:lsdException w:name="header" w:uiPriority="99"/>
    <w:lsdException w:name="caption" w:semiHidden="1" w:unhideWhenUsed="1" w:qFormat="1"/>
    <w:lsdException w:name="footnote reference" w:qFormat="1"/>
    <w:lsdException w:name="annotation reference" w:semiHidden="1"/>
    <w:lsdException w:name="Title" w:qFormat="1"/>
    <w:lsdException w:name="Default Paragraph Font" w:semiHidden="1" w:uiPriority="1" w:unhideWhenUsed="1"/>
    <w:lsdException w:name="Subtitle" w:qFormat="1"/>
    <w:lsdException w:name="Date" w:uiPriority="99"/>
    <w:lsdException w:name="Strong" w:uiPriority="22" w:qFormat="1"/>
    <w:lsdException w:name="Emphasis" w:qFormat="1"/>
    <w:lsdException w:name="Document Map" w:semiHidden="1" w:qFormat="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
    <w:name w:val="Body Text Indent 3"/>
    <w:basedOn w:val="a"/>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5">
    <w:name w:val="Strong"/>
    <w:basedOn w:val="a1"/>
    <w:uiPriority w:val="22"/>
    <w:qFormat/>
    <w:rPr>
      <w:b/>
      <w:bCs/>
    </w:rPr>
  </w:style>
  <w:style w:type="character" w:styleId="af6">
    <w:name w:val="page number"/>
    <w:basedOn w:val="a1"/>
  </w:style>
  <w:style w:type="character" w:styleId="af7">
    <w:name w:val="Hyperlink"/>
    <w:basedOn w:val="a1"/>
    <w:rPr>
      <w:color w:val="0000FF"/>
      <w:u w:val="single"/>
    </w:rPr>
  </w:style>
  <w:style w:type="character" w:styleId="af8">
    <w:name w:val="annotation reference"/>
    <w:basedOn w:val="a1"/>
    <w:semiHidden/>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rPr>
      <w:color w:val="800080"/>
      <w:u w:val="single"/>
    </w:r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qFormat/>
    <w:rPr>
      <w:color w:val="990000"/>
    </w:rPr>
  </w:style>
  <w:style w:type="character" w:customStyle="1" w:styleId="aa">
    <w:name w:val="纯文本 字符"/>
    <w:basedOn w:val="a1"/>
    <w:link w:val="a9"/>
    <w:uiPriority w:val="99"/>
    <w:qFormat/>
    <w:rPr>
      <w:rFonts w:ascii="宋体" w:hAnsi="Courier New"/>
      <w:kern w:val="2"/>
      <w:sz w:val="21"/>
      <w:szCs w:val="21"/>
    </w:rPr>
  </w:style>
  <w:style w:type="character" w:customStyle="1" w:styleId="af3">
    <w:name w:val="脚注文本 字符"/>
    <w:basedOn w:val="a1"/>
    <w:link w:val="af2"/>
    <w:qFormat/>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262">
      <w:bodyDiv w:val="1"/>
      <w:marLeft w:val="0"/>
      <w:marRight w:val="0"/>
      <w:marTop w:val="0"/>
      <w:marBottom w:val="0"/>
      <w:divBdr>
        <w:top w:val="none" w:sz="0" w:space="0" w:color="auto"/>
        <w:left w:val="none" w:sz="0" w:space="0" w:color="auto"/>
        <w:bottom w:val="none" w:sz="0" w:space="0" w:color="auto"/>
        <w:right w:val="none" w:sz="0" w:space="0" w:color="auto"/>
      </w:divBdr>
    </w:div>
    <w:div w:id="90953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2F597-333D-434B-B30E-640BFEA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15</Pages>
  <Words>1245</Words>
  <Characters>7103</Characters>
  <Application>Microsoft Office Word</Application>
  <DocSecurity>0</DocSecurity>
  <Lines>59</Lines>
  <Paragraphs>16</Paragraphs>
  <ScaleCrop>false</ScaleCrop>
  <Company>TRT. Ltd. Co.</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cp:revision>
  <cp:lastPrinted>2007-07-19T00:46:00Z</cp:lastPrinted>
  <dcterms:created xsi:type="dcterms:W3CDTF">2014-12-16T08:49:00Z</dcterms:created>
  <dcterms:modified xsi:type="dcterms:W3CDTF">2022-01-21T03:05:00Z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