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44DA7AB" w14:textId="77777777" w:rsidR="00DB3887" w:rsidRDefault="00DB3887" w:rsidRPr="00D97CD7">
      <w:pPr>
        <w:autoSpaceDE w:val="0"/>
        <w:autoSpaceDN w:val="0"/>
        <w:adjustRightInd w:val="0"/>
        <w:spacing w:line="360" w:lineRule="auto"/>
        <w:jc w:val="left"/>
        <w:rPr>
          <w:rFonts w:eastAsiaTheme="minorEastAsia"/>
          <w:color w:themeColor="text1" w:val="000000"/>
          <w:kern w:val="0"/>
          <w:szCs w:val="21"/>
        </w:rPr>
      </w:pPr>
    </w:p>
    <w:p w14:paraId="3225F6CE" w14:textId="77777777" w:rsidR="00DB3887" w:rsidRDefault="00DB3887" w:rsidRPr="00D97CD7">
      <w:pPr>
        <w:autoSpaceDE w:val="0"/>
        <w:autoSpaceDN w:val="0"/>
        <w:adjustRightInd w:val="0"/>
        <w:spacing w:line="360" w:lineRule="auto"/>
        <w:jc w:val="left"/>
        <w:rPr>
          <w:rFonts w:eastAsiaTheme="minorEastAsia"/>
          <w:color w:themeColor="text1" w:val="000000"/>
          <w:kern w:val="0"/>
          <w:szCs w:val="21"/>
        </w:rPr>
      </w:pPr>
    </w:p>
    <w:p w14:paraId="757A12B3" w14:textId="77777777" w:rsidR="00DB3887" w:rsidRDefault="00DB3887" w:rsidRPr="00D97CD7">
      <w:pPr>
        <w:autoSpaceDE w:val="0"/>
        <w:autoSpaceDN w:val="0"/>
        <w:adjustRightInd w:val="0"/>
        <w:spacing w:line="360" w:lineRule="auto"/>
        <w:jc w:val="left"/>
        <w:rPr>
          <w:rFonts w:eastAsiaTheme="minorEastAsia"/>
          <w:color w:themeColor="text1" w:val="000000"/>
          <w:kern w:val="0"/>
          <w:szCs w:val="21"/>
        </w:rPr>
      </w:pPr>
    </w:p>
    <w:p w14:paraId="672C635F" w14:textId="77777777" w:rsidR="00DB3887" w:rsidRDefault="00DB3887" w:rsidRPr="00D97CD7">
      <w:pPr>
        <w:autoSpaceDE w:val="0"/>
        <w:autoSpaceDN w:val="0"/>
        <w:adjustRightInd w:val="0"/>
        <w:spacing w:line="360" w:lineRule="auto"/>
        <w:jc w:val="left"/>
        <w:rPr>
          <w:rFonts w:eastAsiaTheme="minorEastAsia"/>
          <w:color w:themeColor="text1" w:val="000000"/>
          <w:kern w:val="0"/>
          <w:szCs w:val="21"/>
        </w:rPr>
      </w:pPr>
    </w:p>
    <w:p w14:paraId="2CED2794" w14:textId="77777777" w:rsidR="00DB3887" w:rsidRDefault="00DB3887" w:rsidRPr="00D97CD7">
      <w:pPr>
        <w:autoSpaceDE w:val="0"/>
        <w:autoSpaceDN w:val="0"/>
        <w:adjustRightInd w:val="0"/>
        <w:spacing w:line="360" w:lineRule="auto"/>
        <w:jc w:val="left"/>
        <w:rPr>
          <w:rFonts w:eastAsiaTheme="minorEastAsia"/>
          <w:color w:themeColor="text1" w:val="000000"/>
          <w:kern w:val="0"/>
          <w:szCs w:val="21"/>
        </w:rPr>
      </w:pPr>
    </w:p>
    <w:p w14:paraId="21141A1B" w14:textId="77777777" w:rsidR="00DB3887" w:rsidRDefault="00FC6961" w:rsidRPr="00D97CD7">
      <w:pPr>
        <w:spacing w:line="360" w:lineRule="auto"/>
        <w:jc w:val="center"/>
        <w:rPr>
          <w:rFonts w:eastAsiaTheme="minorEastAsia"/>
          <w:b/>
          <w:color w:themeColor="text1" w:val="000000"/>
          <w:sz w:val="36"/>
          <w:szCs w:val="36"/>
        </w:rPr>
      </w:pPr>
      <w:r w:rsidRPr="00D97CD7">
        <w:rPr>
          <w:rFonts w:eastAsiaTheme="minorEastAsia"/>
          <w:b/>
          <w:color w:themeColor="text1" w:val="000000"/>
          <w:sz w:val="36"/>
          <w:szCs w:val="36"/>
        </w:rPr>
        <w:t/>
      </w:r>
      <w:proofErr w:type="spellStart"/>
      <w:r w:rsidRPr="00D97CD7">
        <w:rPr>
          <w:rFonts w:eastAsiaTheme="minorEastAsia"/>
          <w:b/>
          <w:color w:themeColor="text1" w:val="000000"/>
          <w:sz w:val="36"/>
          <w:szCs w:val="36"/>
        </w:rPr>
        <w:t/>
      </w:r>
      <w:proofErr w:type="spellEnd"/>
      <w:r w:rsidRPr="00D97CD7">
        <w:rPr>
          <w:rFonts w:eastAsiaTheme="minorEastAsia"/>
          <w:b/>
          <w:color w:themeColor="text1" w:val="000000"/>
          <w:sz w:val="36"/>
          <w:szCs w:val="36"/>
        </w:rPr>
        <w:t>上投摩根MSCI中国A股交易型开放式指数证券投资基金联接基金</w:t>
      </w:r>
    </w:p>
    <w:p w14:paraId="1B3A4046" w14:textId="77777777" w:rsidR="00DB3887" w:rsidRDefault="00FC6961" w:rsidRPr="00D97CD7">
      <w:pPr>
        <w:spacing w:line="360" w:lineRule="auto"/>
        <w:jc w:val="center"/>
        <w:rPr>
          <w:rFonts w:eastAsiaTheme="minorEastAsia"/>
          <w:b/>
          <w:color w:themeColor="text1" w:val="000000"/>
          <w:sz w:val="36"/>
          <w:szCs w:val="36"/>
        </w:rPr>
      </w:pPr>
      <w:r w:rsidRPr="00D97CD7">
        <w:rPr>
          <w:rFonts w:eastAsiaTheme="minorEastAsia"/>
          <w:b/>
          <w:color w:themeColor="text1" w:val="000000"/>
          <w:sz w:val="36"/>
          <w:szCs w:val="36"/>
        </w:rPr>
        <w:t/>
      </w:r>
      <w:proofErr w:type="spellStart"/>
      <w:r w:rsidRPr="00D97CD7">
        <w:rPr>
          <w:rFonts w:eastAsiaTheme="minorEastAsia"/>
          <w:b/>
          <w:color w:themeColor="text1" w:val="000000"/>
          <w:sz w:val="36"/>
          <w:szCs w:val="36"/>
        </w:rPr>
        <w:t/>
      </w:r>
      <w:proofErr w:type="spellEnd"/>
      <w:r w:rsidRPr="00D97CD7">
        <w:rPr>
          <w:rFonts w:eastAsiaTheme="minorEastAsia"/>
          <w:b/>
          <w:color w:themeColor="text1" w:val="000000"/>
          <w:sz w:val="36"/>
          <w:szCs w:val="36"/>
        </w:rPr>
        <w:t>2021年第3季度报告</w:t>
      </w:r>
    </w:p>
    <w:p w14:paraId="24C07554" w14:textId="77777777" w:rsidR="00DB3887" w:rsidRDefault="00FC6961" w:rsidRPr="00D97CD7">
      <w:pPr>
        <w:spacing w:line="360" w:lineRule="auto"/>
        <w:jc w:val="center"/>
        <w:rPr>
          <w:rFonts w:eastAsiaTheme="minorEastAsia"/>
          <w:b/>
          <w:color w:themeColor="text1" w:val="000000"/>
          <w:sz w:val="36"/>
          <w:szCs w:val="36"/>
        </w:rPr>
      </w:pPr>
      <w:r w:rsidRPr="00D97CD7">
        <w:rPr>
          <w:rFonts w:eastAsiaTheme="minorEastAsia"/>
          <w:b/>
          <w:color w:themeColor="text1" w:val="000000"/>
          <w:sz w:val="36"/>
          <w:szCs w:val="36"/>
        </w:rPr>
        <w:t/>
      </w:r>
      <w:proofErr w:type="spellStart"/>
      <w:r w:rsidRPr="00D97CD7">
        <w:rPr>
          <w:rFonts w:eastAsiaTheme="minorEastAsia"/>
          <w:b/>
          <w:color w:themeColor="text1" w:val="000000"/>
          <w:sz w:val="36"/>
          <w:szCs w:val="36"/>
        </w:rPr>
        <w:t/>
      </w:r>
      <w:proofErr w:type="spellEnd"/>
      <w:r w:rsidRPr="00D97CD7">
        <w:rPr>
          <w:rFonts w:eastAsiaTheme="minorEastAsia"/>
          <w:b/>
          <w:color w:themeColor="text1" w:val="000000"/>
          <w:sz w:val="36"/>
          <w:szCs w:val="36"/>
        </w:rPr>
        <w:t>2021年9月30日</w:t>
      </w:r>
    </w:p>
    <w:p w14:paraId="0661DE54" w14:textId="77777777" w:rsidR="00DB3887" w:rsidRDefault="00DB3887" w:rsidRPr="00D97CD7">
      <w:pPr>
        <w:spacing w:line="360" w:lineRule="auto"/>
        <w:jc w:val="center"/>
        <w:rPr>
          <w:rFonts w:eastAsiaTheme="minorEastAsia"/>
          <w:b/>
          <w:color w:themeColor="text1" w:val="000000"/>
          <w:szCs w:val="21"/>
        </w:rPr>
      </w:pPr>
    </w:p>
    <w:p w14:paraId="739AE294" w14:textId="77777777" w:rsidR="00DB3887" w:rsidRDefault="00DB3887" w:rsidRPr="00D97CD7">
      <w:pPr>
        <w:spacing w:line="360" w:lineRule="auto"/>
        <w:jc w:val="center"/>
        <w:rPr>
          <w:rFonts w:eastAsiaTheme="minorEastAsia"/>
          <w:b/>
          <w:color w:themeColor="text1" w:val="000000"/>
          <w:szCs w:val="21"/>
        </w:rPr>
      </w:pPr>
    </w:p>
    <w:p w14:paraId="17F32C19" w14:textId="77777777" w:rsidR="00DB3887" w:rsidRDefault="00DB3887" w:rsidRPr="00D97CD7">
      <w:pPr>
        <w:spacing w:line="360" w:lineRule="auto"/>
        <w:jc w:val="center"/>
        <w:rPr>
          <w:rFonts w:eastAsiaTheme="minorEastAsia"/>
          <w:b/>
          <w:color w:themeColor="text1" w:val="000000"/>
          <w:szCs w:val="21"/>
        </w:rPr>
      </w:pPr>
    </w:p>
    <w:p w14:paraId="66EF76F3" w14:textId="77777777" w:rsidR="00DB3887" w:rsidRDefault="00DB3887" w:rsidRPr="00D97CD7">
      <w:pPr>
        <w:spacing w:line="360" w:lineRule="auto"/>
        <w:jc w:val="center"/>
        <w:rPr>
          <w:rFonts w:eastAsiaTheme="minorEastAsia"/>
          <w:b/>
          <w:color w:themeColor="text1" w:val="000000"/>
          <w:szCs w:val="21"/>
        </w:rPr>
      </w:pPr>
    </w:p>
    <w:p w14:paraId="0BB32724" w14:textId="77777777" w:rsidR="00DB3887" w:rsidRDefault="00DB3887" w:rsidRPr="00D97CD7">
      <w:pPr>
        <w:spacing w:line="360" w:lineRule="auto"/>
        <w:jc w:val="center"/>
        <w:rPr>
          <w:rFonts w:eastAsiaTheme="minorEastAsia"/>
          <w:b/>
          <w:color w:themeColor="text1" w:val="000000"/>
          <w:szCs w:val="21"/>
        </w:rPr>
      </w:pPr>
    </w:p>
    <w:p w14:paraId="72F141E7" w14:textId="77777777" w:rsidR="00DB3887" w:rsidRDefault="00DB3887" w:rsidRPr="00D97CD7">
      <w:pPr>
        <w:spacing w:line="360" w:lineRule="auto"/>
        <w:jc w:val="center"/>
        <w:rPr>
          <w:rFonts w:eastAsiaTheme="minorEastAsia"/>
          <w:b/>
          <w:color w:themeColor="text1" w:val="000000"/>
          <w:szCs w:val="21"/>
        </w:rPr>
      </w:pPr>
    </w:p>
    <w:p w14:paraId="2C7A331B" w14:textId="77777777" w:rsidR="00DB3887" w:rsidRDefault="00DB3887" w:rsidRPr="00D97CD7">
      <w:pPr>
        <w:spacing w:line="360" w:lineRule="auto"/>
        <w:jc w:val="center"/>
        <w:rPr>
          <w:rFonts w:eastAsiaTheme="minorEastAsia"/>
          <w:b/>
          <w:color w:themeColor="text1" w:val="000000"/>
          <w:szCs w:val="21"/>
        </w:rPr>
      </w:pPr>
    </w:p>
    <w:p w14:paraId="670753C5" w14:textId="77777777" w:rsidR="00DB3887" w:rsidRDefault="00DB3887" w:rsidRPr="00D97CD7">
      <w:pPr>
        <w:spacing w:line="360" w:lineRule="auto"/>
        <w:jc w:val="center"/>
        <w:rPr>
          <w:rFonts w:eastAsiaTheme="minorEastAsia"/>
          <w:b/>
          <w:color w:themeColor="text1" w:val="000000"/>
          <w:szCs w:val="21"/>
        </w:rPr>
      </w:pPr>
    </w:p>
    <w:p w14:paraId="1F2598EA" w14:textId="77777777" w:rsidR="00DB3887" w:rsidRDefault="00DB3887" w:rsidRPr="00D97CD7">
      <w:pPr>
        <w:spacing w:line="360" w:lineRule="auto"/>
        <w:jc w:val="center"/>
        <w:rPr>
          <w:rFonts w:eastAsiaTheme="minorEastAsia"/>
          <w:b/>
          <w:color w:themeColor="text1" w:val="000000"/>
          <w:szCs w:val="21"/>
        </w:rPr>
      </w:pPr>
    </w:p>
    <w:p w14:paraId="00681584" w14:textId="77777777" w:rsidR="00DB3887" w:rsidRDefault="00DB3887" w:rsidRPr="00D97CD7">
      <w:pPr>
        <w:spacing w:line="360" w:lineRule="auto"/>
        <w:jc w:val="center"/>
        <w:rPr>
          <w:rFonts w:eastAsiaTheme="minorEastAsia"/>
          <w:b/>
          <w:color w:themeColor="text1" w:val="000000"/>
          <w:szCs w:val="21"/>
        </w:rPr>
      </w:pPr>
    </w:p>
    <w:p w14:paraId="340E0786" w14:textId="77777777" w:rsidR="00DB3887" w:rsidRDefault="00DB3887" w:rsidRPr="00D97CD7">
      <w:pPr>
        <w:spacing w:line="360" w:lineRule="auto"/>
        <w:jc w:val="center"/>
        <w:rPr>
          <w:rFonts w:eastAsiaTheme="minorEastAsia"/>
          <w:b/>
          <w:color w:themeColor="text1" w:val="000000"/>
          <w:szCs w:val="21"/>
        </w:rPr>
      </w:pPr>
    </w:p>
    <w:p w14:paraId="19437DB8" w14:textId="77777777" w:rsidR="00DB3887" w:rsidRDefault="00DB3887" w:rsidRPr="00D97CD7">
      <w:pPr>
        <w:spacing w:line="360" w:lineRule="auto"/>
        <w:jc w:val="center"/>
        <w:rPr>
          <w:rFonts w:eastAsiaTheme="minorEastAsia"/>
          <w:b/>
          <w:color w:themeColor="text1" w:val="000000"/>
          <w:szCs w:val="21"/>
        </w:rPr>
      </w:pPr>
    </w:p>
    <w:p w14:paraId="4D3ABC22" w14:textId="77777777" w:rsidR="00DB3887" w:rsidRDefault="00DB3887" w:rsidRPr="00D97CD7">
      <w:pPr>
        <w:spacing w:line="360" w:lineRule="auto"/>
        <w:jc w:val="center"/>
        <w:rPr>
          <w:rFonts w:eastAsiaTheme="minorEastAsia"/>
          <w:b/>
          <w:color w:themeColor="text1" w:val="000000"/>
          <w:szCs w:val="21"/>
        </w:rPr>
      </w:pPr>
    </w:p>
    <w:p w14:paraId="61503858" w14:textId="77777777" w:rsidR="00DB3887" w:rsidRDefault="00DB3887" w:rsidRPr="00D97CD7">
      <w:pPr>
        <w:spacing w:line="360" w:lineRule="auto"/>
        <w:rPr>
          <w:rFonts w:eastAsiaTheme="minorEastAsia"/>
          <w:b/>
          <w:color w:themeColor="text1" w:val="000000"/>
          <w:szCs w:val="21"/>
        </w:rPr>
      </w:pPr>
    </w:p>
    <w:p w14:paraId="5D8E798F" w14:textId="77777777" w:rsidR="00DB3887" w:rsidRDefault="00FC6961" w:rsidRPr="00D97CD7">
      <w:pPr>
        <w:spacing w:line="360" w:lineRule="auto"/>
        <w:ind w:firstLine="2168" w:firstLineChars="900"/>
        <w:rPr>
          <w:rFonts w:eastAsiaTheme="minorEastAsia"/>
          <w:b/>
          <w:color w:themeColor="text1" w:val="000000"/>
          <w:sz w:val="24"/>
        </w:rPr>
      </w:pPr>
      <w:r w:rsidRPr="00D97CD7">
        <w:rPr>
          <w:rFonts w:eastAsiaTheme="minorEastAsia"/>
          <w:b/>
          <w:color w:themeColor="text1" w:val="000000"/>
          <w:sz w:val="24"/>
        </w:rPr>
        <w:t>基金管理人：</w:t>
      </w:r>
      <w:r w:rsidRPr="00D97CD7">
        <w:rPr>
          <w:rFonts w:eastAsiaTheme="minorEastAsia"/>
          <w:b/>
          <w:color w:themeColor="text1" w:val="000000"/>
          <w:sz w:val="24"/>
        </w:rPr>
        <w:t/>
      </w:r>
      <w:proofErr w:type="spellStart"/>
      <w:r w:rsidRPr="00D97CD7">
        <w:rPr>
          <w:rFonts w:eastAsiaTheme="minorEastAsia"/>
          <w:b/>
          <w:color w:themeColor="text1" w:val="000000"/>
          <w:sz w:val="24"/>
        </w:rPr>
        <w:t/>
      </w:r>
      <w:proofErr w:type="spellEnd"/>
      <w:r w:rsidRPr="00D97CD7">
        <w:rPr>
          <w:rFonts w:eastAsiaTheme="minorEastAsia"/>
          <w:b/>
          <w:color w:themeColor="text1" w:val="000000"/>
          <w:sz w:val="24"/>
        </w:rPr>
        <w:t>上投摩根基金管理有限公司</w:t>
      </w:r>
    </w:p>
    <w:p w14:paraId="3DDA4AE0" w14:textId="77777777" w:rsidR="00DB3887" w:rsidRDefault="00FC6961" w:rsidRPr="00D97CD7">
      <w:pPr>
        <w:spacing w:line="360" w:lineRule="auto"/>
        <w:ind w:firstLine="2168" w:firstLineChars="900"/>
        <w:rPr>
          <w:rFonts w:eastAsiaTheme="minorEastAsia"/>
          <w:b/>
          <w:color w:themeColor="text1" w:val="000000"/>
          <w:sz w:val="24"/>
        </w:rPr>
      </w:pPr>
      <w:r w:rsidRPr="00D97CD7">
        <w:rPr>
          <w:rFonts w:eastAsiaTheme="minorEastAsia"/>
          <w:b/>
          <w:color w:themeColor="text1" w:val="000000"/>
          <w:sz w:val="24"/>
        </w:rPr>
        <w:t>基金托管人：</w:t>
      </w:r>
      <w:r w:rsidRPr="00D97CD7">
        <w:rPr>
          <w:rFonts w:eastAsiaTheme="minorEastAsia"/>
          <w:b/>
          <w:color w:themeColor="text1" w:val="000000"/>
          <w:sz w:val="24"/>
        </w:rPr>
        <w:t/>
      </w:r>
      <w:proofErr w:type="spellStart"/>
      <w:r w:rsidRPr="00D97CD7">
        <w:rPr>
          <w:rFonts w:eastAsiaTheme="minorEastAsia"/>
          <w:b/>
          <w:color w:themeColor="text1" w:val="000000"/>
          <w:sz w:val="24"/>
        </w:rPr>
        <w:t/>
      </w:r>
      <w:proofErr w:type="spellEnd"/>
      <w:r w:rsidRPr="00D97CD7">
        <w:rPr>
          <w:rFonts w:eastAsiaTheme="minorEastAsia"/>
          <w:b/>
          <w:color w:themeColor="text1" w:val="000000"/>
          <w:sz w:val="24"/>
        </w:rPr>
        <w:t>平安银行股份有限公司</w:t>
      </w:r>
    </w:p>
    <w:p w14:paraId="7A774ABD" w14:textId="77777777" w:rsidR="00DB3887" w:rsidRDefault="00FC6961" w:rsidRPr="00D97CD7">
      <w:pPr>
        <w:spacing w:line="360" w:lineRule="auto"/>
        <w:ind w:firstLine="2168" w:firstLineChars="900"/>
        <w:rPr>
          <w:rFonts w:eastAsiaTheme="minorEastAsia"/>
          <w:color w:themeColor="text1" w:val="000000"/>
          <w:sz w:val="24"/>
        </w:rPr>
        <w:sectPr w:rsidR="00DB3887" w:rsidRPr="00D97CD7">
          <w:headerReference r:id="rId8" w:type="default"/>
          <w:footerReference r:id="rId9" w:type="default"/>
          <w:pgSz w:h="15840" w:w="11926"/>
          <w:pgMar w:bottom="851" w:footer="992" w:gutter="0" w:header="851" w:left="1418" w:right="1418" w:top="1418"/>
          <w:cols w:space="720"/>
        </w:sectPr>
      </w:pPr>
      <w:r w:rsidRPr="00D97CD7">
        <w:rPr>
          <w:rFonts w:eastAsiaTheme="minorEastAsia"/>
          <w:b/>
          <w:color w:themeColor="text1" w:val="000000"/>
          <w:sz w:val="24"/>
        </w:rPr>
        <w:t>报告送出日期：</w:t>
      </w:r>
      <w:r w:rsidRPr="00D97CD7">
        <w:rPr>
          <w:rFonts w:eastAsiaTheme="minorEastAsia"/>
          <w:b/>
          <w:color w:themeColor="text1" w:val="000000"/>
          <w:sz w:val="24"/>
        </w:rPr>
        <w:t/>
      </w:r>
      <w:proofErr w:type="spellStart"/>
      <w:r w:rsidRPr="00D97CD7">
        <w:rPr>
          <w:rFonts w:eastAsiaTheme="minorEastAsia"/>
          <w:b/>
          <w:color w:themeColor="text1" w:val="000000"/>
          <w:sz w:val="24"/>
        </w:rPr>
        <w:t/>
      </w:r>
      <w:proofErr w:type="spellEnd"/>
      <w:r w:rsidRPr="00D97CD7">
        <w:rPr>
          <w:rFonts w:eastAsiaTheme="minorEastAsia"/>
          <w:b/>
          <w:color w:themeColor="text1" w:val="000000"/>
          <w:sz w:val="24"/>
        </w:rPr>
        <w:t>二〇二一年十月二十七日</w:t>
      </w:r>
    </w:p>
    <w:p w14:paraId="4D7B2CEB" w14:textId="77777777" w:rsidR="00DB3887" w:rsidRDefault="00FC6961" w:rsidRPr="00D97CD7">
      <w:pPr>
        <w:pStyle w:val="1"/>
        <w:spacing w:after="312" w:afterLines="100" w:before="312" w:beforeLines="100" w:line="360" w:lineRule="auto"/>
        <w:jc w:val="center"/>
        <w:rPr>
          <w:rFonts w:eastAsiaTheme="minorEastAsia"/>
          <w:b w:val="0"/>
          <w:color w:themeColor="text1" w:val="000000"/>
          <w:kern w:val="0"/>
          <w:sz w:val="21"/>
          <w:szCs w:val="21"/>
        </w:rPr>
      </w:pPr>
      <w:r w:rsidRPr="00D97CD7">
        <w:rPr>
          <w:rFonts w:eastAsiaTheme="minorEastAsia"/>
          <w:color w:themeColor="text1" w:val="000000"/>
          <w:kern w:val="0"/>
          <w:sz w:val="21"/>
          <w:szCs w:val="21"/>
        </w:rPr>
        <w:lastRenderedPageBreak/>
        <w:t xml:space="preserve">§1  </w:t>
      </w:r>
      <w:r w:rsidRPr="00D97CD7">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基金托管人平安银行股份有限公司根据本基金合同规定，于2021年10月26日复核了本报告中的财务指标、净值表现和投资组合报告等内容，保证复核内容不存在虚假记载、误导性陈述或者重大遗漏。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097721BE"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本报告期自2021年7月1日起至9月30日止。</w:t>
      </w:r>
    </w:p>
    <w:p w14:paraId="3A563EDB" w14:textId="77777777" w:rsidR="00DB3887" w:rsidRDefault="00FC6961" w:rsidRPr="00D97CD7">
      <w:pPr>
        <w:pStyle w:val="1"/>
        <w:spacing w:after="312" w:afterLines="100" w:before="312" w:beforeLines="100" w:line="360" w:lineRule="auto"/>
        <w:jc w:val="center"/>
        <w:rPr>
          <w:rFonts w:eastAsiaTheme="minorEastAsia"/>
          <w:color w:themeColor="text1" w:val="000000"/>
          <w:kern w:val="0"/>
          <w:sz w:val="21"/>
          <w:szCs w:val="21"/>
        </w:rPr>
      </w:pPr>
      <w:r w:rsidRPr="00D97CD7">
        <w:rPr>
          <w:rFonts w:eastAsiaTheme="minorEastAsia"/>
          <w:color w:themeColor="text1" w:val="000000"/>
          <w:kern w:val="0"/>
          <w:sz w:val="21"/>
          <w:szCs w:val="21"/>
        </w:rPr>
        <w:t xml:space="preserve">§2  </w:t>
      </w:r>
      <w:r w:rsidRPr="00D97CD7">
        <w:rPr>
          <w:rFonts w:eastAsiaTheme="minorEastAsia"/>
          <w:color w:themeColor="text1" w:val="000000"/>
          <w:kern w:val="0"/>
          <w:sz w:val="21"/>
          <w:szCs w:val="21"/>
        </w:rPr>
        <w:t>基金产品概况</w:t>
      </w:r>
    </w:p>
    <w:p w14:paraId="19B62051" w14:textId="77777777" w:rsidR="00DB3887" w:rsidRDefault="00FC6961" w:rsidRPr="00D97CD7">
      <w:pPr>
        <w:pStyle w:val="2"/>
        <w:keepNext w:val="0"/>
        <w:keepLines w:val="0"/>
        <w:spacing w:after="0" w:before="0"/>
        <w:rPr>
          <w:rFonts w:ascii="Times New Roman" w:cs="Times New Roman" w:eastAsiaTheme="minorEastAsia" w:hAnsi="Times New Roman"/>
          <w:color w:themeColor="text1" w:val="000000"/>
          <w:sz w:val="21"/>
          <w:szCs w:val="21"/>
        </w:rPr>
      </w:pPr>
      <w:bookmarkStart w:id="0" w:name="_Toc245193810"/>
      <w:r w:rsidRPr="00D97CD7">
        <w:rPr>
          <w:rFonts w:ascii="Times New Roman" w:cs="Times New Roman" w:eastAsiaTheme="minorEastAsia" w:hAnsi="Times New Roman"/>
          <w:color w:themeColor="text1" w:val="000000"/>
          <w:sz w:val="21"/>
          <w:szCs w:val="21"/>
        </w:rPr>
        <w:t>2.1</w:t>
      </w:r>
      <w:r w:rsidRPr="00D97CD7">
        <w:rPr>
          <w:rFonts w:ascii="Times New Roman" w:cs="Times New Roman" w:eastAsiaTheme="minorEastAsia" w:hAnsi="Times New Roman"/>
          <w:color w:themeColor="text1" w:val="000000"/>
          <w:sz w:val="21"/>
          <w:szCs w:val="21"/>
        </w:rPr>
        <w:t>基金产品概况</w:t>
      </w:r>
      <w:bookmarkEnd w:id="0"/>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3C6E7470" w14:textId="77777777" w:rsidR="00DB3887" w:rsidRPr="00D97CD7">
        <w:tc>
          <w:tcPr>
            <w:tcW w:type="dxa" w:w="2835"/>
          </w:tcPr>
          <w:p w14:paraId="7B028536" w14:textId="77777777" w:rsidR="00DB3887" w:rsidRDefault="00FC6961" w:rsidRPr="00D97CD7">
            <w:pPr>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基金简称</w:t>
            </w:r>
          </w:p>
        </w:tc>
        <w:tc>
          <w:tcPr>
            <w:tcW w:type="dxa" w:w="5479"/>
            <w:gridSpan w:val="2"/>
          </w:tcPr>
          <w:p w14:paraId="2ABD54E4" w14:textId="77777777" w:rsidR="00DB3887" w:rsidRDefault="00FC6961" w:rsidRPr="00D97CD7">
            <w:pPr>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上投摩根MSCI中国A股ETF联接</w:t>
            </w:r>
          </w:p>
        </w:tc>
      </w:tr>
      <w:tr w14:paraId="59E9F771" w14:textId="77777777" w:rsidR="00DB3887" w:rsidRPr="00D97CD7">
        <w:tc>
          <w:tcPr>
            <w:tcW w:type="dxa" w:w="2835"/>
          </w:tcPr>
          <w:p w14:paraId="64CE698B" w14:textId="77777777" w:rsidR="00DB3887" w:rsidRDefault="00FC6961" w:rsidRPr="00D97CD7">
            <w:pPr>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基金主代码</w:t>
            </w:r>
          </w:p>
        </w:tc>
        <w:tc>
          <w:tcPr>
            <w:tcW w:type="dxa" w:w="5479"/>
            <w:gridSpan w:val="2"/>
            <w:tcBorders>
              <w:bottom w:color="auto" w:space="0" w:sz="4" w:val="single"/>
            </w:tcBorders>
          </w:tcPr>
          <w:p w14:paraId="5DB3E877" w14:textId="77777777" w:rsidR="00DB3887" w:rsidRDefault="00FC6961" w:rsidRPr="00D97CD7">
            <w:pPr>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008944</w:t>
            </w:r>
          </w:p>
        </w:tc>
      </w:tr>
      <w:tr w14:paraId="09A77590" w14:textId="77777777" w:rsidR="00DB3887" w:rsidRPr="00D97CD7">
        <w:tc>
          <w:tcPr>
            <w:tcW w:type="dxa" w:w="2835"/>
          </w:tcPr>
          <w:p w14:paraId="332F2210"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基金运作方式</w:t>
            </w:r>
          </w:p>
        </w:tc>
        <w:tc>
          <w:tcPr>
            <w:tcW w:type="dxa" w:w="5479"/>
            <w:gridSpan w:val="2"/>
            <w:tcBorders>
              <w:top w:color="auto" w:space="0" w:sz="4" w:val="single"/>
            </w:tcBorders>
          </w:tcPr>
          <w:p w14:paraId="323A825A"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契约型开放式</w:t>
            </w:r>
          </w:p>
        </w:tc>
      </w:tr>
      <w:tr w14:paraId="58F84D5B" w14:textId="77777777" w:rsidR="00DB3887" w:rsidRPr="00D97CD7">
        <w:tc>
          <w:tcPr>
            <w:tcW w:type="dxa" w:w="2835"/>
          </w:tcPr>
          <w:p w14:paraId="7855D7FF"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基金合同生效日</w:t>
            </w:r>
          </w:p>
        </w:tc>
        <w:tc>
          <w:tcPr>
            <w:tcW w:type="dxa" w:w="5479"/>
            <w:gridSpan w:val="2"/>
          </w:tcPr>
          <w:p w14:paraId="104C44CE" w14:textId="77777777" w:rsidR="00DB3887" w:rsidRDefault="00FC6961" w:rsidRPr="00D97CD7">
            <w:pPr>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2020年7月22日</w:t>
            </w:r>
          </w:p>
        </w:tc>
      </w:tr>
      <w:tr w14:paraId="73EA8E38" w14:textId="77777777" w:rsidR="00DB3887" w:rsidRPr="00D97CD7">
        <w:tc>
          <w:tcPr>
            <w:tcW w:type="dxa" w:w="2835"/>
          </w:tcPr>
          <w:p w14:paraId="48BC7094"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报告期末基金份额总额</w:t>
            </w:r>
          </w:p>
        </w:tc>
        <w:tc>
          <w:tcPr>
            <w:tcW w:type="dxa" w:w="5479"/>
            <w:gridSpan w:val="2"/>
          </w:tcPr>
          <w:p w14:paraId="0037B36A"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54,333,447.65</w:t>
            </w:r>
            <w:r w:rsidRPr="00D97CD7">
              <w:rPr>
                <w:rFonts w:eastAsiaTheme="minorEastAsia"/>
                <w:color w:themeColor="text1" w:val="000000"/>
                <w:kern w:val="0"/>
                <w:szCs w:val="21"/>
              </w:rPr>
              <w:t>份</w:t>
            </w:r>
          </w:p>
        </w:tc>
      </w:tr>
      <w:tr w14:paraId="108C3B9F" w14:textId="77777777" w:rsidR="00DB3887" w:rsidRPr="00D97CD7">
        <w:tc>
          <w:tcPr>
            <w:tcW w:type="dxa" w:w="2835"/>
          </w:tcPr>
          <w:p w14:paraId="085EFAB3"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投资目标</w:t>
            </w:r>
          </w:p>
        </w:tc>
        <w:tc>
          <w:tcPr>
            <w:tcW w:type="dxa" w:w="5479"/>
            <w:gridSpan w:val="2"/>
          </w:tcPr>
          <w:p w14:paraId="3EC46CBC"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通过对目标ETF基金份额的投资，追求跟踪标的指数，获得与指数收益相似的回报。</w:t>
            </w:r>
          </w:p>
        </w:tc>
      </w:tr>
      <w:tr w14:paraId="447F9CCB" w14:textId="77777777" w:rsidR="00DB3887" w:rsidRPr="00D97CD7">
        <w:tc>
          <w:tcPr>
            <w:tcW w:type="dxa" w:w="2835"/>
          </w:tcPr>
          <w:p w14:paraId="6ED7F5A3"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投资策略</w:t>
            </w:r>
          </w:p>
        </w:tc>
        <w:tc>
          <w:tcPr>
            <w:tcW w:type="dxa" w:w="5479"/>
            <w:gridSpan w:val="2"/>
          </w:tcPr>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本基金为上投摩根MSCI中国A股交易型开放式指数证券投资基金的联接基金，通过将基金资产主要投资于目标ETF基金份额，以实现对标的指数的跟踪。本基金力争日均跟踪偏离度的绝对值不超过0.35%，年跟踪误差不超过4%。如因标的指数编制规则调整或其他因素导致跟踪误差超过上述范围，基金管理人应采取合理措施避免跟踪误差进一步扩大。</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基金也可以通过买入标的指数成份股来跟踪标的指数。为了提高投资效率，基金还可以根据风险管理原则，少量投资于股指期货、股票期权和其他经中国证监会允许的衍生工具等。</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1、目标ETF投资策略</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为了实现追踪误差最小化，本基金投资于目标ETF基金份额的比例不低于基金资产净值的90%。本基金主要通过申购、赎回或二级市场买卖的方式投资于目标ETF。当目标ETF申购、赎回或交易模式进行了变更或调整，本基金也将作相应的变更或调整，无须召开基金份额持有人大会。本基金在综合考虑合规、风险、效率、成本等因素的基础上，决定采用申赎的方式或二级市场交易的方式进行目标ETF的买卖。本基金还可适度参与目标ETF基金份额交易和申购、赎回之间的套利，以增强基金收益。</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本基金可以基金资产特殊申购目标ETF份额，以进行基金建仓。</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2、股票投资策略</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3、金融衍生品投资策略</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本基金将根据风险管理的原则，主要选择流动性好、交易活跃的衍生品合约，力争利用金融衍生品提高投资效率，降低交易成本和跟踪误差。</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4、债券投资策略</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在保证基金资产流动性的基础上，使基金资产得到更加合理有效的利用，从而提高投资组合收益。</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5、资产支持证券投资策略</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综合考虑市场利率、发行条款、支持资产的构成及质量等因素，对资产支持证券的风险与收益状况进行评估，在严格控制风险的情况下，确定资产合理配置比例。</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6、融资及转融通证券出借策略</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pPr>
              <w:adjustRightInd w:val="0"/>
              <w:spacing w:before="29" w:line="360" w:lineRule="auto"/>
              <w:ind w:left="17"/>
              <w:jc w:val="left"/>
              <w:rPr>
                <w:rFonts w:eastAsiaTheme="minorEastAsia"/>
                <w:color w:themeColor="text1" w:val="000000"/>
                <w:szCs w:val="21"/>
              </w:rPr>
            </w:pPr>
            <w:r>
              <w:rPr>
                <w:rFonts w:eastAsiaTheme="minorEastAsia"/>
                <w:color w:themeColor="text1" w:val="000000"/>
                <w:kern w:val="0"/>
                <w:szCs w:val="21"/>
              </w:rPr>
              <w:t>7、存托凭证投资策略</w:t>
            </w:r>
          </w:p>
          <w:p w14:paraId="6DF754DD"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本基金将根据本基金的投资目标和股票投资策略，基于对基础证券投资价值的深入研究判断，进行存托凭证的投资。</w:t>
            </w:r>
          </w:p>
        </w:tc>
      </w:tr>
      <w:tr w14:paraId="2042AAAD" w14:textId="77777777" w:rsidR="00DB3887" w:rsidRPr="00D97CD7">
        <w:tc>
          <w:tcPr>
            <w:tcW w:type="dxa" w:w="2835"/>
          </w:tcPr>
          <w:p w14:paraId="6EAEF0FC"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业绩比较基准</w:t>
            </w:r>
          </w:p>
        </w:tc>
        <w:tc>
          <w:tcPr>
            <w:tcW w:type="dxa" w:w="5479"/>
            <w:gridSpan w:val="2"/>
          </w:tcPr>
          <w:p w14:paraId="485FDA33"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MSCI中国A股人民币指数收益率×95%＋活期存款利率（税后）×5%。</w:t>
            </w:r>
          </w:p>
        </w:tc>
      </w:tr>
      <w:tr w14:paraId="5C164E06" w14:textId="77777777" w:rsidR="00DB3887" w:rsidRPr="00D97CD7">
        <w:tc>
          <w:tcPr>
            <w:tcW w:type="dxa" w:w="2835"/>
          </w:tcPr>
          <w:p w14:paraId="389A61A6"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风险收益特征</w:t>
            </w:r>
          </w:p>
        </w:tc>
        <w:tc>
          <w:tcPr>
            <w:tcW w:type="dxa" w:w="5479"/>
            <w:gridSpan w:val="2"/>
          </w:tcPr>
          <w:p w14:paraId="15A0FCFE"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本基金为ETF联接基金，具有与目标ETF相似的风险收益特征。目标ETF为股票型指数基金，因此本基金的预期风险和预期收益高于货币市场基金、债券型基金和混合型基金，且具有与标的指数以及标的指数所代表的股票市场相似的风险收益特征。</w:t>
            </w:r>
          </w:p>
        </w:tc>
      </w:tr>
      <w:tr w14:paraId="004F95B1" w14:textId="77777777" w:rsidR="00DB3887" w:rsidRPr="00D97CD7">
        <w:tc>
          <w:tcPr>
            <w:tcW w:type="dxa" w:w="2835"/>
          </w:tcPr>
          <w:p w14:paraId="5EBC2D65"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基金管理人</w:t>
            </w:r>
          </w:p>
        </w:tc>
        <w:tc>
          <w:tcPr>
            <w:tcW w:type="dxa" w:w="5479"/>
            <w:gridSpan w:val="2"/>
          </w:tcPr>
          <w:p w14:paraId="74266723"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上投摩根基金管理有限公司</w:t>
            </w:r>
          </w:p>
        </w:tc>
      </w:tr>
      <w:tr w14:paraId="18F606B7" w14:textId="77777777" w:rsidR="00DB3887" w:rsidRPr="00D97CD7">
        <w:tc>
          <w:tcPr>
            <w:tcW w:type="dxa" w:w="2835"/>
          </w:tcPr>
          <w:p w14:paraId="082E510A"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基金托管人</w:t>
            </w:r>
          </w:p>
        </w:tc>
        <w:tc>
          <w:tcPr>
            <w:tcW w:type="dxa" w:w="5479"/>
            <w:gridSpan w:val="2"/>
          </w:tcPr>
          <w:p w14:paraId="73E7A6C7"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平安银行股份有限公司</w:t>
            </w:r>
          </w:p>
        </w:tc>
      </w:tr>
      <w:tr w14:paraId="2722ADC3" w14:textId="77777777" w:rsidR="00DB3887" w:rsidRPr="00D97CD7">
        <w:tc>
          <w:tcPr>
            <w:tcW w:type="dxa" w:w="2835"/>
          </w:tcPr>
          <w:p w14:paraId="08D21FA8" w14:textId="77777777" w:rsidR="00DB3887" w:rsidRDefault="00FC6961" w:rsidRPr="00D97CD7">
            <w:pPr>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szCs w:val="21"/>
              </w:rPr>
              <w:t>下属分级基金的基金简称</w:t>
            </w:r>
          </w:p>
        </w:tc>
        <w:tc>
          <w:tcPr>
            <w:tcW w:type="dxa" w:w="2739"/>
            <w:vAlign w:val="center"/>
          </w:tcPr>
          <w:p w14:paraId="00152503"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szCs w:val="21"/>
              </w:rPr>
              <w:t>上投摩根MSCI中国A股ETF联接A</w:t>
            </w:r>
          </w:p>
        </w:tc>
        <w:tc>
          <w:tcPr>
            <w:tcW w:type="dxa" w:w="2740"/>
            <w:vAlign w:val="center"/>
          </w:tcPr>
          <w:p w14:paraId="46398150"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kern w:val="0"/>
                <w:szCs w:val="21"/>
              </w:rPr>
              <w:t/>
            </w:r>
            <w:r w:rsidRPr="00D97CD7">
              <w:rPr>
                <w:rFonts w:eastAsiaTheme="minorEastAsia"/>
                <w:color w:themeColor="text1" w:val="000000"/>
                <w:szCs w:val="21"/>
              </w:rPr>
              <w:t>上投摩根MSCI中国A股ETF联接C</w:t>
            </w:r>
          </w:p>
        </w:tc>
      </w:tr>
      <w:tr w14:paraId="2EC727EF" w14:textId="77777777" w:rsidR="00DB3887" w:rsidRPr="00D97CD7">
        <w:tc>
          <w:tcPr>
            <w:tcW w:type="dxa" w:w="2835"/>
          </w:tcPr>
          <w:p w14:paraId="767A3E94"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下属分级基金的交易代码</w:t>
            </w:r>
          </w:p>
        </w:tc>
        <w:tc>
          <w:tcPr>
            <w:tcW w:type="dxa" w:w="2739"/>
            <w:vAlign w:val="center"/>
          </w:tcPr>
          <w:p w14:paraId="4ABF9E50"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008944</w:t>
            </w:r>
          </w:p>
        </w:tc>
        <w:tc>
          <w:tcPr>
            <w:tcW w:type="dxa" w:w="2740"/>
            <w:vAlign w:val="center"/>
          </w:tcPr>
          <w:p w14:paraId="3429484B"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kern w:val="0"/>
                <w:szCs w:val="21"/>
              </w:rPr>
              <w:t/>
            </w:r>
            <w:r w:rsidRPr="00D97CD7">
              <w:rPr>
                <w:rFonts w:eastAsiaTheme="minorEastAsia"/>
                <w:color w:themeColor="text1" w:val="000000"/>
                <w:szCs w:val="21"/>
              </w:rPr>
              <w:t>008945</w:t>
            </w:r>
          </w:p>
        </w:tc>
      </w:tr>
      <w:tr w14:paraId="78FCB4A3" w14:textId="77777777" w:rsidR="00DB3887" w:rsidRPr="00D97CD7">
        <w:tc>
          <w:tcPr>
            <w:tcW w:type="dxa" w:w="2835"/>
          </w:tcPr>
          <w:p w14:paraId="2953C8A1" w14:textId="77777777" w:rsidR="00DB3887" w:rsidRDefault="00FC6961" w:rsidRPr="00D97CD7">
            <w:pPr>
              <w:adjustRightInd w:val="0"/>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报告期末下属分级基金的份额总额</w:t>
            </w:r>
          </w:p>
        </w:tc>
        <w:tc>
          <w:tcPr>
            <w:tcW w:type="dxa" w:w="2739"/>
            <w:vAlign w:val="center"/>
          </w:tcPr>
          <w:p w14:paraId="0E4482F0"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szCs w:val="21"/>
              </w:rPr>
              <w:t>39,256,013.31</w:t>
            </w:r>
            <w:r w:rsidRPr="00D97CD7">
              <w:rPr>
                <w:rFonts w:eastAsiaTheme="minorEastAsia"/>
                <w:color w:themeColor="text1" w:val="000000"/>
                <w:kern w:val="0"/>
                <w:szCs w:val="21"/>
              </w:rPr>
              <w:t>份</w:t>
            </w:r>
          </w:p>
        </w:tc>
        <w:tc>
          <w:tcPr>
            <w:tcW w:type="dxa" w:w="2740"/>
            <w:vAlign w:val="center"/>
          </w:tcPr>
          <w:p w14:paraId="755FD85F"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kern w:val="0"/>
                <w:szCs w:val="21"/>
              </w:rPr>
              <w:t/>
            </w:r>
            <w:r w:rsidRPr="00D97CD7">
              <w:rPr>
                <w:rFonts w:eastAsiaTheme="minorEastAsia"/>
                <w:color w:themeColor="text1" w:val="000000"/>
                <w:szCs w:val="21"/>
              </w:rPr>
              <w:t>15,077,434.34</w:t>
            </w:r>
            <w:r w:rsidRPr="00D97CD7">
              <w:rPr>
                <w:rFonts w:eastAsiaTheme="minorEastAsia"/>
                <w:color w:themeColor="text1" w:val="000000"/>
                <w:kern w:val="0"/>
                <w:szCs w:val="21"/>
              </w:rPr>
              <w:t>份</w:t>
            </w:r>
          </w:p>
        </w:tc>
      </w:tr>
    </w:tbl>
    <w:p w14:paraId="22C10988" w14:textId="77777777" w:rsidR="00DB3887" w:rsidRDefault="00FC6961" w:rsidRPr="00D97CD7">
      <w:pPr>
        <w:pStyle w:val="2"/>
        <w:keepNext w:val="0"/>
        <w:keepLines w:val="0"/>
        <w:spacing w:after="0" w:before="312" w:beforeLines="100"/>
        <w:rPr>
          <w:rFonts w:ascii="Times New Roman" w:cs="Times New Roman" w:eastAsiaTheme="minorEastAsia" w:hAnsi="Times New Roman"/>
          <w:color w:themeColor="text1" w:val="000000"/>
          <w:sz w:val="21"/>
          <w:szCs w:val="21"/>
        </w:rPr>
      </w:pPr>
      <w:r w:rsidRPr="00D97CD7">
        <w:rPr>
          <w:rFonts w:ascii="Times New Roman" w:cs="Times New Roman" w:eastAsiaTheme="minorEastAsia" w:hAnsi="Times New Roman"/>
          <w:color w:themeColor="text1" w:val="000000"/>
          <w:sz w:val="21"/>
          <w:szCs w:val="21"/>
        </w:rPr>
        <w:t>2.1.1</w:t>
      </w:r>
      <w:r w:rsidRPr="00D97CD7">
        <w:rPr>
          <w:rFonts w:ascii="Times New Roman" w:cs="Times New Roman" w:eastAsiaTheme="minorEastAsia" w:hAnsi="Times New Roman"/>
          <w:color w:themeColor="text1" w:val="000000"/>
          <w:sz w:val="21"/>
          <w:szCs w:val="21"/>
        </w:rPr>
        <w:t>目标基金基本情况</w:t>
      </w:r>
    </w:p>
    <w:tbl>
      <w:tblPr>
        <w:tblW w:type="dxa" w:w="8460"/>
        <w:tblInd w:type="dxa" w:w="108"/>
        <w:tblLayout w:type="fixed"/>
        <w:tblLook w:firstColumn="1" w:firstRow="1" w:lastColumn="0" w:lastRow="0" w:noHBand="0" w:noVBand="1" w:val="04A0"/>
      </w:tblPr>
      <w:tblGrid>
        <w:gridCol w:w="2724"/>
        <w:gridCol w:w="5736"/>
      </w:tblGrid>
      <w:tr w14:paraId="2A160D02" w14:textId="77777777" w:rsidR="00DB3887" w:rsidRPr="00D97CD7">
        <w:tc>
          <w:tcPr>
            <w:tcW w:type="dxa" w:w="2724"/>
            <w:tcBorders>
              <w:top w:color="000000" w:space="0" w:sz="8" w:val="single"/>
              <w:left w:color="000000" w:space="0" w:sz="8" w:val="single"/>
              <w:bottom w:color="000000" w:space="0" w:sz="8" w:val="single"/>
              <w:right w:color="000000" w:space="0" w:sz="8" w:val="single"/>
            </w:tcBorders>
            <w:vAlign w:val="center"/>
          </w:tcPr>
          <w:p w14:paraId="629776E1"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基金名称</w:t>
            </w:r>
          </w:p>
        </w:tc>
        <w:tc>
          <w:tcPr>
            <w:tcW w:type="dxa" w:w="5736"/>
            <w:tcBorders>
              <w:top w:color="000000" w:space="0" w:sz="8" w:val="single"/>
              <w:left w:color="000000" w:space="0" w:sz="8" w:val="single"/>
              <w:bottom w:color="000000" w:space="0" w:sz="8" w:val="single"/>
              <w:right w:color="000000" w:space="0" w:sz="8" w:val="single"/>
            </w:tcBorders>
            <w:vAlign w:val="center"/>
          </w:tcPr>
          <w:p w14:paraId="67B872B9"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上投摩根MSCI中国A股交易型开放式指数证券投资基金</w:t>
            </w:r>
          </w:p>
        </w:tc>
      </w:tr>
      <w:tr w14:paraId="35AF4806" w14:textId="77777777" w:rsidR="00DB3887" w:rsidRPr="00D97CD7">
        <w:tc>
          <w:tcPr>
            <w:tcW w:type="dxa" w:w="2724"/>
            <w:tcBorders>
              <w:top w:color="000000" w:space="0" w:sz="8" w:val="single"/>
              <w:left w:color="000000" w:space="0" w:sz="8" w:val="single"/>
              <w:bottom w:color="000000" w:space="0" w:sz="8" w:val="single"/>
              <w:right w:color="000000" w:space="0" w:sz="8" w:val="single"/>
            </w:tcBorders>
            <w:vAlign w:val="center"/>
          </w:tcPr>
          <w:p w14:paraId="2AFDCB7D"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基金主代码</w:t>
            </w:r>
          </w:p>
        </w:tc>
        <w:tc>
          <w:tcPr>
            <w:tcW w:type="dxa" w:w="5736"/>
            <w:tcBorders>
              <w:top w:color="000000" w:space="0" w:sz="8" w:val="single"/>
              <w:left w:color="000000" w:space="0" w:sz="8" w:val="single"/>
              <w:bottom w:color="000000" w:space="0" w:sz="8" w:val="single"/>
              <w:right w:color="000000" w:space="0" w:sz="8" w:val="single"/>
            </w:tcBorders>
            <w:vAlign w:val="center"/>
          </w:tcPr>
          <w:p w14:paraId="65743201"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515770</w:t>
            </w:r>
          </w:p>
        </w:tc>
      </w:tr>
      <w:tr w14:paraId="15125F52" w14:textId="77777777" w:rsidR="00DB3887" w:rsidRPr="00D97CD7">
        <w:tc>
          <w:tcPr>
            <w:tcW w:type="dxa" w:w="2724"/>
            <w:tcBorders>
              <w:top w:color="000000" w:space="0" w:sz="8" w:val="single"/>
              <w:left w:color="000000" w:space="0" w:sz="8" w:val="single"/>
              <w:bottom w:color="000000" w:space="0" w:sz="8" w:val="single"/>
              <w:right w:color="000000" w:space="0" w:sz="8" w:val="single"/>
            </w:tcBorders>
            <w:vAlign w:val="center"/>
          </w:tcPr>
          <w:p w14:paraId="206AEB18"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基金运作方式</w:t>
            </w:r>
          </w:p>
        </w:tc>
        <w:tc>
          <w:tcPr>
            <w:tcW w:type="dxa" w:w="5736"/>
            <w:tcBorders>
              <w:top w:color="000000" w:space="0" w:sz="8" w:val="single"/>
              <w:left w:color="000000" w:space="0" w:sz="8" w:val="single"/>
              <w:bottom w:color="000000" w:space="0" w:sz="8" w:val="single"/>
              <w:right w:color="000000" w:space="0" w:sz="8" w:val="single"/>
            </w:tcBorders>
            <w:vAlign w:val="center"/>
          </w:tcPr>
          <w:p w14:paraId="40C9B430"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交易型开放式</w:t>
            </w:r>
          </w:p>
        </w:tc>
      </w:tr>
      <w:tr w14:paraId="737F24CB" w14:textId="77777777" w:rsidR="00DB3887" w:rsidRPr="00D97CD7">
        <w:tc>
          <w:tcPr>
            <w:tcW w:type="dxa" w:w="2724"/>
            <w:tcBorders>
              <w:top w:color="000000" w:space="0" w:sz="8" w:val="single"/>
              <w:left w:color="000000" w:space="0" w:sz="8" w:val="single"/>
              <w:bottom w:color="000000" w:space="0" w:sz="8" w:val="single"/>
              <w:right w:color="000000" w:space="0" w:sz="8" w:val="single"/>
            </w:tcBorders>
            <w:vAlign w:val="center"/>
          </w:tcPr>
          <w:p w14:paraId="7CDF8402"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基金合同生效日</w:t>
            </w:r>
          </w:p>
        </w:tc>
        <w:tc>
          <w:tcPr>
            <w:tcW w:type="dxa" w:w="5736"/>
            <w:tcBorders>
              <w:top w:color="000000" w:space="0" w:sz="8" w:val="single"/>
              <w:left w:color="000000" w:space="0" w:sz="8" w:val="single"/>
              <w:bottom w:color="000000" w:space="0" w:sz="8" w:val="single"/>
              <w:right w:color="000000" w:space="0" w:sz="8" w:val="single"/>
            </w:tcBorders>
            <w:vAlign w:val="center"/>
          </w:tcPr>
          <w:p w14:paraId="25D83BE9"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2020年5月13日</w:t>
            </w:r>
          </w:p>
        </w:tc>
      </w:tr>
      <w:tr w14:paraId="30AE7519" w14:textId="77777777" w:rsidR="00DB3887" w:rsidRPr="00D97CD7">
        <w:tc>
          <w:tcPr>
            <w:tcW w:type="dxa" w:w="2724"/>
            <w:tcBorders>
              <w:top w:color="000000" w:space="0" w:sz="8" w:val="single"/>
              <w:left w:color="000000" w:space="0" w:sz="8" w:val="single"/>
              <w:bottom w:color="000000" w:space="0" w:sz="8" w:val="single"/>
              <w:right w:color="000000" w:space="0" w:sz="8" w:val="single"/>
            </w:tcBorders>
            <w:vAlign w:val="center"/>
          </w:tcPr>
          <w:p w14:paraId="6FB38710"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基金份额上市的证券交易所</w:t>
            </w:r>
          </w:p>
        </w:tc>
        <w:tc>
          <w:tcPr>
            <w:tcW w:type="dxa" w:w="5736"/>
            <w:tcBorders>
              <w:top w:color="000000" w:space="0" w:sz="8" w:val="single"/>
              <w:left w:color="000000" w:space="0" w:sz="8" w:val="single"/>
              <w:bottom w:color="000000" w:space="0" w:sz="8" w:val="single"/>
              <w:right w:color="000000" w:space="0" w:sz="8" w:val="single"/>
            </w:tcBorders>
            <w:vAlign w:val="center"/>
          </w:tcPr>
          <w:p w14:paraId="555172D0"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上海证券交易所</w:t>
            </w:r>
          </w:p>
        </w:tc>
      </w:tr>
      <w:tr w14:paraId="312AB006" w14:textId="77777777" w:rsidR="00DB3887" w:rsidRPr="00D97CD7">
        <w:tc>
          <w:tcPr>
            <w:tcW w:type="dxa" w:w="2724"/>
            <w:tcBorders>
              <w:top w:color="000000" w:space="0" w:sz="8" w:val="single"/>
              <w:left w:color="000000" w:space="0" w:sz="8" w:val="single"/>
              <w:bottom w:color="000000" w:space="0" w:sz="8" w:val="single"/>
              <w:right w:color="000000" w:space="0" w:sz="8" w:val="single"/>
            </w:tcBorders>
            <w:vAlign w:val="center"/>
          </w:tcPr>
          <w:p w14:paraId="2FCF0A43"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上市日期</w:t>
            </w:r>
          </w:p>
        </w:tc>
        <w:tc>
          <w:tcPr>
            <w:tcW w:type="dxa" w:w="5736"/>
            <w:tcBorders>
              <w:top w:color="000000" w:space="0" w:sz="8" w:val="single"/>
              <w:left w:color="000000" w:space="0" w:sz="8" w:val="single"/>
              <w:bottom w:color="000000" w:space="0" w:sz="8" w:val="single"/>
              <w:right w:color="000000" w:space="0" w:sz="8" w:val="single"/>
            </w:tcBorders>
            <w:vAlign w:val="center"/>
          </w:tcPr>
          <w:p w14:paraId="34C97F70"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2020年6月19日</w:t>
            </w:r>
          </w:p>
        </w:tc>
      </w:tr>
      <w:tr w14:paraId="260BA50B" w14:textId="77777777" w:rsidR="00DB3887" w:rsidRPr="00D97CD7">
        <w:tc>
          <w:tcPr>
            <w:tcW w:type="dxa" w:w="2724"/>
            <w:tcBorders>
              <w:top w:color="000000" w:space="0" w:sz="8" w:val="single"/>
              <w:left w:color="000000" w:space="0" w:sz="8" w:val="single"/>
              <w:bottom w:color="000000" w:space="0" w:sz="8" w:val="single"/>
              <w:right w:color="000000" w:space="0" w:sz="8" w:val="single"/>
            </w:tcBorders>
            <w:vAlign w:val="center"/>
          </w:tcPr>
          <w:p w14:paraId="4DAFA2D5"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基金管理人名称</w:t>
            </w:r>
          </w:p>
        </w:tc>
        <w:tc>
          <w:tcPr>
            <w:tcW w:type="dxa" w:w="5736"/>
            <w:tcBorders>
              <w:top w:color="000000" w:space="0" w:sz="8" w:val="single"/>
              <w:left w:color="000000" w:space="0" w:sz="8" w:val="single"/>
              <w:bottom w:color="000000" w:space="0" w:sz="8" w:val="single"/>
              <w:right w:color="000000" w:space="0" w:sz="8" w:val="single"/>
            </w:tcBorders>
            <w:vAlign w:val="center"/>
          </w:tcPr>
          <w:p w14:paraId="6606983F"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上投摩根基金管理有限公司</w:t>
            </w:r>
          </w:p>
        </w:tc>
      </w:tr>
      <w:tr w14:paraId="705D9619" w14:textId="77777777" w:rsidR="00DB3887" w:rsidRPr="00D97CD7">
        <w:tc>
          <w:tcPr>
            <w:tcW w:type="dxa" w:w="2724"/>
            <w:tcBorders>
              <w:top w:color="000000" w:space="0" w:sz="8" w:val="single"/>
              <w:left w:color="000000" w:space="0" w:sz="8" w:val="single"/>
              <w:bottom w:color="000000" w:space="0" w:sz="8" w:val="single"/>
              <w:right w:color="000000" w:space="0" w:sz="8" w:val="single"/>
            </w:tcBorders>
            <w:vAlign w:val="center"/>
          </w:tcPr>
          <w:p w14:paraId="27C77003"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基金托管人名称</w:t>
            </w:r>
          </w:p>
        </w:tc>
        <w:tc>
          <w:tcPr>
            <w:tcW w:type="dxa" w:w="5736"/>
            <w:tcBorders>
              <w:top w:color="000000" w:space="0" w:sz="8" w:val="single"/>
              <w:left w:color="000000" w:space="0" w:sz="8" w:val="single"/>
              <w:bottom w:color="000000" w:space="0" w:sz="8" w:val="single"/>
              <w:right w:color="000000" w:space="0" w:sz="8" w:val="single"/>
            </w:tcBorders>
            <w:vAlign w:val="center"/>
          </w:tcPr>
          <w:p w14:paraId="2920F4D7"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平安银行股份有限公司</w:t>
            </w:r>
          </w:p>
        </w:tc>
      </w:tr>
    </w:tbl>
    <w:p w14:paraId="2564466D" w14:textId="77777777" w:rsidR="00DB3887" w:rsidRDefault="00FC6961" w:rsidRPr="00D97CD7">
      <w:pPr>
        <w:pStyle w:val="2"/>
        <w:keepNext w:val="0"/>
        <w:keepLines w:val="0"/>
        <w:spacing w:after="0" w:before="312" w:beforeLines="100"/>
        <w:rPr>
          <w:rFonts w:ascii="Times New Roman" w:cs="Times New Roman" w:eastAsiaTheme="minorEastAsia" w:hAnsi="Times New Roman"/>
          <w:color w:themeColor="text1" w:val="000000"/>
          <w:sz w:val="21"/>
          <w:szCs w:val="21"/>
        </w:rPr>
      </w:pPr>
      <w:r w:rsidRPr="00D97CD7">
        <w:rPr>
          <w:rFonts w:ascii="Times New Roman" w:cs="Times New Roman" w:eastAsiaTheme="minorEastAsia" w:hAnsi="Times New Roman"/>
          <w:color w:themeColor="text1" w:val="000000"/>
          <w:sz w:val="21"/>
          <w:szCs w:val="21"/>
        </w:rPr>
        <w:t>2.1.2</w:t>
      </w:r>
      <w:r w:rsidRPr="00D97CD7">
        <w:rPr>
          <w:rFonts w:ascii="Times New Roman" w:cs="Times New Roman" w:eastAsiaTheme="minorEastAsia" w:hAnsi="Times New Roman"/>
          <w:color w:themeColor="text1" w:val="000000"/>
          <w:sz w:val="21"/>
          <w:szCs w:val="21"/>
        </w:rPr>
        <w:t>目标基金产品说明</w:t>
      </w:r>
    </w:p>
    <w:tbl>
      <w:tblPr>
        <w:tblW w:type="dxa" w:w="8460"/>
        <w:tblInd w:type="dxa" w:w="108"/>
        <w:tblLayout w:type="fixed"/>
        <w:tblLook w:firstColumn="1" w:firstRow="1" w:lastColumn="0" w:lastRow="0" w:noHBand="0" w:noVBand="1" w:val="04A0"/>
      </w:tblPr>
      <w:tblGrid>
        <w:gridCol w:w="2820"/>
        <w:gridCol w:w="5640"/>
      </w:tblGrid>
      <w:tr w14:paraId="23BE5B03" w14:textId="77777777" w:rsidR="00DB3887" w:rsidRPr="00D97CD7">
        <w:tc>
          <w:tcPr>
            <w:tcW w:type="dxa" w:w="2820"/>
            <w:tcBorders>
              <w:top w:color="000000" w:space="0" w:sz="8" w:val="single"/>
              <w:left w:color="000000" w:space="0" w:sz="8" w:val="single"/>
              <w:bottom w:color="000000" w:space="0" w:sz="8" w:val="single"/>
              <w:right w:color="000000" w:space="0" w:sz="8" w:val="single"/>
            </w:tcBorders>
            <w:vAlign w:val="center"/>
          </w:tcPr>
          <w:p w14:paraId="12EE9306"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投资目标</w:t>
            </w:r>
          </w:p>
        </w:tc>
        <w:tc>
          <w:tcPr>
            <w:tcW w:type="dxa" w:w="5640"/>
            <w:tcBorders>
              <w:top w:color="000000" w:space="0" w:sz="8" w:val="single"/>
              <w:left w:color="000000" w:space="0" w:sz="8" w:val="single"/>
              <w:bottom w:color="000000" w:space="0" w:sz="8" w:val="single"/>
              <w:right w:color="000000" w:space="0" w:sz="8" w:val="single"/>
            </w:tcBorders>
            <w:vAlign w:val="center"/>
          </w:tcPr>
          <w:p w14:paraId="658B1555"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本基金进行被动式指数化投资，紧密跟踪标的指数，追求跟踪偏离度和跟踪误差最小化。</w:t>
            </w:r>
          </w:p>
        </w:tc>
      </w:tr>
      <w:tr w14:paraId="427BA1B2" w14:textId="77777777" w:rsidR="00DB3887" w:rsidRPr="00D97CD7">
        <w:tc>
          <w:tcPr>
            <w:tcW w:type="dxa" w:w="2820"/>
            <w:tcBorders>
              <w:top w:color="000000" w:space="0" w:sz="8" w:val="single"/>
              <w:left w:color="000000" w:space="0" w:sz="8" w:val="single"/>
              <w:bottom w:color="000000" w:space="0" w:sz="8" w:val="single"/>
              <w:right w:color="000000" w:space="0" w:sz="8" w:val="single"/>
            </w:tcBorders>
            <w:vAlign w:val="center"/>
          </w:tcPr>
          <w:p w14:paraId="58B6429A"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投资策略</w:t>
            </w:r>
          </w:p>
        </w:tc>
        <w:tc>
          <w:tcPr>
            <w:tcW w:type="dxa" w:w="5640"/>
            <w:tcBorders>
              <w:top w:color="000000" w:space="0" w:sz="8" w:val="single"/>
              <w:left w:color="000000" w:space="0" w:sz="8" w:val="single"/>
              <w:bottom w:color="000000" w:space="0" w:sz="8" w:val="single"/>
              <w:right w:color="000000" w:space="0" w:sz="8" w:val="single"/>
            </w:tcBorders>
            <w:vAlign w:val="center"/>
          </w:tcPr>
          <w:p w14:paraId="6325F6D8"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14:paraId="3C7181F7" w14:textId="77777777" w:rsidR="00DB3887" w:rsidRPr="00D97CD7">
        <w:tc>
          <w:tcPr>
            <w:tcW w:type="dxa" w:w="2820"/>
            <w:tcBorders>
              <w:top w:color="000000" w:space="0" w:sz="8" w:val="single"/>
              <w:left w:color="000000" w:space="0" w:sz="8" w:val="single"/>
              <w:bottom w:color="000000" w:space="0" w:sz="8" w:val="single"/>
              <w:right w:color="000000" w:space="0" w:sz="8" w:val="single"/>
            </w:tcBorders>
            <w:vAlign w:val="center"/>
          </w:tcPr>
          <w:p w14:paraId="1BF712B7"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业绩比较基准</w:t>
            </w:r>
          </w:p>
        </w:tc>
        <w:tc>
          <w:tcPr>
            <w:tcW w:type="dxa" w:w="5640"/>
            <w:tcBorders>
              <w:top w:color="000000" w:space="0" w:sz="8" w:val="single"/>
              <w:left w:color="000000" w:space="0" w:sz="8" w:val="single"/>
              <w:bottom w:color="000000" w:space="0" w:sz="8" w:val="single"/>
              <w:right w:color="000000" w:space="0" w:sz="8" w:val="single"/>
            </w:tcBorders>
            <w:vAlign w:val="center"/>
          </w:tcPr>
          <w:p w14:paraId="7095C348"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本基金的业绩比较基准为标的指数，即MSCI中国A股人民币指数收益率。</w:t>
            </w:r>
          </w:p>
        </w:tc>
      </w:tr>
      <w:tr w14:paraId="3361FD70" w14:textId="77777777" w:rsidR="00DB3887" w:rsidRPr="00D97CD7">
        <w:tc>
          <w:tcPr>
            <w:tcW w:type="dxa" w:w="2820"/>
            <w:tcBorders>
              <w:top w:color="000000" w:space="0" w:sz="8" w:val="single"/>
              <w:left w:color="000000" w:space="0" w:sz="8" w:val="single"/>
              <w:bottom w:color="000000" w:space="0" w:sz="8" w:val="single"/>
              <w:right w:color="000000" w:space="0" w:sz="8" w:val="single"/>
            </w:tcBorders>
            <w:vAlign w:val="center"/>
          </w:tcPr>
          <w:p w14:paraId="6993AE47"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风险收益特征</w:t>
            </w:r>
          </w:p>
        </w:tc>
        <w:tc>
          <w:tcPr>
            <w:tcW w:type="dxa" w:w="5640"/>
            <w:tcBorders>
              <w:top w:color="000000" w:space="0" w:sz="8" w:val="single"/>
              <w:left w:color="000000" w:space="0" w:sz="8" w:val="single"/>
              <w:bottom w:color="000000" w:space="0" w:sz="8" w:val="single"/>
              <w:right w:color="000000" w:space="0" w:sz="8" w:val="single"/>
            </w:tcBorders>
            <w:vAlign w:val="center"/>
          </w:tcPr>
          <w:p w14:paraId="6191D9EB"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本基金为股票型指数基金，其预期风险和预期收益高于货币市场基金、债券型基金和混合型基金。本基金主要投资于标的指数成份股及备选成份股，具有与标的指数相似的风险收益特征。</w:t>
            </w:r>
          </w:p>
        </w:tc>
      </w:tr>
    </w:tbl>
    <w:p w14:paraId="4E366561" w14:textId="77777777" w:rsidR="00DB3887" w:rsidRDefault="00FC6961" w:rsidRPr="00D97CD7">
      <w:pPr>
        <w:pStyle w:val="1"/>
        <w:spacing w:after="312" w:afterLines="100" w:before="312" w:beforeLines="100" w:line="360" w:lineRule="auto"/>
        <w:jc w:val="center"/>
        <w:rPr>
          <w:rFonts w:eastAsiaTheme="minorEastAsia"/>
          <w:color w:themeColor="text1" w:val="000000"/>
          <w:kern w:val="0"/>
          <w:sz w:val="21"/>
          <w:szCs w:val="21"/>
        </w:rPr>
      </w:pPr>
      <w:r w:rsidRPr="00D97CD7">
        <w:rPr>
          <w:rFonts w:eastAsiaTheme="minorEastAsia"/>
          <w:color w:themeColor="text1" w:val="000000"/>
          <w:kern w:val="0"/>
          <w:sz w:val="21"/>
          <w:szCs w:val="21"/>
        </w:rPr>
        <w:t xml:space="preserve">§3  </w:t>
      </w:r>
      <w:r w:rsidRPr="00D97CD7">
        <w:rPr>
          <w:rFonts w:eastAsiaTheme="minorEastAsia"/>
          <w:color w:themeColor="text1" w:val="000000"/>
          <w:kern w:val="0"/>
          <w:sz w:val="21"/>
          <w:szCs w:val="21"/>
        </w:rPr>
        <w:t>主要财务指标和基金净值表现</w:t>
      </w:r>
    </w:p>
    <w:p w14:paraId="17DC0984" w14:textId="77777777" w:rsidR="00DB3887" w:rsidRDefault="00FC6961" w:rsidRPr="00D97CD7">
      <w:pPr>
        <w:autoSpaceDE w:val="0"/>
        <w:autoSpaceDN w:val="0"/>
        <w:adjustRightInd w:val="0"/>
        <w:spacing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xml:space="preserve">3.1 </w:t>
      </w:r>
      <w:r w:rsidRPr="00D97CD7">
        <w:rPr>
          <w:rFonts w:eastAsiaTheme="minorEastAsia"/>
          <w:b/>
          <w:color w:themeColor="text1" w:val="000000"/>
          <w:kern w:val="0"/>
          <w:szCs w:val="21"/>
        </w:rPr>
        <w:t>主要财务指标</w:t>
      </w:r>
    </w:p>
    <w:p w14:paraId="6F65C72B" w14:textId="77777777" w:rsidR="00DB3887" w:rsidRDefault="00FC6961" w:rsidRPr="00D97CD7">
      <w:pPr>
        <w:autoSpaceDE w:val="0"/>
        <w:autoSpaceDN w:val="0"/>
        <w:adjustRightInd w:val="0"/>
        <w:spacing w:before="29" w:line="288" w:lineRule="auto"/>
        <w:ind w:left="15" w:right="480"/>
        <w:jc w:val="right"/>
        <w:rPr>
          <w:rFonts w:eastAsiaTheme="minorEastAsia"/>
          <w:color w:themeColor="text1" w:val="000000"/>
          <w:kern w:val="0"/>
          <w:szCs w:val="21"/>
        </w:rPr>
      </w:pPr>
      <w:r w:rsidRPr="00D97CD7">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C1E61B6" w14:textId="77777777" w:rsidR="00DB3887" w:rsidRPr="00D97CD7">
        <w:tc>
          <w:tcPr>
            <w:tcW w:type="dxa" w:w="3402"/>
            <w:vMerge w:val="restart"/>
            <w:vAlign w:val="center"/>
          </w:tcPr>
          <w:p w14:paraId="2E96C1FF" w14:textId="77777777" w:rsidR="00DB3887" w:rsidRDefault="00FC6961" w:rsidRPr="00D97CD7">
            <w:pPr>
              <w:adjustRightInd w:val="0"/>
              <w:spacing w:before="29" w:line="360" w:lineRule="auto"/>
              <w:ind w:left="17"/>
              <w:jc w:val="center"/>
              <w:rPr>
                <w:rFonts w:eastAsiaTheme="minorEastAsia"/>
                <w:color w:themeColor="text1" w:val="000000"/>
                <w:kern w:val="0"/>
                <w:szCs w:val="21"/>
              </w:rPr>
            </w:pPr>
            <w:r w:rsidRPr="00D97CD7">
              <w:rPr>
                <w:rFonts w:eastAsiaTheme="minorEastAsia"/>
                <w:color w:themeColor="text1" w:val="000000"/>
                <w:kern w:val="0"/>
                <w:szCs w:val="21"/>
              </w:rPr>
              <w:t>主要财务指标</w:t>
            </w:r>
          </w:p>
        </w:tc>
        <w:tc>
          <w:tcPr>
            <w:tcW w:type="dxa" w:w="4962"/>
            <w:gridSpan w:val="2"/>
            <w:vAlign w:val="center"/>
          </w:tcPr>
          <w:p w14:paraId="689D1366" w14:textId="77777777" w:rsidR="00DB3887" w:rsidRDefault="00FC6961" w:rsidRPr="00D97CD7">
            <w:pPr>
              <w:adjustRightInd w:val="0"/>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报告期</w:t>
            </w:r>
          </w:p>
          <w:p w14:paraId="6CFE1FFF" w14:textId="77777777" w:rsidR="00DB3887" w:rsidRDefault="00FC6961" w:rsidRPr="00D97CD7">
            <w:pPr>
              <w:adjustRightInd w:val="0"/>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2021年7月1日-</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2021年9月30日)</w:t>
            </w:r>
          </w:p>
        </w:tc>
      </w:tr>
      <w:tr w14:paraId="11DF1D81" w14:textId="77777777" w:rsidR="00DB3887" w:rsidRPr="00D97CD7">
        <w:tc>
          <w:tcPr>
            <w:tcW w:type="dxa" w:w="3402"/>
            <w:vMerge/>
            <w:vAlign w:val="center"/>
          </w:tcPr>
          <w:p w14:paraId="6497687E" w14:textId="77777777" w:rsidR="00DB3887" w:rsidRDefault="00DB3887" w:rsidRPr="00D97CD7">
            <w:pPr>
              <w:adjustRightInd w:val="0"/>
              <w:spacing w:before="29" w:line="360" w:lineRule="auto"/>
              <w:ind w:left="17"/>
              <w:jc w:val="center"/>
              <w:rPr>
                <w:rFonts w:eastAsiaTheme="minorEastAsia"/>
                <w:color w:themeColor="text1" w:val="000000"/>
                <w:kern w:val="0"/>
                <w:szCs w:val="21"/>
              </w:rPr>
            </w:pPr>
          </w:p>
        </w:tc>
        <w:tc>
          <w:tcPr>
            <w:tcW w:type="dxa" w:w="2481"/>
            <w:vAlign w:val="center"/>
          </w:tcPr>
          <w:p w14:paraId="1F90A0D6" w14:textId="77777777" w:rsidR="00DB3887" w:rsidRDefault="00FC6961" w:rsidRPr="00D97CD7">
            <w:pPr>
              <w:adjustRightInd w:val="0"/>
              <w:spacing w:before="29" w:line="360" w:lineRule="auto"/>
              <w:ind w:left="17"/>
              <w:jc w:val="center"/>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上投摩根MSCI中国A股ETF联接A</w:t>
            </w:r>
          </w:p>
        </w:tc>
        <w:tc>
          <w:tcPr>
            <w:tcW w:type="dxa" w:w="2481"/>
            <w:vAlign w:val="center"/>
          </w:tcPr>
          <w:p w14:paraId="0A76FD46" w14:textId="77777777" w:rsidR="00DB3887" w:rsidRDefault="00FC6961" w:rsidRPr="00D97CD7">
            <w:pPr>
              <w:adjustRightInd w:val="0"/>
              <w:spacing w:before="29" w:line="360" w:lineRule="auto"/>
              <w:ind w:left="17"/>
              <w:jc w:val="center"/>
              <w:rPr>
                <w:rFonts w:eastAsiaTheme="minorEastAsia"/>
                <w:color w:themeColor="text1" w:val="000000"/>
                <w:szCs w:val="21"/>
              </w:rPr>
            </w:pPr>
            <w:r w:rsidRPr="00D97CD7">
              <w:rPr>
                <w:rFonts w:eastAsiaTheme="minorEastAsia"/>
                <w:color w:themeColor="text1" w:val="000000"/>
                <w:kern w:val="0"/>
                <w:szCs w:val="21"/>
              </w:rPr>
              <w:t/>
            </w:r>
            <w:r w:rsidRPr="00D97CD7">
              <w:rPr>
                <w:rFonts w:eastAsiaTheme="minorEastAsia"/>
                <w:color w:themeColor="text1" w:val="000000"/>
                <w:szCs w:val="21"/>
              </w:rPr>
              <w:t>上投摩根MSCI中国A股ETF联接C</w:t>
            </w:r>
          </w:p>
        </w:tc>
      </w:tr>
      <w:tr w14:paraId="2A0D2ED1" w14:textId="77777777" w:rsidR="00DB3887" w:rsidRPr="00D97CD7">
        <w:tc>
          <w:tcPr>
            <w:tcW w:type="dxa" w:w="3402"/>
          </w:tcPr>
          <w:p w14:paraId="377BA4BF" w14:textId="77777777" w:rsidR="00DB3887" w:rsidRDefault="00FC6961" w:rsidRPr="00D97CD7">
            <w:pPr>
              <w:adjustRightInd w:val="0"/>
              <w:spacing w:before="29" w:line="360" w:lineRule="auto"/>
              <w:ind w:left="17"/>
              <w:rPr>
                <w:rFonts w:eastAsiaTheme="minorEastAsia"/>
                <w:color w:themeColor="text1" w:val="000000"/>
                <w:kern w:val="0"/>
                <w:szCs w:val="21"/>
              </w:rPr>
            </w:pPr>
            <w:r w:rsidRPr="00D97CD7">
              <w:rPr>
                <w:rFonts w:eastAsiaTheme="minorEastAsia"/>
                <w:color w:themeColor="text1" w:val="000000"/>
                <w:kern w:val="0"/>
                <w:szCs w:val="21"/>
              </w:rPr>
              <w:t>1.</w:t>
            </w:r>
            <w:r w:rsidRPr="00D97CD7">
              <w:rPr>
                <w:rFonts w:eastAsiaTheme="minorEastAsia"/>
                <w:color w:themeColor="text1" w:val="000000"/>
                <w:kern w:val="0"/>
                <w:szCs w:val="21"/>
              </w:rPr>
              <w:t>本期已实现收益</w:t>
            </w:r>
          </w:p>
        </w:tc>
        <w:tc>
          <w:tcPr>
            <w:tcW w:type="dxa" w:w="2481"/>
            <w:vAlign w:val="bottom"/>
          </w:tcPr>
          <w:p w14:paraId="1D6C06C9"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1,125,651.26</w:t>
            </w:r>
          </w:p>
        </w:tc>
        <w:tc>
          <w:tcPr>
            <w:tcW w:type="dxa" w:w="2481"/>
            <w:vAlign w:val="bottom"/>
          </w:tcPr>
          <w:p w14:paraId="544D06DD"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426,690.27</w:t>
            </w:r>
          </w:p>
        </w:tc>
      </w:tr>
      <w:tr w14:paraId="1448E5A1" w14:textId="77777777" w:rsidR="00DB3887" w:rsidRPr="00D97CD7">
        <w:tc>
          <w:tcPr>
            <w:tcW w:type="dxa" w:w="3402"/>
          </w:tcPr>
          <w:p w14:paraId="56C9DC4B" w14:textId="77777777" w:rsidR="00DB3887" w:rsidRDefault="00FC6961" w:rsidRPr="00D97CD7">
            <w:pPr>
              <w:adjustRightInd w:val="0"/>
              <w:spacing w:before="29" w:line="360" w:lineRule="auto"/>
              <w:ind w:left="17"/>
              <w:rPr>
                <w:rFonts w:eastAsiaTheme="minorEastAsia"/>
                <w:color w:themeColor="text1" w:val="000000"/>
                <w:kern w:val="0"/>
                <w:szCs w:val="21"/>
              </w:rPr>
            </w:pPr>
            <w:r w:rsidRPr="00D97CD7">
              <w:rPr>
                <w:rFonts w:eastAsiaTheme="minorEastAsia"/>
                <w:color w:themeColor="text1" w:val="000000"/>
                <w:kern w:val="0"/>
                <w:szCs w:val="21"/>
              </w:rPr>
              <w:t>2.</w:t>
            </w:r>
            <w:r w:rsidRPr="00D97CD7">
              <w:rPr>
                <w:rFonts w:eastAsiaTheme="minorEastAsia"/>
                <w:color w:themeColor="text1" w:val="000000"/>
                <w:kern w:val="0"/>
                <w:szCs w:val="21"/>
              </w:rPr>
              <w:t>本期利润</w:t>
            </w:r>
          </w:p>
        </w:tc>
        <w:tc>
          <w:tcPr>
            <w:tcW w:type="dxa" w:w="2481"/>
            <w:vAlign w:val="bottom"/>
          </w:tcPr>
          <w:p w14:paraId="19151752"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-1,259,170.00</w:t>
            </w:r>
          </w:p>
        </w:tc>
        <w:tc>
          <w:tcPr>
            <w:tcW w:type="dxa" w:w="2481"/>
            <w:vAlign w:val="bottom"/>
          </w:tcPr>
          <w:p w14:paraId="592C51BF"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-625,673.65</w:t>
            </w:r>
          </w:p>
        </w:tc>
      </w:tr>
      <w:tr w14:paraId="23B2DF19" w14:textId="77777777" w:rsidR="00DB3887" w:rsidRPr="00D97CD7">
        <w:tc>
          <w:tcPr>
            <w:tcW w:type="dxa" w:w="3402"/>
          </w:tcPr>
          <w:p w14:paraId="4B9E11C7" w14:textId="77777777" w:rsidR="00DB3887" w:rsidRDefault="00FC6961" w:rsidRPr="00D97CD7">
            <w:pPr>
              <w:adjustRightInd w:val="0"/>
              <w:spacing w:before="29" w:line="360" w:lineRule="auto"/>
              <w:ind w:left="17"/>
              <w:rPr>
                <w:rFonts w:eastAsiaTheme="minorEastAsia"/>
                <w:color w:themeColor="text1" w:val="000000"/>
                <w:kern w:val="0"/>
                <w:szCs w:val="21"/>
              </w:rPr>
            </w:pPr>
            <w:r w:rsidRPr="00D97CD7">
              <w:rPr>
                <w:rFonts w:eastAsiaTheme="minorEastAsia"/>
                <w:color w:themeColor="text1" w:val="000000"/>
                <w:kern w:val="0"/>
                <w:szCs w:val="21"/>
              </w:rPr>
              <w:t>3.</w:t>
            </w:r>
            <w:r w:rsidRPr="00D97CD7">
              <w:rPr>
                <w:rFonts w:eastAsiaTheme="minorEastAsia"/>
                <w:color w:themeColor="text1" w:val="000000"/>
                <w:kern w:val="0"/>
                <w:szCs w:val="21"/>
              </w:rPr>
              <w:t>加权平均基金份额本期利润</w:t>
            </w:r>
          </w:p>
        </w:tc>
        <w:tc>
          <w:tcPr>
            <w:tcW w:type="dxa" w:w="2481"/>
            <w:vAlign w:val="bottom"/>
          </w:tcPr>
          <w:p w14:paraId="0A1CD34B"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-0.0303</w:t>
            </w:r>
          </w:p>
        </w:tc>
        <w:tc>
          <w:tcPr>
            <w:tcW w:type="dxa" w:w="2481"/>
            <w:vAlign w:val="bottom"/>
          </w:tcPr>
          <w:p w14:paraId="0EE2891D"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-0.0376</w:t>
            </w:r>
          </w:p>
        </w:tc>
      </w:tr>
      <w:tr w14:paraId="7F675084" w14:textId="77777777" w:rsidR="00DB3887" w:rsidRPr="00D97CD7">
        <w:tc>
          <w:tcPr>
            <w:tcW w:type="dxa" w:w="3402"/>
          </w:tcPr>
          <w:p w14:paraId="20259973" w14:textId="77777777" w:rsidR="00DB3887" w:rsidRDefault="00FC6961" w:rsidRPr="00D97CD7">
            <w:pPr>
              <w:adjustRightInd w:val="0"/>
              <w:spacing w:before="29" w:line="360" w:lineRule="auto"/>
              <w:ind w:left="17"/>
              <w:rPr>
                <w:rFonts w:eastAsiaTheme="minorEastAsia"/>
                <w:color w:themeColor="text1" w:val="000000"/>
                <w:kern w:val="0"/>
                <w:szCs w:val="21"/>
              </w:rPr>
            </w:pPr>
            <w:r w:rsidRPr="00D97CD7">
              <w:rPr>
                <w:rFonts w:eastAsiaTheme="minorEastAsia"/>
                <w:color w:themeColor="text1" w:val="000000"/>
                <w:kern w:val="0"/>
                <w:szCs w:val="21"/>
              </w:rPr>
              <w:t>4.</w:t>
            </w:r>
            <w:r w:rsidRPr="00D97CD7">
              <w:rPr>
                <w:rFonts w:eastAsiaTheme="minorEastAsia"/>
                <w:color w:themeColor="text1" w:val="000000"/>
                <w:kern w:val="0"/>
                <w:szCs w:val="21"/>
              </w:rPr>
              <w:t>期末基金资产净值</w:t>
            </w:r>
          </w:p>
        </w:tc>
        <w:tc>
          <w:tcPr>
            <w:tcW w:type="dxa" w:w="2481"/>
          </w:tcPr>
          <w:p w14:paraId="5D7CA2AC"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44,524,815.84</w:t>
            </w:r>
          </w:p>
        </w:tc>
        <w:tc>
          <w:tcPr>
            <w:tcW w:type="dxa" w:w="2481"/>
          </w:tcPr>
          <w:p w14:paraId="11798EC8"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17,080,873.27</w:t>
            </w:r>
          </w:p>
        </w:tc>
      </w:tr>
      <w:tr w14:paraId="09AB5516" w14:textId="77777777" w:rsidR="00DB3887" w:rsidRPr="00D97CD7">
        <w:trPr>
          <w:trHeight w:val="158"/>
        </w:trPr>
        <w:tc>
          <w:tcPr>
            <w:tcW w:type="dxa" w:w="3402"/>
          </w:tcPr>
          <w:p w14:paraId="3988CB32" w14:textId="77777777" w:rsidR="00DB3887" w:rsidRDefault="00FC6961" w:rsidRPr="00D97CD7">
            <w:pPr>
              <w:adjustRightInd w:val="0"/>
              <w:spacing w:before="29" w:line="360" w:lineRule="auto"/>
              <w:ind w:left="17"/>
              <w:rPr>
                <w:rFonts w:eastAsiaTheme="minorEastAsia"/>
                <w:color w:themeColor="text1" w:val="000000"/>
                <w:kern w:val="0"/>
                <w:szCs w:val="21"/>
              </w:rPr>
            </w:pPr>
            <w:r w:rsidRPr="00D97CD7">
              <w:rPr>
                <w:rFonts w:eastAsiaTheme="minorEastAsia"/>
                <w:color w:themeColor="text1" w:val="000000"/>
                <w:kern w:val="0"/>
                <w:szCs w:val="21"/>
              </w:rPr>
              <w:t>5.</w:t>
            </w:r>
            <w:r w:rsidRPr="00D97CD7">
              <w:rPr>
                <w:rFonts w:eastAsiaTheme="minorEastAsia"/>
                <w:color w:themeColor="text1" w:val="000000"/>
                <w:kern w:val="0"/>
                <w:szCs w:val="21"/>
              </w:rPr>
              <w:t>期末基金份额净值</w:t>
            </w:r>
          </w:p>
        </w:tc>
        <w:tc>
          <w:tcPr>
            <w:tcW w:type="dxa" w:w="2481"/>
          </w:tcPr>
          <w:p w14:paraId="4FE7FEBA"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1.1342</w:t>
            </w:r>
          </w:p>
        </w:tc>
        <w:tc>
          <w:tcPr>
            <w:tcW w:type="dxa" w:w="2481"/>
          </w:tcPr>
          <w:p w14:paraId="1223FCF1" w14:textId="77777777" w:rsidR="00DB3887" w:rsidRDefault="00FC6961" w:rsidRPr="00D97CD7">
            <w:pPr>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1.1329</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1319B9B0"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5CF55380"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xml:space="preserve">3.2 </w:t>
      </w:r>
      <w:r w:rsidRPr="00D97CD7">
        <w:rPr>
          <w:rFonts w:eastAsiaTheme="minorEastAsia"/>
          <w:b/>
          <w:color w:themeColor="text1" w:val="000000"/>
          <w:kern w:val="0"/>
          <w:szCs w:val="21"/>
        </w:rPr>
        <w:t>基金净值表现</w:t>
      </w:r>
    </w:p>
    <w:p w14:paraId="4A91490A" w14:textId="77777777" w:rsidR="00DB3887" w:rsidRDefault="00FC6961" w:rsidRPr="00D97CD7">
      <w:pPr>
        <w:autoSpaceDE w:val="0"/>
        <w:autoSpaceDN w:val="0"/>
        <w:adjustRightInd w:val="0"/>
        <w:spacing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3.2.1</w:t>
      </w:r>
      <w:r w:rsidRPr="00D97CD7">
        <w:rPr>
          <w:rFonts w:eastAsiaTheme="minorEastAsia"/>
          <w:b/>
          <w:color w:themeColor="text1" w:val="000000"/>
          <w:kern w:val="0"/>
          <w:szCs w:val="21"/>
        </w:rPr>
        <w:t>本报告</w:t>
      </w:r>
      <w:proofErr w:type="gramStart"/>
      <w:r w:rsidRPr="00D97CD7">
        <w:rPr>
          <w:rFonts w:eastAsiaTheme="minorEastAsia"/>
          <w:b/>
          <w:color w:themeColor="text1" w:val="000000"/>
          <w:kern w:val="0"/>
          <w:szCs w:val="21"/>
        </w:rPr>
        <w:t>期基金</w:t>
      </w:r>
      <w:proofErr w:type="gramEnd"/>
      <w:r w:rsidRPr="00D97CD7">
        <w:rPr>
          <w:rFonts w:eastAsiaTheme="minorEastAsia"/>
          <w:b/>
          <w:color w:themeColor="text1" w:val="000000"/>
          <w:kern w:val="0"/>
          <w:szCs w:val="21"/>
        </w:rPr>
        <w:t>份额净值增长率及其与同期业绩比较基准收益率的比较</w:t>
      </w:r>
    </w:p>
    <w:p w14:paraId="42ABE1EB" w14:textId="77777777" w:rsidR="00DB3887" w:rsidRDefault="00FC6961" w:rsidRPr="00D97CD7">
      <w:pPr>
        <w:spacing w:line="360" w:lineRule="auto"/>
        <w:rPr>
          <w:rFonts w:eastAsiaTheme="minorEastAsia"/>
          <w:b/>
          <w:color w:themeColor="text1" w:val="000000"/>
          <w:szCs w:val="21"/>
        </w:rPr>
      </w:pPr>
      <w:r w:rsidRPr="00D97CD7">
        <w:rPr>
          <w:rFonts w:eastAsiaTheme="minorEastAsia"/>
          <w:b/>
          <w:color w:themeColor="text1" w:val="000000"/>
          <w:szCs w:val="21"/>
        </w:rPr>
        <w:t>1</w:t>
      </w:r>
      <w:r w:rsidRPr="00D97CD7">
        <w:rPr>
          <w:rFonts w:eastAsiaTheme="minorEastAsia"/>
          <w:b/>
          <w:color w:themeColor="text1" w:val="000000"/>
          <w:szCs w:val="21"/>
        </w:rPr>
        <w:t>、</w:t>
      </w:r>
      <w:r w:rsidRPr="00D97CD7">
        <w:rPr>
          <w:rFonts w:eastAsiaTheme="minorEastAsia"/>
          <w:b/>
          <w:color w:themeColor="text1" w:val="000000"/>
          <w:kern w:val="0"/>
          <w:szCs w:val="21"/>
        </w:rPr>
        <w:t/>
      </w:r>
      <w:proofErr w:type="spellStart"/>
      <w:r w:rsidRPr="00D97CD7">
        <w:rPr>
          <w:rFonts w:eastAsiaTheme="minorEastAsia"/>
          <w:b/>
          <w:color w:themeColor="text1" w:val="000000"/>
          <w:kern w:val="0"/>
          <w:szCs w:val="21"/>
        </w:rPr>
        <w:t/>
      </w:r>
      <w:proofErr w:type="spellEnd"/>
      <w:r w:rsidRPr="00D97CD7">
        <w:rPr>
          <w:rFonts w:eastAsiaTheme="minorEastAsia"/>
          <w:b/>
          <w:color w:themeColor="text1" w:val="000000"/>
          <w:kern w:val="0"/>
          <w:szCs w:val="21"/>
        </w:rPr>
        <w:t>上投摩根MSCI中国A股ETF联接A</w:t>
      </w:r>
      <w:r w:rsidRPr="00D97CD7">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3F9A115F" w14:textId="77777777" w:rsidR="00DB3887" w:rsidRPr="00D97CD7">
        <w:tc>
          <w:tcPr>
            <w:tcW w:type="dxa" w:w="1290"/>
            <w:vAlign w:val="center"/>
          </w:tcPr>
          <w:p w14:paraId="5706D3AE" w14:textId="77777777" w:rsidR="00DB3887" w:rsidRDefault="00FC6961" w:rsidRPr="00D97CD7">
            <w:pPr>
              <w:snapToGrid w:val="0"/>
              <w:spacing w:line="288" w:lineRule="auto"/>
              <w:jc w:val="center"/>
              <w:rPr>
                <w:rFonts w:eastAsiaTheme="minorEastAsia"/>
                <w:color w:themeColor="text1" w:val="000000"/>
                <w:szCs w:val="21"/>
              </w:rPr>
            </w:pPr>
            <w:r w:rsidRPr="00D97CD7">
              <w:rPr>
                <w:rFonts w:eastAsiaTheme="minorEastAsia"/>
                <w:color w:themeColor="text1" w:val="000000"/>
                <w:szCs w:val="21"/>
              </w:rPr>
              <w:t>阶段</w:t>
            </w: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
            </w:r>
          </w:p>
        </w:tc>
        <w:tc>
          <w:tcPr>
            <w:tcW w:type="dxa" w:w="1291"/>
            <w:vAlign w:val="center"/>
          </w:tcPr>
          <w:p w14:paraId="3BF395D9" w14:textId="77777777" w:rsidR="00DB3887" w:rsidRDefault="00FC6961" w:rsidRPr="00D97CD7">
            <w:pPr>
              <w:snapToGrid w:val="0"/>
              <w:spacing w:line="288" w:lineRule="auto"/>
              <w:jc w:val="center"/>
              <w:rPr>
                <w:rFonts w:eastAsiaTheme="minorEastAsia"/>
                <w:color w:themeColor="text1" w:val="000000"/>
                <w:szCs w:val="21"/>
              </w:rPr>
            </w:pPr>
            <w:r w:rsidRPr="00D97CD7">
              <w:rPr>
                <w:rFonts w:eastAsiaTheme="minorEastAsia"/>
                <w:color w:themeColor="text1" w:val="000000"/>
                <w:szCs w:val="21"/>
              </w:rPr>
              <w:t>净值增长率</w:t>
            </w:r>
            <w:r w:rsidRPr="00D97CD7">
              <w:rPr>
                <w:rFonts w:ascii="宋体" w:cs="宋体" w:hAnsi="宋体" w:hint="eastAsia"/>
                <w:color w:themeColor="text1" w:val="000000"/>
                <w:szCs w:val="21"/>
              </w:rPr>
              <w:t>①</w:t>
            </w:r>
          </w:p>
        </w:tc>
        <w:tc>
          <w:tcPr>
            <w:tcW w:type="dxa" w:w="1291"/>
            <w:vAlign w:val="center"/>
          </w:tcPr>
          <w:p w14:paraId="0AC8854B" w14:textId="77777777" w:rsidR="00DB3887" w:rsidRDefault="00FC6961" w:rsidRPr="00D97CD7">
            <w:pPr>
              <w:snapToGrid w:val="0"/>
              <w:spacing w:line="288" w:lineRule="auto"/>
              <w:jc w:val="center"/>
              <w:rPr>
                <w:rFonts w:eastAsiaTheme="minorEastAsia"/>
                <w:color w:themeColor="text1" w:val="000000"/>
                <w:szCs w:val="21"/>
              </w:rPr>
            </w:pPr>
            <w:r w:rsidRPr="00D97CD7">
              <w:rPr>
                <w:rFonts w:eastAsiaTheme="minorEastAsia"/>
                <w:color w:themeColor="text1" w:val="000000"/>
                <w:szCs w:val="21"/>
              </w:rPr>
              <w:t>净值增长率标准差</w:t>
            </w:r>
            <w:r w:rsidRPr="00D97CD7">
              <w:rPr>
                <w:rFonts w:ascii="宋体" w:cs="宋体" w:hAnsi="宋体" w:hint="eastAsia"/>
                <w:color w:themeColor="text1" w:val="000000"/>
                <w:szCs w:val="21"/>
              </w:rPr>
              <w:t>②</w:t>
            </w:r>
          </w:p>
        </w:tc>
        <w:tc>
          <w:tcPr>
            <w:tcW w:type="dxa" w:w="1291"/>
            <w:vAlign w:val="center"/>
          </w:tcPr>
          <w:p w14:paraId="49AE5175" w14:textId="77777777" w:rsidR="00DB3887" w:rsidRDefault="00FC6961" w:rsidRPr="00D97CD7">
            <w:pPr>
              <w:snapToGrid w:val="0"/>
              <w:spacing w:line="288" w:lineRule="auto"/>
              <w:jc w:val="center"/>
              <w:rPr>
                <w:rFonts w:eastAsiaTheme="minorEastAsia"/>
                <w:color w:themeColor="text1" w:val="000000"/>
                <w:szCs w:val="21"/>
              </w:rPr>
            </w:pPr>
            <w:r w:rsidRPr="00D97CD7">
              <w:rPr>
                <w:rFonts w:eastAsiaTheme="minorEastAsia"/>
                <w:color w:themeColor="text1" w:val="000000"/>
                <w:szCs w:val="21"/>
              </w:rPr>
              <w:t>业绩比较基准收益率</w:t>
            </w:r>
            <w:r w:rsidRPr="00D97CD7">
              <w:rPr>
                <w:rFonts w:ascii="宋体" w:cs="宋体" w:hAnsi="宋体" w:hint="eastAsia"/>
                <w:color w:themeColor="text1" w:val="000000"/>
                <w:szCs w:val="21"/>
              </w:rPr>
              <w:t>③</w:t>
            </w:r>
          </w:p>
        </w:tc>
        <w:tc>
          <w:tcPr>
            <w:tcW w:type="dxa" w:w="1291"/>
            <w:vAlign w:val="center"/>
          </w:tcPr>
          <w:p w14:paraId="3F77CCB9" w14:textId="77777777" w:rsidR="00DB3887" w:rsidRDefault="00FC6961" w:rsidRPr="00D97CD7">
            <w:pPr>
              <w:snapToGrid w:val="0"/>
              <w:spacing w:line="288" w:lineRule="auto"/>
              <w:jc w:val="center"/>
              <w:rPr>
                <w:rFonts w:eastAsiaTheme="minorEastAsia"/>
                <w:color w:themeColor="text1" w:val="000000"/>
                <w:szCs w:val="21"/>
              </w:rPr>
            </w:pPr>
            <w:r w:rsidRPr="00D97CD7">
              <w:rPr>
                <w:rFonts w:eastAsiaTheme="minorEastAsia"/>
                <w:color w:themeColor="text1" w:val="000000"/>
                <w:szCs w:val="21"/>
              </w:rPr>
              <w:t>业绩比较基准收益率标准差</w:t>
            </w:r>
            <w:r w:rsidRPr="00D97CD7">
              <w:rPr>
                <w:rFonts w:ascii="宋体" w:cs="宋体" w:hAnsi="宋体" w:hint="eastAsia"/>
                <w:color w:themeColor="text1" w:val="000000"/>
                <w:szCs w:val="21"/>
              </w:rPr>
              <w:t>④</w:t>
            </w:r>
          </w:p>
        </w:tc>
        <w:tc>
          <w:tcPr>
            <w:tcW w:type="dxa" w:w="1291"/>
            <w:vAlign w:val="center"/>
          </w:tcPr>
          <w:p w14:paraId="71F5992A" w14:textId="77777777" w:rsidR="00DB3887" w:rsidRDefault="00FC6961" w:rsidRPr="00D97CD7">
            <w:pPr>
              <w:snapToGrid w:val="0"/>
              <w:spacing w:line="288" w:lineRule="auto"/>
              <w:jc w:val="center"/>
              <w:rPr>
                <w:rFonts w:eastAsiaTheme="minorEastAsia"/>
                <w:color w:themeColor="text1" w:val="000000"/>
                <w:szCs w:val="21"/>
              </w:rPr>
            </w:pPr>
            <w:r w:rsidRPr="00D97CD7">
              <w:rPr>
                <w:rFonts w:ascii="宋体" w:cs="宋体" w:hAnsi="宋体" w:hint="eastAsia"/>
                <w:color w:themeColor="text1" w:val="000000"/>
                <w:szCs w:val="21"/>
              </w:rPr>
              <w:t>①</w:t>
            </w:r>
            <w:r w:rsidRPr="00D97CD7">
              <w:rPr>
                <w:rFonts w:eastAsiaTheme="minorEastAsia"/>
                <w:color w:themeColor="text1" w:val="000000"/>
                <w:szCs w:val="21"/>
              </w:rPr>
              <w:t>－</w:t>
            </w:r>
            <w:r w:rsidRPr="00D97CD7">
              <w:rPr>
                <w:rFonts w:ascii="宋体" w:cs="宋体" w:hAnsi="宋体" w:hint="eastAsia"/>
                <w:color w:themeColor="text1" w:val="000000"/>
                <w:szCs w:val="21"/>
              </w:rPr>
              <w:t>③</w:t>
            </w:r>
          </w:p>
        </w:tc>
        <w:tc>
          <w:tcPr>
            <w:tcW w:type="dxa" w:w="1291"/>
            <w:vAlign w:val="center"/>
          </w:tcPr>
          <w:p w14:paraId="7601D6CB" w14:textId="77777777" w:rsidR="00DB3887" w:rsidRDefault="00FC6961" w:rsidRPr="00D97CD7">
            <w:pPr>
              <w:snapToGrid w:val="0"/>
              <w:spacing w:line="288" w:lineRule="auto"/>
              <w:jc w:val="center"/>
              <w:rPr>
                <w:rFonts w:eastAsiaTheme="minorEastAsia"/>
                <w:color w:themeColor="text1" w:val="000000"/>
                <w:szCs w:val="21"/>
              </w:rPr>
            </w:pPr>
            <w:r w:rsidRPr="00D97CD7">
              <w:rPr>
                <w:rFonts w:ascii="宋体" w:cs="宋体" w:hAnsi="宋体" w:hint="eastAsia"/>
                <w:color w:themeColor="text1" w:val="000000"/>
                <w:szCs w:val="21"/>
              </w:rPr>
              <w:t>②</w:t>
            </w:r>
            <w:r w:rsidRPr="00D97CD7">
              <w:rPr>
                <w:rFonts w:eastAsiaTheme="minorEastAsia"/>
                <w:color w:themeColor="text1" w:val="000000"/>
                <w:szCs w:val="21"/>
              </w:rPr>
              <w:t>－</w:t>
            </w:r>
            <w:r w:rsidRPr="00D97CD7">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-2.55%</w:t>
            </w:r>
          </w:p>
        </w:tc>
        <w:tc>
          <w:tcPr>
            <w:vAlign w:val="center"/>
          </w:tcPr>
          <w:p>
            <w:pPr>
              <w:jc w:val="right"/>
            </w:pPr>
            <w:r>
              <w:rPr>
                <w:rFonts w:eastAsiaTheme="minorEastAsia"/>
                <w:color w:themeColor="text1" w:val="000000"/>
                <w:szCs w:val="21"/>
              </w:rPr>
              <w:t>1.08%</w:t>
            </w:r>
          </w:p>
        </w:tc>
        <w:tc>
          <w:tcPr>
            <w:vAlign w:val="center"/>
          </w:tcPr>
          <w:p>
            <w:pPr>
              <w:jc w:val="right"/>
            </w:pPr>
            <w:r>
              <w:rPr>
                <w:rFonts w:eastAsiaTheme="minorEastAsia"/>
                <w:color w:themeColor="text1" w:val="000000"/>
                <w:szCs w:val="21"/>
              </w:rPr>
              <w:t>-4.89%</w:t>
            </w:r>
          </w:p>
        </w:tc>
        <w:tc>
          <w:tcPr>
            <w:vAlign w:val="center"/>
          </w:tcPr>
          <w:p>
            <w:pPr>
              <w:jc w:val="right"/>
            </w:pPr>
            <w:r>
              <w:rPr>
                <w:rFonts w:eastAsiaTheme="minorEastAsia"/>
                <w:color w:themeColor="text1" w:val="000000"/>
                <w:szCs w:val="21"/>
              </w:rPr>
              <w:t>1.11%</w:t>
            </w:r>
          </w:p>
        </w:tc>
        <w:tc>
          <w:tcPr>
            <w:vAlign w:val="center"/>
          </w:tcPr>
          <w:p>
            <w:pPr>
              <w:jc w:val="right"/>
            </w:pPr>
            <w:r>
              <w:rPr>
                <w:rFonts w:eastAsiaTheme="minorEastAsia"/>
                <w:color w:themeColor="text1" w:val="000000"/>
                <w:szCs w:val="21"/>
              </w:rPr>
              <w:t>2.34%</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5.59%</w:t>
            </w:r>
          </w:p>
        </w:tc>
        <w:tc>
          <w:tcPr>
            <w:vAlign w:val="center"/>
          </w:tcPr>
          <w:p>
            <w:pPr>
              <w:jc w:val="right"/>
            </w:pPr>
            <w:r>
              <w:rPr>
                <w:rFonts w:eastAsiaTheme="minorEastAsia"/>
                <w:color w:themeColor="text1" w:val="000000"/>
                <w:szCs w:val="21"/>
              </w:rPr>
              <w:t>1.01%</w:t>
            </w:r>
          </w:p>
        </w:tc>
        <w:tc>
          <w:tcPr>
            <w:vAlign w:val="center"/>
          </w:tcPr>
          <w:p>
            <w:pPr>
              <w:jc w:val="right"/>
            </w:pPr>
            <w:r>
              <w:rPr>
                <w:rFonts w:eastAsiaTheme="minorEastAsia"/>
                <w:color w:themeColor="text1" w:val="000000"/>
                <w:szCs w:val="21"/>
              </w:rPr>
              <w:t>1.28%</w:t>
            </w:r>
          </w:p>
        </w:tc>
        <w:tc>
          <w:tcPr>
            <w:vAlign w:val="center"/>
          </w:tcPr>
          <w:p>
            <w:pPr>
              <w:jc w:val="right"/>
            </w:pPr>
            <w:r>
              <w:rPr>
                <w:rFonts w:eastAsiaTheme="minorEastAsia"/>
                <w:color w:themeColor="text1" w:val="000000"/>
                <w:szCs w:val="21"/>
              </w:rPr>
              <w:t>1.03%</w:t>
            </w:r>
          </w:p>
        </w:tc>
        <w:tc>
          <w:tcPr>
            <w:vAlign w:val="center"/>
          </w:tcPr>
          <w:p>
            <w:pPr>
              <w:jc w:val="right"/>
            </w:pPr>
            <w:r>
              <w:rPr>
                <w:rFonts w:eastAsiaTheme="minorEastAsia"/>
                <w:color w:themeColor="text1" w:val="000000"/>
                <w:szCs w:val="21"/>
              </w:rPr>
              <w:t>4.31%</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16.07%</w:t>
            </w:r>
          </w:p>
        </w:tc>
        <w:tc>
          <w:tcPr>
            <w:vAlign w:val="center"/>
          </w:tcPr>
          <w:p>
            <w:pPr>
              <w:jc w:val="right"/>
            </w:pPr>
            <w:r>
              <w:rPr>
                <w:rFonts w:eastAsiaTheme="minorEastAsia"/>
                <w:color w:themeColor="text1" w:val="000000"/>
                <w:szCs w:val="21"/>
              </w:rPr>
              <w:t>1.14%</w:t>
            </w:r>
          </w:p>
        </w:tc>
        <w:tc>
          <w:tcPr>
            <w:vAlign w:val="center"/>
          </w:tcPr>
          <w:p>
            <w:pPr>
              <w:jc w:val="right"/>
            </w:pPr>
            <w:r>
              <w:rPr>
                <w:rFonts w:eastAsiaTheme="minorEastAsia"/>
                <w:color w:themeColor="text1" w:val="000000"/>
                <w:szCs w:val="21"/>
              </w:rPr>
              <w:t>10.39%</w:t>
            </w:r>
          </w:p>
        </w:tc>
        <w:tc>
          <w:tcPr>
            <w:vAlign w:val="center"/>
          </w:tcPr>
          <w:p>
            <w:pPr>
              <w:jc w:val="right"/>
            </w:pPr>
            <w:r>
              <w:rPr>
                <w:rFonts w:eastAsiaTheme="minorEastAsia"/>
                <w:color w:themeColor="text1" w:val="000000"/>
                <w:szCs w:val="21"/>
              </w:rPr>
              <w:t>1.16%</w:t>
            </w:r>
          </w:p>
        </w:tc>
        <w:tc>
          <w:tcPr>
            <w:vAlign w:val="center"/>
          </w:tcPr>
          <w:p>
            <w:pPr>
              <w:jc w:val="right"/>
            </w:pPr>
            <w:r>
              <w:rPr>
                <w:rFonts w:eastAsiaTheme="minorEastAsia"/>
                <w:color w:themeColor="text1" w:val="000000"/>
                <w:szCs w:val="21"/>
              </w:rPr>
              <w:t>5.68%</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13.42%</w:t>
            </w:r>
          </w:p>
        </w:tc>
        <w:tc>
          <w:tcPr>
            <w:vAlign w:val="center"/>
          </w:tcPr>
          <w:p>
            <w:pPr>
              <w:jc w:val="right"/>
            </w:pPr>
            <w:r>
              <w:rPr>
                <w:rFonts w:eastAsiaTheme="minorEastAsia"/>
                <w:color w:themeColor="text1" w:val="000000"/>
                <w:szCs w:val="21"/>
              </w:rPr>
              <w:t>1.10%</w:t>
            </w:r>
          </w:p>
        </w:tc>
        <w:tc>
          <w:tcPr>
            <w:vAlign w:val="center"/>
          </w:tcPr>
          <w:p>
            <w:pPr>
              <w:jc w:val="right"/>
            </w:pPr>
            <w:r>
              <w:rPr>
                <w:rFonts w:eastAsiaTheme="minorEastAsia"/>
                <w:color w:themeColor="text1" w:val="000000"/>
                <w:szCs w:val="21"/>
              </w:rPr>
              <w:t>7.85%</w:t>
            </w:r>
          </w:p>
        </w:tc>
        <w:tc>
          <w:tcPr>
            <w:vAlign w:val="center"/>
          </w:tcPr>
          <w:p>
            <w:pPr>
              <w:jc w:val="right"/>
            </w:pPr>
            <w:r>
              <w:rPr>
                <w:rFonts w:eastAsiaTheme="minorEastAsia"/>
                <w:color w:themeColor="text1" w:val="000000"/>
                <w:szCs w:val="21"/>
              </w:rPr>
              <w:t>1.16%</w:t>
            </w:r>
          </w:p>
        </w:tc>
        <w:tc>
          <w:tcPr>
            <w:vAlign w:val="center"/>
          </w:tcPr>
          <w:p>
            <w:pPr>
              <w:jc w:val="right"/>
            </w:pPr>
            <w:r>
              <w:rPr>
                <w:rFonts w:eastAsiaTheme="minorEastAsia"/>
                <w:color w:themeColor="text1" w:val="000000"/>
                <w:szCs w:val="21"/>
              </w:rPr>
              <w:t>5.57%</w:t>
            </w:r>
          </w:p>
        </w:tc>
        <w:tc>
          <w:tcPr>
            <w:vAlign w:val="center"/>
          </w:tcPr>
          <w:p>
            <w:pPr>
              <w:jc w:val="right"/>
            </w:pPr>
            <w:r>
              <w:rPr>
                <w:rFonts w:eastAsiaTheme="minorEastAsia"/>
                <w:color w:themeColor="text1" w:val="000000"/>
                <w:szCs w:val="21"/>
              </w:rPr>
              <w:t>-0.06%</w:t>
            </w:r>
          </w:p>
        </w:tc>
      </w:tr>
    </w:tbl>
    <w:p w14:paraId="2905A139" w14:textId="77777777" w:rsidR="00DB3887" w:rsidRDefault="00FC6961" w:rsidRPr="00D97CD7">
      <w:pPr>
        <w:adjustRightInd w:val="0"/>
        <w:spacing w:before="312" w:beforeLines="100" w:line="360" w:lineRule="auto"/>
        <w:rPr>
          <w:rFonts w:eastAsiaTheme="minorEastAsia"/>
          <w:b/>
          <w:color w:themeColor="text1" w:val="000000"/>
          <w:kern w:val="0"/>
          <w:szCs w:val="21"/>
        </w:rPr>
      </w:pPr>
      <w:r w:rsidRPr="00D97CD7">
        <w:rPr>
          <w:rFonts w:eastAsiaTheme="minorEastAsia"/>
          <w:b/>
          <w:color w:themeColor="text1" w:val="000000"/>
          <w:szCs w:val="21"/>
        </w:rPr>
        <w:t>2</w:t>
      </w:r>
      <w:r w:rsidRPr="00D97CD7">
        <w:rPr>
          <w:rFonts w:eastAsiaTheme="minorEastAsia"/>
          <w:b/>
          <w:color w:themeColor="text1" w:val="000000"/>
          <w:szCs w:val="21"/>
        </w:rPr>
        <w:t>、</w:t>
      </w:r>
      <w:r w:rsidRPr="00D97CD7">
        <w:rPr>
          <w:rFonts w:eastAsiaTheme="minorEastAsia"/>
          <w:b/>
          <w:color w:themeColor="text1" w:val="000000"/>
          <w:kern w:val="0"/>
          <w:szCs w:val="21"/>
        </w:rPr>
        <w:t>上投摩根MSCI中国A股ETF联接C</w:t>
      </w:r>
      <w:r w:rsidRPr="00D97CD7">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7734731C" w14:textId="77777777" w:rsidR="00DB3887" w:rsidRPr="00D97CD7">
        <w:tc>
          <w:tcPr>
            <w:tcW w:type="dxa" w:w="1290"/>
            <w:vAlign w:val="center"/>
          </w:tcPr>
          <w:p w14:paraId="5806CCDD" w14:textId="77777777" w:rsidR="00DB3887" w:rsidRDefault="00FC6961" w:rsidRPr="00D97CD7">
            <w:pPr>
              <w:snapToGrid w:val="0"/>
              <w:spacing w:line="288" w:lineRule="auto"/>
              <w:jc w:val="center"/>
              <w:rPr>
                <w:rFonts w:eastAsiaTheme="minorEastAsia"/>
                <w:color w:themeColor="text1" w:val="000000"/>
                <w:szCs w:val="21"/>
              </w:rPr>
            </w:pPr>
            <w:r w:rsidRPr="00D97CD7">
              <w:rPr>
                <w:rFonts w:eastAsiaTheme="minorEastAsia"/>
                <w:color w:themeColor="text1" w:val="000000"/>
                <w:szCs w:val="21"/>
              </w:rPr>
              <w:t>阶段</w:t>
            </w: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
            </w:r>
          </w:p>
        </w:tc>
        <w:tc>
          <w:tcPr>
            <w:tcW w:type="dxa" w:w="1291"/>
            <w:vAlign w:val="center"/>
          </w:tcPr>
          <w:p w14:paraId="17EE2D3A" w14:textId="77777777" w:rsidR="00DB3887" w:rsidRDefault="00FC6961" w:rsidRPr="00D97CD7">
            <w:pPr>
              <w:snapToGrid w:val="0"/>
              <w:spacing w:line="288" w:lineRule="auto"/>
              <w:jc w:val="center"/>
              <w:rPr>
                <w:rFonts w:eastAsiaTheme="minorEastAsia"/>
                <w:color w:themeColor="text1" w:val="000000"/>
                <w:szCs w:val="21"/>
                <w:highlight w:val="green"/>
              </w:rPr>
            </w:pPr>
            <w:r w:rsidRPr="00D97CD7">
              <w:rPr>
                <w:rFonts w:eastAsiaTheme="minorEastAsia"/>
                <w:color w:themeColor="text1" w:val="000000"/>
                <w:szCs w:val="21"/>
              </w:rPr>
              <w:t>净值增长率</w:t>
            </w:r>
            <w:r w:rsidRPr="00D97CD7">
              <w:rPr>
                <w:rFonts w:ascii="宋体" w:cs="宋体" w:hAnsi="宋体" w:hint="eastAsia"/>
                <w:color w:themeColor="text1" w:val="000000"/>
                <w:szCs w:val="21"/>
              </w:rPr>
              <w:t>①</w:t>
            </w:r>
          </w:p>
        </w:tc>
        <w:tc>
          <w:tcPr>
            <w:tcW w:type="dxa" w:w="1291"/>
            <w:vAlign w:val="center"/>
          </w:tcPr>
          <w:p w14:paraId="2749D5F9" w14:textId="77777777" w:rsidR="00DB3887" w:rsidRDefault="00FC6961" w:rsidRPr="00D97CD7">
            <w:pPr>
              <w:snapToGrid w:val="0"/>
              <w:spacing w:line="288" w:lineRule="auto"/>
              <w:jc w:val="center"/>
              <w:rPr>
                <w:rFonts w:eastAsiaTheme="minorEastAsia"/>
                <w:color w:themeColor="text1" w:val="000000"/>
                <w:szCs w:val="21"/>
                <w:highlight w:val="green"/>
              </w:rPr>
            </w:pPr>
            <w:r w:rsidRPr="00D97CD7">
              <w:rPr>
                <w:rFonts w:eastAsiaTheme="minorEastAsia"/>
                <w:color w:themeColor="text1" w:val="000000"/>
                <w:szCs w:val="21"/>
              </w:rPr>
              <w:t>净值增长率标准差</w:t>
            </w:r>
            <w:r w:rsidRPr="00D97CD7">
              <w:rPr>
                <w:rFonts w:ascii="宋体" w:cs="宋体" w:hAnsi="宋体" w:hint="eastAsia"/>
                <w:color w:themeColor="text1" w:val="000000"/>
                <w:szCs w:val="21"/>
              </w:rPr>
              <w:t>②</w:t>
            </w:r>
          </w:p>
        </w:tc>
        <w:tc>
          <w:tcPr>
            <w:tcW w:type="dxa" w:w="1291"/>
            <w:vAlign w:val="center"/>
          </w:tcPr>
          <w:p w14:paraId="56A28B5F" w14:textId="77777777" w:rsidR="00DB3887" w:rsidRDefault="00FC6961" w:rsidRPr="00D97CD7">
            <w:pPr>
              <w:snapToGrid w:val="0"/>
              <w:spacing w:line="288" w:lineRule="auto"/>
              <w:jc w:val="center"/>
              <w:rPr>
                <w:rFonts w:eastAsiaTheme="minorEastAsia"/>
                <w:color w:themeColor="text1" w:val="000000"/>
                <w:szCs w:val="21"/>
              </w:rPr>
            </w:pPr>
            <w:r w:rsidRPr="00D97CD7">
              <w:rPr>
                <w:rFonts w:eastAsiaTheme="minorEastAsia"/>
                <w:color w:themeColor="text1" w:val="000000"/>
                <w:szCs w:val="21"/>
              </w:rPr>
              <w:t>业绩比较基准收益率</w:t>
            </w:r>
            <w:r w:rsidRPr="00D97CD7">
              <w:rPr>
                <w:rFonts w:ascii="宋体" w:cs="宋体" w:hAnsi="宋体" w:hint="eastAsia"/>
                <w:color w:themeColor="text1" w:val="000000"/>
                <w:szCs w:val="21"/>
              </w:rPr>
              <w:t>③</w:t>
            </w:r>
          </w:p>
        </w:tc>
        <w:tc>
          <w:tcPr>
            <w:tcW w:type="dxa" w:w="1291"/>
            <w:vAlign w:val="center"/>
          </w:tcPr>
          <w:p w14:paraId="34C99427" w14:textId="77777777" w:rsidR="00DB3887" w:rsidRDefault="00FC6961" w:rsidRPr="00D97CD7">
            <w:pPr>
              <w:snapToGrid w:val="0"/>
              <w:spacing w:line="288" w:lineRule="auto"/>
              <w:jc w:val="center"/>
              <w:rPr>
                <w:rFonts w:eastAsiaTheme="minorEastAsia"/>
                <w:color w:themeColor="text1" w:val="000000"/>
                <w:szCs w:val="21"/>
              </w:rPr>
            </w:pPr>
            <w:r w:rsidRPr="00D97CD7">
              <w:rPr>
                <w:rFonts w:eastAsiaTheme="minorEastAsia"/>
                <w:color w:themeColor="text1" w:val="000000"/>
                <w:szCs w:val="21"/>
              </w:rPr>
              <w:t>业绩比较基准收益率标准差</w:t>
            </w:r>
            <w:r w:rsidRPr="00D97CD7">
              <w:rPr>
                <w:rFonts w:ascii="宋体" w:cs="宋体" w:hAnsi="宋体" w:hint="eastAsia"/>
                <w:color w:themeColor="text1" w:val="000000"/>
                <w:szCs w:val="21"/>
              </w:rPr>
              <w:t>④</w:t>
            </w:r>
          </w:p>
        </w:tc>
        <w:tc>
          <w:tcPr>
            <w:tcW w:type="dxa" w:w="1291"/>
            <w:vAlign w:val="center"/>
          </w:tcPr>
          <w:p w14:paraId="34457170" w14:textId="77777777" w:rsidR="00DB3887" w:rsidRDefault="00FC6961" w:rsidRPr="00D97CD7">
            <w:pPr>
              <w:snapToGrid w:val="0"/>
              <w:spacing w:line="288" w:lineRule="auto"/>
              <w:jc w:val="center"/>
              <w:rPr>
                <w:rFonts w:eastAsiaTheme="minorEastAsia"/>
                <w:color w:themeColor="text1" w:val="000000"/>
                <w:szCs w:val="21"/>
              </w:rPr>
            </w:pPr>
            <w:r w:rsidRPr="00D97CD7">
              <w:rPr>
                <w:rFonts w:ascii="宋体" w:cs="宋体" w:hAnsi="宋体" w:hint="eastAsia"/>
                <w:color w:themeColor="text1" w:val="000000"/>
                <w:szCs w:val="21"/>
              </w:rPr>
              <w:t>①</w:t>
            </w:r>
            <w:r w:rsidRPr="00D97CD7">
              <w:rPr>
                <w:rFonts w:eastAsiaTheme="minorEastAsia"/>
                <w:color w:themeColor="text1" w:val="000000"/>
                <w:szCs w:val="21"/>
              </w:rPr>
              <w:t>－</w:t>
            </w:r>
            <w:r w:rsidRPr="00D97CD7">
              <w:rPr>
                <w:rFonts w:ascii="宋体" w:cs="宋体" w:hAnsi="宋体" w:hint="eastAsia"/>
                <w:color w:themeColor="text1" w:val="000000"/>
                <w:szCs w:val="21"/>
              </w:rPr>
              <w:t>③</w:t>
            </w:r>
          </w:p>
        </w:tc>
        <w:tc>
          <w:tcPr>
            <w:tcW w:type="dxa" w:w="1291"/>
            <w:vAlign w:val="center"/>
          </w:tcPr>
          <w:p w14:paraId="671DA449" w14:textId="77777777" w:rsidR="00DB3887" w:rsidRDefault="00FC6961" w:rsidRPr="00D97CD7">
            <w:pPr>
              <w:snapToGrid w:val="0"/>
              <w:spacing w:line="288" w:lineRule="auto"/>
              <w:jc w:val="center"/>
              <w:rPr>
                <w:rFonts w:eastAsiaTheme="minorEastAsia"/>
                <w:color w:themeColor="text1" w:val="000000"/>
                <w:szCs w:val="21"/>
              </w:rPr>
            </w:pPr>
            <w:r w:rsidRPr="00D97CD7">
              <w:rPr>
                <w:rFonts w:ascii="宋体" w:cs="宋体" w:hAnsi="宋体" w:hint="eastAsia"/>
                <w:color w:themeColor="text1" w:val="000000"/>
                <w:szCs w:val="21"/>
              </w:rPr>
              <w:t>②</w:t>
            </w:r>
            <w:r w:rsidRPr="00D97CD7">
              <w:rPr>
                <w:rFonts w:eastAsiaTheme="minorEastAsia"/>
                <w:color w:themeColor="text1" w:val="000000"/>
                <w:szCs w:val="21"/>
              </w:rPr>
              <w:t>－</w:t>
            </w:r>
            <w:r w:rsidRPr="00D97CD7">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-2.57%</w:t>
            </w:r>
          </w:p>
        </w:tc>
        <w:tc>
          <w:tcPr>
            <w:vAlign w:val="center"/>
          </w:tcPr>
          <w:p>
            <w:pPr>
              <w:jc w:val="right"/>
            </w:pPr>
            <w:r>
              <w:rPr>
                <w:rFonts w:eastAsiaTheme="minorEastAsia"/>
                <w:color w:themeColor="text1" w:val="000000"/>
                <w:szCs w:val="21"/>
              </w:rPr>
              <w:t>1.08%</w:t>
            </w:r>
          </w:p>
        </w:tc>
        <w:tc>
          <w:tcPr>
            <w:vAlign w:val="center"/>
          </w:tcPr>
          <w:p>
            <w:pPr>
              <w:jc w:val="right"/>
            </w:pPr>
            <w:r>
              <w:rPr>
                <w:rFonts w:eastAsiaTheme="minorEastAsia"/>
                <w:color w:themeColor="text1" w:val="000000"/>
                <w:szCs w:val="21"/>
              </w:rPr>
              <w:t>-4.89%</w:t>
            </w:r>
          </w:p>
        </w:tc>
        <w:tc>
          <w:tcPr>
            <w:vAlign w:val="center"/>
          </w:tcPr>
          <w:p>
            <w:pPr>
              <w:jc w:val="right"/>
            </w:pPr>
            <w:r>
              <w:rPr>
                <w:rFonts w:eastAsiaTheme="minorEastAsia"/>
                <w:color w:themeColor="text1" w:val="000000"/>
                <w:szCs w:val="21"/>
              </w:rPr>
              <w:t>1.11%</w:t>
            </w:r>
          </w:p>
        </w:tc>
        <w:tc>
          <w:tcPr>
            <w:vAlign w:val="center"/>
          </w:tcPr>
          <w:p>
            <w:pPr>
              <w:jc w:val="right"/>
            </w:pPr>
            <w:r>
              <w:rPr>
                <w:rFonts w:eastAsiaTheme="minorEastAsia"/>
                <w:color w:themeColor="text1" w:val="000000"/>
                <w:szCs w:val="21"/>
              </w:rPr>
              <w:t>2.32%</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5.54%</w:t>
            </w:r>
          </w:p>
        </w:tc>
        <w:tc>
          <w:tcPr>
            <w:vAlign w:val="center"/>
          </w:tcPr>
          <w:p>
            <w:pPr>
              <w:jc w:val="right"/>
            </w:pPr>
            <w:r>
              <w:rPr>
                <w:rFonts w:eastAsiaTheme="minorEastAsia"/>
                <w:color w:themeColor="text1" w:val="000000"/>
                <w:szCs w:val="21"/>
              </w:rPr>
              <w:t>1.01%</w:t>
            </w:r>
          </w:p>
        </w:tc>
        <w:tc>
          <w:tcPr>
            <w:vAlign w:val="center"/>
          </w:tcPr>
          <w:p>
            <w:pPr>
              <w:jc w:val="right"/>
            </w:pPr>
            <w:r>
              <w:rPr>
                <w:rFonts w:eastAsiaTheme="minorEastAsia"/>
                <w:color w:themeColor="text1" w:val="000000"/>
                <w:szCs w:val="21"/>
              </w:rPr>
              <w:t>1.28%</w:t>
            </w:r>
          </w:p>
        </w:tc>
        <w:tc>
          <w:tcPr>
            <w:vAlign w:val="center"/>
          </w:tcPr>
          <w:p>
            <w:pPr>
              <w:jc w:val="right"/>
            </w:pPr>
            <w:r>
              <w:rPr>
                <w:rFonts w:eastAsiaTheme="minorEastAsia"/>
                <w:color w:themeColor="text1" w:val="000000"/>
                <w:szCs w:val="21"/>
              </w:rPr>
              <w:t>1.03%</w:t>
            </w:r>
          </w:p>
        </w:tc>
        <w:tc>
          <w:tcPr>
            <w:vAlign w:val="center"/>
          </w:tcPr>
          <w:p>
            <w:pPr>
              <w:jc w:val="right"/>
            </w:pPr>
            <w:r>
              <w:rPr>
                <w:rFonts w:eastAsiaTheme="minorEastAsia"/>
                <w:color w:themeColor="text1" w:val="000000"/>
                <w:szCs w:val="21"/>
              </w:rPr>
              <w:t>4.26%</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15.96%</w:t>
            </w:r>
          </w:p>
        </w:tc>
        <w:tc>
          <w:tcPr>
            <w:vAlign w:val="center"/>
          </w:tcPr>
          <w:p>
            <w:pPr>
              <w:jc w:val="right"/>
            </w:pPr>
            <w:r>
              <w:rPr>
                <w:rFonts w:eastAsiaTheme="minorEastAsia"/>
                <w:color w:themeColor="text1" w:val="000000"/>
                <w:szCs w:val="21"/>
              </w:rPr>
              <w:t>1.14%</w:t>
            </w:r>
          </w:p>
        </w:tc>
        <w:tc>
          <w:tcPr>
            <w:vAlign w:val="center"/>
          </w:tcPr>
          <w:p>
            <w:pPr>
              <w:jc w:val="right"/>
            </w:pPr>
            <w:r>
              <w:rPr>
                <w:rFonts w:eastAsiaTheme="minorEastAsia"/>
                <w:color w:themeColor="text1" w:val="000000"/>
                <w:szCs w:val="21"/>
              </w:rPr>
              <w:t>10.39%</w:t>
            </w:r>
          </w:p>
        </w:tc>
        <w:tc>
          <w:tcPr>
            <w:vAlign w:val="center"/>
          </w:tcPr>
          <w:p>
            <w:pPr>
              <w:jc w:val="right"/>
            </w:pPr>
            <w:r>
              <w:rPr>
                <w:rFonts w:eastAsiaTheme="minorEastAsia"/>
                <w:color w:themeColor="text1" w:val="000000"/>
                <w:szCs w:val="21"/>
              </w:rPr>
              <w:t>1.16%</w:t>
            </w:r>
          </w:p>
        </w:tc>
        <w:tc>
          <w:tcPr>
            <w:vAlign w:val="center"/>
          </w:tcPr>
          <w:p>
            <w:pPr>
              <w:jc w:val="right"/>
            </w:pPr>
            <w:r>
              <w:rPr>
                <w:rFonts w:eastAsiaTheme="minorEastAsia"/>
                <w:color w:themeColor="text1" w:val="000000"/>
                <w:szCs w:val="21"/>
              </w:rPr>
              <w:t>5.57%</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13.29%</w:t>
            </w:r>
          </w:p>
        </w:tc>
        <w:tc>
          <w:tcPr>
            <w:vAlign w:val="center"/>
          </w:tcPr>
          <w:p>
            <w:pPr>
              <w:jc w:val="right"/>
            </w:pPr>
            <w:r>
              <w:rPr>
                <w:rFonts w:eastAsiaTheme="minorEastAsia"/>
                <w:color w:themeColor="text1" w:val="000000"/>
                <w:szCs w:val="21"/>
              </w:rPr>
              <w:t>1.10%</w:t>
            </w:r>
          </w:p>
        </w:tc>
        <w:tc>
          <w:tcPr>
            <w:vAlign w:val="center"/>
          </w:tcPr>
          <w:p>
            <w:pPr>
              <w:jc w:val="right"/>
            </w:pPr>
            <w:r>
              <w:rPr>
                <w:rFonts w:eastAsiaTheme="minorEastAsia"/>
                <w:color w:themeColor="text1" w:val="000000"/>
                <w:szCs w:val="21"/>
              </w:rPr>
              <w:t>7.85%</w:t>
            </w:r>
          </w:p>
        </w:tc>
        <w:tc>
          <w:tcPr>
            <w:vAlign w:val="center"/>
          </w:tcPr>
          <w:p>
            <w:pPr>
              <w:jc w:val="right"/>
            </w:pPr>
            <w:r>
              <w:rPr>
                <w:rFonts w:eastAsiaTheme="minorEastAsia"/>
                <w:color w:themeColor="text1" w:val="000000"/>
                <w:szCs w:val="21"/>
              </w:rPr>
              <w:t>1.16%</w:t>
            </w:r>
          </w:p>
        </w:tc>
        <w:tc>
          <w:tcPr>
            <w:vAlign w:val="center"/>
          </w:tcPr>
          <w:p>
            <w:pPr>
              <w:jc w:val="right"/>
            </w:pPr>
            <w:r>
              <w:rPr>
                <w:rFonts w:eastAsiaTheme="minorEastAsia"/>
                <w:color w:themeColor="text1" w:val="000000"/>
                <w:szCs w:val="21"/>
              </w:rPr>
              <w:t>5.44%</w:t>
            </w:r>
          </w:p>
        </w:tc>
        <w:tc>
          <w:tcPr>
            <w:vAlign w:val="center"/>
          </w:tcPr>
          <w:p>
            <w:pPr>
              <w:jc w:val="right"/>
            </w:pPr>
            <w:r>
              <w:rPr>
                <w:rFonts w:eastAsiaTheme="minorEastAsia"/>
                <w:color w:themeColor="text1" w:val="000000"/>
                <w:szCs w:val="21"/>
              </w:rPr>
              <w:t>-0.06%</w:t>
            </w:r>
          </w:p>
        </w:tc>
      </w:tr>
    </w:tbl>
    <w:p w14:paraId="34B6AD8F" w14:textId="77777777" w:rsidR="00DB3887" w:rsidRDefault="00FC6961" w:rsidRPr="00D97CD7">
      <w:pPr>
        <w:spacing w:before="312" w:beforeLines="100" w:line="360" w:lineRule="auto"/>
        <w:rPr>
          <w:rFonts w:eastAsiaTheme="minorEastAsia"/>
          <w:b/>
          <w:color w:themeColor="text1" w:val="000000"/>
          <w:kern w:val="0"/>
          <w:szCs w:val="21"/>
        </w:rPr>
      </w:pPr>
      <w:r w:rsidRPr="00D97CD7">
        <w:rPr>
          <w:rFonts w:eastAsiaTheme="minorEastAsia"/>
          <w:b/>
          <w:color w:themeColor="text1" w:val="000000"/>
          <w:kern w:val="0"/>
          <w:szCs w:val="21"/>
        </w:rPr>
        <w:lastRenderedPageBreak/>
        <w:t>3.2.2</w:t>
      </w:r>
      <w:r w:rsidRPr="00D97CD7">
        <w:rPr>
          <w:rFonts w:eastAsiaTheme="minorEastAsia"/>
          <w:b/>
          <w:color w:themeColor="text1" w:val="000000"/>
          <w:kern w:val="0"/>
          <w:szCs w:val="21"/>
        </w:rPr>
        <w:t xml:space="preserve">　</w:t>
      </w:r>
      <w:r w:rsidRPr="00D97CD7">
        <w:rPr>
          <w:rStyle w:val="af5"/>
          <w:rFonts w:eastAsiaTheme="minorEastAsia"/>
          <w:color w:themeColor="text1" w:val="000000"/>
          <w:szCs w:val="21"/>
          <w:shd w:color="auto" w:fill="FFFFFF" w:val="clear"/>
        </w:rPr>
        <w:t/>
      </w:r>
      <w:proofErr w:type="spellStart"/>
      <w:r w:rsidRPr="00D97CD7">
        <w:rPr>
          <w:rStyle w:val="af5"/>
          <w:rFonts w:eastAsiaTheme="minorEastAsia"/>
          <w:color w:themeColor="text1" w:val="000000"/>
          <w:szCs w:val="21"/>
          <w:shd w:color="auto" w:fill="FFFFFF" w:val="clear"/>
        </w:rPr>
        <w:t/>
      </w:r>
      <w:proofErr w:type="spellEnd"/>
      <w:r w:rsidRPr="00D97CD7">
        <w:rPr>
          <w:rStyle w:val="af5"/>
          <w:rFonts w:eastAsiaTheme="minorEastAsia"/>
          <w:color w:themeColor="text1" w:val="000000"/>
          <w:szCs w:val="21"/>
          <w:shd w:color="auto" w:fill="FFFFFF" w:val="clear"/>
        </w:rPr>
        <w:t>自基金合同生效以来</w:t>
      </w:r>
      <w:r w:rsidRPr="00D97CD7">
        <w:rPr>
          <w:rFonts w:eastAsiaTheme="minorEastAsia"/>
          <w:b/>
          <w:color w:themeColor="text1" w:val="000000"/>
          <w:szCs w:val="21"/>
        </w:rPr>
        <w:t>基金累计净值增长率变动及其与同期业绩比较基准收益率变动的比较</w:t>
      </w:r>
    </w:p>
    <w:p w14:paraId="5F2D226F" w14:textId="77777777" w:rsidR="00DB3887" w:rsidRDefault="00FC6961" w:rsidRPr="00D97CD7">
      <w:pPr>
        <w:spacing w:line="360" w:lineRule="auto"/>
        <w:jc w:val="center"/>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上投摩根MSCI中国A股交易型开放式指数证券投资基金联接基金</w:t>
      </w:r>
    </w:p>
    <w:p w14:paraId="618EF435" w14:textId="77777777" w:rsidR="00DB3887" w:rsidRDefault="00FC6961" w:rsidRPr="00D97CD7">
      <w:pPr>
        <w:pStyle w:val="a9"/>
        <w:snapToGrid w:val="0"/>
        <w:spacing w:line="360" w:lineRule="auto"/>
        <w:jc w:val="center"/>
        <w:rPr>
          <w:rFonts w:ascii="Times New Roman" w:eastAsiaTheme="minorEastAsia" w:hAnsi="Times New Roman"/>
          <w:color w:themeColor="text1" w:val="000000"/>
        </w:rPr>
      </w:pPr>
      <w:r w:rsidRPr="00D97CD7">
        <w:rPr>
          <w:rFonts w:ascii="Times New Roman" w:eastAsiaTheme="minorEastAsia" w:hAnsi="Times New Roman"/>
          <w:color w:themeColor="text1" w:val="000000"/>
        </w:rPr>
        <w:t>累计净值增长率与业绩比较基准收益率的历史走势对比图</w:t>
      </w:r>
    </w:p>
    <w:p w14:paraId="443B8712" w14:textId="77777777" w:rsidR="00DB3887" w:rsidRDefault="00FC6961" w:rsidRPr="00D97CD7">
      <w:pPr>
        <w:pStyle w:val="a9"/>
        <w:snapToGrid w:val="0"/>
        <w:spacing w:line="360" w:lineRule="auto"/>
        <w:ind w:firstLine="480"/>
        <w:jc w:val="center"/>
        <w:rPr>
          <w:rFonts w:ascii="Times New Roman" w:eastAsiaTheme="minorEastAsia" w:hAnsi="Times New Roman"/>
          <w:color w:themeColor="text1" w:val="000000"/>
        </w:rPr>
      </w:pPr>
      <w:r w:rsidRPr="00D97CD7">
        <w:rPr>
          <w:rFonts w:ascii="Times New Roman" w:eastAsiaTheme="minorEastAsia" w:hAnsi="Times New Roman"/>
          <w:color w:themeColor="text1" w:val="000000"/>
        </w:rPr>
        <w:t>(</w:t>
      </w:r>
      <w:proofErr w:type="spellStart"/>
      <w:r w:rsidRPr="00D97CD7">
        <w:rPr>
          <w:rFonts w:ascii="Times New Roman" w:eastAsiaTheme="minorEastAsia" w:hAnsi="Times New Roman"/>
          <w:color w:themeColor="text1" w:val="000000"/>
        </w:rPr>
        <w:t/>
      </w:r>
      <w:proofErr w:type="spellEnd"/>
      <w:r w:rsidRPr="00D97CD7">
        <w:rPr>
          <w:rFonts w:ascii="Times New Roman" w:eastAsiaTheme="minorEastAsia" w:hAnsi="Times New Roman"/>
          <w:color w:themeColor="text1" w:val="000000"/>
        </w:rPr>
        <w:t>2020年7月22日</w:t>
      </w:r>
      <w:r w:rsidRPr="00D97CD7">
        <w:rPr>
          <w:rFonts w:ascii="Times New Roman" w:eastAsiaTheme="minorEastAsia" w:hAnsi="Times New Roman"/>
          <w:color w:themeColor="text1" w:val="000000"/>
        </w:rPr>
        <w:t>至</w:t>
      </w:r>
      <w:r w:rsidRPr="00D97CD7">
        <w:rPr>
          <w:rFonts w:ascii="Times New Roman" w:eastAsiaTheme="minorEastAsia" w:hAnsi="Times New Roman"/>
          <w:color w:themeColor="text1" w:val="000000"/>
        </w:rPr>
        <w:t/>
      </w:r>
      <w:proofErr w:type="spellStart"/>
      <w:r w:rsidRPr="00D97CD7">
        <w:rPr>
          <w:rFonts w:ascii="Times New Roman" w:eastAsiaTheme="minorEastAsia" w:hAnsi="Times New Roman"/>
          <w:color w:themeColor="text1" w:val="000000"/>
        </w:rPr>
        <w:t/>
      </w:r>
      <w:proofErr w:type="spellEnd"/>
      <w:r w:rsidRPr="00D97CD7">
        <w:rPr>
          <w:rFonts w:ascii="Times New Roman" w:eastAsiaTheme="minorEastAsia" w:hAnsi="Times New Roman"/>
          <w:color w:themeColor="text1" w:val="000000"/>
        </w:rPr>
        <w:t>2021年9月30日)</w:t>
      </w:r>
    </w:p>
    <w:p w14:paraId="3AB99402" w14:textId="77777777" w:rsidR="00DB3887" w:rsidRDefault="00FC6961" w:rsidRPr="00D97CD7">
      <w:pPr>
        <w:snapToGrid w:val="0"/>
        <w:spacing w:line="360" w:lineRule="auto"/>
        <w:rPr>
          <w:rFonts w:eastAsiaTheme="minorEastAsia"/>
          <w:color w:themeColor="text1" w:val="000000"/>
          <w:szCs w:val="21"/>
        </w:rPr>
      </w:pPr>
      <w:r w:rsidRPr="00D97CD7">
        <w:rPr>
          <w:rFonts w:eastAsiaTheme="minorEastAsia"/>
          <w:color w:themeColor="text1" w:val="000000"/>
          <w:szCs w:val="21"/>
        </w:rPr>
        <w:t>1</w:t>
      </w:r>
      <w:r w:rsidRPr="00D97CD7">
        <w:rPr>
          <w:rFonts w:eastAsiaTheme="minorEastAsia"/>
          <w:color w:themeColor="text1" w:val="000000"/>
          <w:szCs w:val="21"/>
        </w:rPr>
        <w:t>．</w:t>
      </w: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上投摩根MSCI中国A股ETF联接A</w:t>
      </w:r>
      <w:r w:rsidRPr="00D97CD7">
        <w:rPr>
          <w:rFonts w:eastAsiaTheme="minorEastAsia"/>
          <w:color w:themeColor="text1" w:val="000000"/>
          <w:szCs w:val="21"/>
        </w:rPr>
        <w:t>：</w:t>
      </w:r>
    </w:p>
    <w:p w14:paraId="7C6FDBBA" w14:textId="77777777" w:rsidR="00DB3887" w:rsidRDefault="00FC6961" w:rsidRPr="00D97CD7">
      <w:pPr>
        <w:pStyle w:val="20"/>
        <w:spacing w:line="288" w:lineRule="auto"/>
        <w:ind w:firstLine="0" w:firstLineChars="0"/>
        <w:jc w:val="center"/>
        <w:rPr>
          <w:rFonts w:ascii="Times New Roman" w:eastAsiaTheme="minorEastAsia" w:hAnsi="Times New Roman"/>
          <w:color w:themeColor="text1" w:val="000000"/>
          <w:sz w:val="21"/>
          <w:szCs w:val="21"/>
        </w:rPr>
      </w:pPr>
      <w:r w:rsidRPr="00D97CD7">
        <w:rPr>
          <w:rFonts w:ascii="Times New Roman" w:eastAsiaTheme="minorEastAsia" w:hAnsi="Times New Roman"/>
          <w:noProof/>
          <w:color w:themeColor="text1" w:val="000000"/>
          <w:sz w:val="21"/>
          <w:szCs w:val="21"/>
        </w:rPr>
        <w:drawing>
          <wp:inline distB="0" distL="0" distR="0" distT="0" wp14:anchorId="6740E604" wp14:editId="3FC51B11">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注：本基金合同生效日为2020年7月22日，图示的时间段为合同生效日至本报告期末。</w:t>
      </w:r>
    </w:p>
    <w:p w14:paraId="6A4D67F4"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gramEnd"/>
      <w:r w:rsidRPr="00D97CD7">
        <w:rPr>
          <w:rFonts w:eastAsiaTheme="minorEastAsia"/>
          <w:color w:themeColor="text1" w:val="000000"/>
          <w:szCs w:val="21"/>
        </w:rPr>
        <w:t>本基金建仓期为本基金合同生效日起 6 个月，建仓期结束时资产配置比例符合本基金基金合同规定。</w:t>
      </w:r>
    </w:p>
    <w:p w14:paraId="3699DF5F" w14:textId="77777777" w:rsidR="00DB3887" w:rsidRDefault="00FC6961" w:rsidRPr="00D97CD7">
      <w:pPr>
        <w:snapToGrid w:val="0"/>
        <w:spacing w:before="312" w:beforeLines="100" w:line="360" w:lineRule="auto"/>
        <w:rPr>
          <w:rFonts w:eastAsiaTheme="minorEastAsia"/>
          <w:color w:themeColor="text1" w:val="000000"/>
          <w:szCs w:val="21"/>
        </w:rPr>
      </w:pPr>
      <w:r w:rsidRPr="00D97CD7">
        <w:rPr>
          <w:rFonts w:eastAsiaTheme="minorEastAsia"/>
          <w:color w:themeColor="text1" w:val="000000"/>
          <w:szCs w:val="21"/>
        </w:rPr>
        <w:t>2</w:t>
      </w:r>
      <w:r w:rsidRPr="00D97CD7">
        <w:rPr>
          <w:rFonts w:eastAsiaTheme="minorEastAsia"/>
          <w:color w:themeColor="text1" w:val="000000"/>
          <w:szCs w:val="21"/>
        </w:rPr>
        <w:t>．</w:t>
      </w:r>
      <w:r w:rsidRPr="00D97CD7">
        <w:rPr>
          <w:rFonts w:eastAsiaTheme="minorEastAsia"/>
          <w:color w:themeColor="text1" w:val="000000"/>
          <w:szCs w:val="21"/>
        </w:rPr>
        <w:t>上投摩根MSCI中国A股ETF联接C</w:t>
      </w:r>
      <w:r w:rsidRPr="00D97CD7">
        <w:rPr>
          <w:rFonts w:eastAsiaTheme="minorEastAsia"/>
          <w:color w:themeColor="text1" w:val="000000"/>
          <w:szCs w:val="21"/>
        </w:rPr>
        <w:t>：</w:t>
      </w:r>
    </w:p>
    <w:p w14:paraId="481B1049" w14:textId="77777777" w:rsidR="00DB3887" w:rsidRDefault="00FC6961" w:rsidRPr="00D97CD7">
      <w:pPr>
        <w:pStyle w:val="20"/>
        <w:spacing w:line="288" w:lineRule="auto"/>
        <w:ind w:firstLine="0" w:firstLineChars="0"/>
        <w:jc w:val="center"/>
        <w:rPr>
          <w:rFonts w:ascii="Times New Roman" w:eastAsiaTheme="minorEastAsia" w:hAnsi="Times New Roman"/>
          <w:color w:themeColor="text1" w:val="000000"/>
          <w:sz w:val="21"/>
          <w:szCs w:val="21"/>
        </w:rPr>
      </w:pPr>
      <w:r w:rsidRPr="00D97CD7">
        <w:rPr>
          <w:rFonts w:ascii="Times New Roman" w:eastAsiaTheme="minorEastAsia" w:hAnsi="Times New Roman"/>
          <w:noProof/>
          <w:color w:themeColor="text1" w:val="000000"/>
          <w:sz w:val="21"/>
          <w:szCs w:val="21"/>
        </w:rPr>
        <w:drawing>
          <wp:inline distB="0" distL="0" distR="0" distT="0" wp14:anchorId="07AC3F6F" wp14:editId="760A3A25">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注：本基金合同生效日为2020年7月22日，图示的时间段为合同生效日至本报告期末。</w:t>
      </w:r>
    </w:p>
    <w:p w14:paraId="514C9304"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lastRenderedPageBreak/>
        <w:t/>
      </w:r>
      <w:proofErr w:type="gramStart"/>
      <w:r w:rsidRPr="00D97CD7">
        <w:rPr>
          <w:rFonts w:eastAsiaTheme="minorEastAsia"/>
          <w:color w:themeColor="text1" w:val="000000"/>
          <w:szCs w:val="21"/>
        </w:rPr>
        <w:t/>
      </w:r>
      <w:proofErr w:type="gramEnd"/>
      <w:r w:rsidRPr="00D97CD7">
        <w:rPr>
          <w:rFonts w:eastAsiaTheme="minorEastAsia"/>
          <w:color w:themeColor="text1" w:val="000000"/>
          <w:szCs w:val="21"/>
        </w:rPr>
        <w:t>本基金建仓期为本基金合同生效日起 6 个月，建仓期结束时资产配置比例符合本基金基金合同规定。</w:t>
      </w:r>
    </w:p>
    <w:p w14:paraId="69FF793D" w14:textId="77777777" w:rsidR="00DB3887" w:rsidRDefault="00DB3887" w:rsidRPr="00D97CD7">
      <w:pPr>
        <w:tabs>
          <w:tab w:pos="1800" w:val="left"/>
        </w:tabs>
        <w:spacing w:line="288" w:lineRule="auto"/>
        <w:rPr>
          <w:rFonts w:eastAsiaTheme="minorEastAsia"/>
          <w:color w:themeColor="text1" w:val="000000"/>
          <w:szCs w:val="21"/>
        </w:rPr>
      </w:pPr>
    </w:p>
    <w:p w14:paraId="09F6437F" w14:textId="77777777" w:rsidR="00DB3887" w:rsidRDefault="00FC6961" w:rsidRPr="00D97CD7">
      <w:pPr>
        <w:pStyle w:val="1"/>
        <w:spacing w:after="312" w:afterLines="100" w:before="312" w:beforeLines="100" w:line="360" w:lineRule="auto"/>
        <w:jc w:val="center"/>
        <w:rPr>
          <w:rFonts w:eastAsiaTheme="minorEastAsia"/>
          <w:color w:themeColor="text1" w:val="000000"/>
          <w:kern w:val="0"/>
          <w:sz w:val="21"/>
          <w:szCs w:val="21"/>
        </w:rPr>
      </w:pPr>
      <w:r w:rsidRPr="00D97CD7">
        <w:rPr>
          <w:rFonts w:eastAsiaTheme="minorEastAsia"/>
          <w:color w:themeColor="text1" w:val="000000"/>
          <w:kern w:val="0"/>
          <w:sz w:val="21"/>
          <w:szCs w:val="21"/>
        </w:rPr>
        <w:t xml:space="preserve">§4  </w:t>
      </w:r>
      <w:r w:rsidRPr="00D97CD7">
        <w:rPr>
          <w:rFonts w:eastAsiaTheme="minorEastAsia"/>
          <w:color w:themeColor="text1" w:val="000000"/>
          <w:kern w:val="0"/>
          <w:sz w:val="21"/>
          <w:szCs w:val="21"/>
        </w:rPr>
        <w:t>管理人报告</w:t>
      </w:r>
    </w:p>
    <w:p w14:paraId="47881C47" w14:textId="77777777" w:rsidR="00DB3887" w:rsidRDefault="00FC6961" w:rsidRPr="00D97CD7">
      <w:pPr>
        <w:autoSpaceDE w:val="0"/>
        <w:autoSpaceDN w:val="0"/>
        <w:adjustRightInd w:val="0"/>
        <w:spacing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xml:space="preserve">4.1 </w:t>
      </w:r>
      <w:r w:rsidRPr="00D97CD7">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7288A764" w14:textId="77777777" w:rsidR="00DB3887" w:rsidRPr="00D97CD7">
        <w:tc>
          <w:tcPr>
            <w:tcW w:type="dxa" w:w="952"/>
            <w:vMerge w:val="restart"/>
            <w:vAlign w:val="center"/>
          </w:tcPr>
          <w:p w14:paraId="4BB1B206" w14:textId="77777777" w:rsidR="00DB3887" w:rsidRDefault="00FC6961" w:rsidRPr="00D97CD7">
            <w:pPr>
              <w:autoSpaceDE w:val="0"/>
              <w:autoSpaceDN w:val="0"/>
              <w:adjustRightInd w:val="0"/>
              <w:spacing w:before="29" w:line="288"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姓名</w:t>
            </w:r>
          </w:p>
        </w:tc>
        <w:tc>
          <w:tcPr>
            <w:tcW w:type="dxa" w:w="930"/>
            <w:vMerge w:val="restart"/>
            <w:vAlign w:val="center"/>
          </w:tcPr>
          <w:p w14:paraId="7B076F09" w14:textId="77777777" w:rsidR="00DB3887" w:rsidRDefault="00FC6961" w:rsidRPr="00D97CD7">
            <w:pPr>
              <w:autoSpaceDE w:val="0"/>
              <w:autoSpaceDN w:val="0"/>
              <w:adjustRightInd w:val="0"/>
              <w:spacing w:before="29" w:line="288"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职务</w:t>
            </w:r>
          </w:p>
        </w:tc>
        <w:tc>
          <w:tcPr>
            <w:tcW w:type="dxa" w:w="2519"/>
            <w:gridSpan w:val="2"/>
          </w:tcPr>
          <w:p w14:paraId="673BAAD2" w14:textId="77777777" w:rsidR="00DB3887" w:rsidRDefault="00FC6961" w:rsidRPr="00D97CD7">
            <w:pPr>
              <w:autoSpaceDE w:val="0"/>
              <w:autoSpaceDN w:val="0"/>
              <w:adjustRightInd w:val="0"/>
              <w:spacing w:before="29" w:line="288" w:lineRule="auto"/>
              <w:ind w:left="15"/>
              <w:jc w:val="center"/>
              <w:rPr>
                <w:rFonts w:eastAsiaTheme="minorEastAsia"/>
                <w:color w:themeColor="text1" w:val="000000"/>
                <w:kern w:val="0"/>
                <w:szCs w:val="21"/>
              </w:rPr>
            </w:pPr>
            <w:proofErr w:type="gramStart"/>
            <w:r w:rsidRPr="00D97CD7">
              <w:rPr>
                <w:rFonts w:eastAsiaTheme="minorEastAsia"/>
                <w:color w:themeColor="text1" w:val="000000"/>
                <w:kern w:val="0"/>
                <w:szCs w:val="21"/>
              </w:rPr>
              <w:t>任本基金</w:t>
            </w:r>
            <w:proofErr w:type="gramEnd"/>
            <w:r w:rsidRPr="00D97CD7">
              <w:rPr>
                <w:rFonts w:eastAsiaTheme="minorEastAsia"/>
                <w:color w:themeColor="text1" w:val="000000"/>
                <w:kern w:val="0"/>
                <w:szCs w:val="21"/>
              </w:rPr>
              <w:t>的基金经理期限</w:t>
            </w:r>
          </w:p>
        </w:tc>
        <w:tc>
          <w:tcPr>
            <w:tcW w:type="dxa" w:w="1254"/>
            <w:vMerge w:val="restart"/>
            <w:vAlign w:val="center"/>
          </w:tcPr>
          <w:p w14:paraId="7715328C" w14:textId="77777777" w:rsidR="00DB3887" w:rsidRDefault="00FC6961" w:rsidRPr="00D97CD7">
            <w:pPr>
              <w:autoSpaceDE w:val="0"/>
              <w:autoSpaceDN w:val="0"/>
              <w:adjustRightInd w:val="0"/>
              <w:spacing w:before="29" w:line="288"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证券从业年限</w:t>
            </w:r>
          </w:p>
        </w:tc>
        <w:tc>
          <w:tcPr>
            <w:tcW w:type="dxa" w:w="3276"/>
            <w:vMerge w:val="restart"/>
            <w:vAlign w:val="center"/>
          </w:tcPr>
          <w:p w14:paraId="03411328" w14:textId="77777777" w:rsidR="00DB3887" w:rsidRDefault="00FC6961" w:rsidRPr="00D97CD7">
            <w:pPr>
              <w:autoSpaceDE w:val="0"/>
              <w:autoSpaceDN w:val="0"/>
              <w:adjustRightInd w:val="0"/>
              <w:spacing w:before="29" w:line="288"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说明</w:t>
            </w:r>
          </w:p>
        </w:tc>
      </w:tr>
      <w:tr w14:paraId="26C7605C" w14:textId="77777777" w:rsidR="00DB3887" w:rsidRPr="00D97CD7">
        <w:tc>
          <w:tcPr>
            <w:tcW w:type="dxa" w:w="952"/>
            <w:vMerge/>
            <w:vAlign w:val="center"/>
          </w:tcPr>
          <w:p w14:paraId="7F8A9A91" w14:textId="77777777" w:rsidR="00DB3887" w:rsidRDefault="00DB3887" w:rsidRPr="00D97CD7">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0358AB89" w14:textId="77777777" w:rsidR="00DB3887" w:rsidRDefault="00DB3887" w:rsidRPr="00D97CD7">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7BB947CF" w14:textId="77777777" w:rsidR="00DB3887" w:rsidRDefault="00FC6961" w:rsidRPr="00D97CD7">
            <w:pPr>
              <w:autoSpaceDE w:val="0"/>
              <w:autoSpaceDN w:val="0"/>
              <w:adjustRightInd w:val="0"/>
              <w:spacing w:before="29" w:line="288"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任职日期</w:t>
            </w:r>
          </w:p>
        </w:tc>
        <w:tc>
          <w:tcPr>
            <w:tcW w:type="dxa" w:w="1309"/>
            <w:vAlign w:val="center"/>
          </w:tcPr>
          <w:p w14:paraId="0E04D460" w14:textId="77777777" w:rsidR="00DB3887" w:rsidRDefault="00FC6961" w:rsidRPr="00D97CD7">
            <w:pPr>
              <w:autoSpaceDE w:val="0"/>
              <w:autoSpaceDN w:val="0"/>
              <w:adjustRightInd w:val="0"/>
              <w:spacing w:before="29" w:line="288"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离任日期</w:t>
            </w:r>
          </w:p>
        </w:tc>
        <w:tc>
          <w:tcPr>
            <w:tcW w:type="dxa" w:w="1254"/>
            <w:vMerge/>
            <w:vAlign w:val="center"/>
          </w:tcPr>
          <w:p w14:paraId="6A542A3C" w14:textId="77777777" w:rsidR="00DB3887" w:rsidRDefault="00DB3887" w:rsidRPr="00D97CD7">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39E524F3" w14:textId="77777777" w:rsidR="00DB3887" w:rsidRDefault="00DB3887" w:rsidRPr="00D97CD7">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胡迪</w:t>
            </w:r>
          </w:p>
        </w:tc>
        <w:tc>
          <w:tcPr>
            <w:vAlign w:val="center"/>
          </w:tcPr>
          <w:p>
            <w:pPr>
              <w:jc w:val="center"/>
            </w:pPr>
            <w:r>
              <w:rPr>
                <w:rFonts w:eastAsiaTheme="minorEastAsia"/>
                <w:color w:themeColor="text1" w:val="000000"/>
                <w:szCs w:val="21"/>
              </w:rPr>
              <w:t>本基金基金经理、指数及量化投资部总监</w:t>
            </w:r>
          </w:p>
        </w:tc>
        <w:tc>
          <w:tcPr>
            <w:vAlign w:val="center"/>
          </w:tcPr>
          <w:p>
            <w:pPr>
              <w:jc w:val="center"/>
            </w:pPr>
            <w:r>
              <w:rPr>
                <w:rFonts w:eastAsiaTheme="minorEastAsia"/>
                <w:color w:themeColor="text1" w:val="000000"/>
                <w:szCs w:val="21"/>
              </w:rPr>
              <w:t>2021-01-07</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14年</w:t>
            </w:r>
          </w:p>
        </w:tc>
        <w:tc>
          <w:tcPr>
            <w:vAlign w:val="center"/>
          </w:tcPr>
          <w:p>
            <w:pPr>
              <w:jc w:val="both"/>
            </w:pPr>
            <w:r>
              <w:rPr>
                <w:rFonts w:eastAsiaTheme="minorEastAsia"/>
                <w:color w:themeColor="text1" w:val="000000"/>
                <w:szCs w:val="21"/>
              </w:rPr>
              <w:t>胡迪女士，CFA，FRM，美国哥伦比亚大学金融工程硕士，现任指数及量化投资部总监。胡迪女士自2008年2月至2009年12月在纽约美林证券担任全球资产管理部高级经理；自2010年1月至2012年10月在纽约标准普尔担任量化投资主管；自2012年11月至2020年4月在中国国际金融股份有限公司担任资产管理部执行总经理；自2020年5月加入上投摩根基金管理有限公司，现任指数及量化投资部总监，自2021年1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MSCI中国A股交易型开放式指数证券投资基金、上投摩根MSCI中国A股交易型开放式指数证券投资基金联接基金、上投摩根标普港股通低波红利指数型证券投资基金基金经理。</w:t>
            </w:r>
          </w:p>
        </w:tc>
      </w:tr>
      <w:tr>
        <w:tc>
          <w:tcPr>
            <w:vAlign w:val="center"/>
          </w:tcPr>
          <w:p>
            <w:pPr>
              <w:jc w:val="center"/>
            </w:pPr>
            <w:r>
              <w:rPr>
                <w:rFonts w:eastAsiaTheme="minorEastAsia"/>
                <w:color w:themeColor="text1" w:val="000000"/>
                <w:szCs w:val="21"/>
              </w:rPr>
              <w:t>何智豪</w:t>
            </w:r>
          </w:p>
        </w:tc>
        <w:tc>
          <w:tcPr>
            <w:vAlign w:val="center"/>
          </w:tcPr>
          <w:p>
            <w:pPr>
              <w:jc w:val="center"/>
            </w:pPr>
            <w:r>
              <w:rPr>
                <w:rFonts w:eastAsiaTheme="minorEastAsia"/>
                <w:color w:themeColor="text1" w:val="000000"/>
                <w:szCs w:val="21"/>
              </w:rPr>
              <w:t>本基金基金经理</w:t>
            </w:r>
          </w:p>
        </w:tc>
        <w:tc>
          <w:tcPr>
            <w:vAlign w:val="center"/>
          </w:tcPr>
          <w:p>
            <w:pPr>
              <w:jc w:val="center"/>
            </w:pPr>
            <w:r>
              <w:rPr>
                <w:rFonts w:eastAsiaTheme="minorEastAsia"/>
                <w:color w:themeColor="text1" w:val="000000"/>
                <w:szCs w:val="21"/>
              </w:rPr>
              <w:t>2021-02-19</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7年</w:t>
            </w:r>
          </w:p>
        </w:tc>
        <w:tc>
          <w:tcPr>
            <w:vAlign w:val="center"/>
          </w:tcPr>
          <w:p>
            <w:pPr>
              <w:jc w:val="both"/>
            </w:pPr>
            <w:r>
              <w:rPr>
                <w:rFonts w:eastAsiaTheme="minorEastAsia"/>
                <w:color w:themeColor="text1" w:val="000000"/>
                <w:szCs w:val="21"/>
              </w:rPr>
              <w:t>何智豪先生，复旦大学应用数学硕士，现任指数及量化投资部基金经理。何智豪先生自2014年7月至2020年7月，在中国国际金融股份有限公司担任组合与量化策略研究员、资产管理部高级经理；自2020年7月起加入上投摩根基金管理有限公司。自2021年2月起同时担任上投摩根量化多因子灵活配置混合型证券投资基金、上投摩根优选多因子股票型证券投资基金、上投摩根中证消费服务领先指数证券投资基金、上投摩根MSCI中国A股交易型开放式指数证券投资基金、上投摩根MSCI中国A股交易型开放式指数证券投资基金联接基金、上投摩根标普港股通低波红利指数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14:paraId="46F3507D" w14:textId="3ABE20BF"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gramEnd"/>
      <w:r w:rsidRPr="00D97CD7">
        <w:rPr>
          <w:rFonts w:eastAsiaTheme="minorEastAsia"/>
          <w:color w:themeColor="text1" w:val="000000"/>
          <w:szCs w:val="21"/>
        </w:rPr>
        <w:t>2. 证券从业的含义遵从行业协会《证券业从业人员资格管理办法》的相关规定。</w:t>
      </w:r>
    </w:p>
    <w:p w14:paraId="7F639429"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4.2</w:t>
      </w:r>
      <w:r w:rsidRPr="00D97CD7">
        <w:rPr>
          <w:rFonts w:eastAsiaTheme="minorEastAsia"/>
          <w:b/>
          <w:color w:themeColor="text1" w:val="000000"/>
          <w:kern w:val="0"/>
          <w:szCs w:val="21"/>
        </w:rPr>
        <w:t>管理人对报告期内本基金运作遵规守信情况的说明</w:t>
      </w:r>
    </w:p>
    <w:p w14:paraId="2A37F769"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MSCI中国A股交易型开放式指数证券投资基金联接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401B3D34"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xml:space="preserve">4.3 </w:t>
      </w:r>
      <w:r w:rsidRPr="00D97CD7">
        <w:rPr>
          <w:rFonts w:eastAsiaTheme="minorEastAsia"/>
          <w:b/>
          <w:color w:themeColor="text1" w:val="000000"/>
          <w:kern w:val="0"/>
          <w:szCs w:val="21"/>
        </w:rPr>
        <w:t>公平交易专项说明</w:t>
      </w:r>
    </w:p>
    <w:p w14:paraId="7007C75C" w14:textId="77777777" w:rsidR="00DB3887" w:rsidRDefault="00FC6961" w:rsidRPr="00D97CD7">
      <w:pPr>
        <w:spacing w:line="360" w:lineRule="auto"/>
        <w:rPr>
          <w:rFonts w:eastAsiaTheme="minorEastAsia"/>
          <w:color w:themeColor="text1" w:val="000000"/>
          <w:szCs w:val="21"/>
        </w:rPr>
      </w:pPr>
      <w:r w:rsidRPr="00D97CD7">
        <w:rPr>
          <w:rFonts w:eastAsiaTheme="minorEastAsia"/>
          <w:color w:themeColor="text1" w:val="000000"/>
          <w:szCs w:val="21"/>
        </w:rPr>
        <w:t xml:space="preserve">4.3.1 </w:t>
      </w:r>
      <w:r w:rsidRPr="00D97CD7">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577FB98"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16FBFB12" w14:textId="77777777" w:rsidR="00DB3887" w:rsidRDefault="00FC6961" w:rsidRPr="00D97CD7">
      <w:pPr>
        <w:spacing w:line="360" w:lineRule="auto"/>
        <w:rPr>
          <w:rFonts w:eastAsiaTheme="minorEastAsia"/>
          <w:color w:themeColor="text1" w:val="000000"/>
          <w:szCs w:val="21"/>
        </w:rPr>
      </w:pPr>
      <w:r w:rsidRPr="00D97CD7">
        <w:rPr>
          <w:rFonts w:eastAsiaTheme="minorEastAsia"/>
          <w:color w:themeColor="text1" w:val="000000"/>
          <w:szCs w:val="21"/>
        </w:rPr>
        <w:t xml:space="preserve">4.3.2 </w:t>
      </w:r>
      <w:r w:rsidRPr="00D97CD7">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5BDB96F6"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所有投资组合参与的交易所公开竞价同日反向交易成交较少的单边交易量超过该证券当日成交量的5%的情形：无。</w:t>
      </w:r>
    </w:p>
    <w:p w14:paraId="123B48C4"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xml:space="preserve">4.4 </w:t>
      </w:r>
      <w:r w:rsidRPr="00D97CD7">
        <w:rPr>
          <w:rFonts w:eastAsiaTheme="minorEastAsia"/>
          <w:b/>
          <w:color w:themeColor="text1" w:val="000000"/>
          <w:kern w:val="0"/>
          <w:szCs w:val="21"/>
        </w:rPr>
        <w:t>报告期内基金的投资策略和业绩表现说明</w:t>
      </w:r>
    </w:p>
    <w:p w14:paraId="0763422D" w14:textId="77777777" w:rsidR="00DB3887" w:rsidRDefault="00FC6961" w:rsidRPr="00D97CD7">
      <w:pPr>
        <w:spacing w:line="360" w:lineRule="auto"/>
        <w:rPr>
          <w:rFonts w:eastAsiaTheme="minorEastAsia"/>
          <w:color w:themeColor="text1" w:val="000000"/>
          <w:szCs w:val="21"/>
        </w:rPr>
      </w:pPr>
      <w:r w:rsidRPr="00D97CD7">
        <w:rPr>
          <w:rFonts w:eastAsiaTheme="minorEastAsia"/>
          <w:color w:themeColor="text1" w:val="000000"/>
          <w:szCs w:val="21"/>
        </w:rPr>
        <w:t>4.4.1</w:t>
      </w:r>
      <w:r w:rsidRPr="00D97CD7">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三季度，本基金跟踪的MSCI中国A股指数震荡下行，当季收跌5.15%，同期沪深300指数下跌6.85%。三季度，国内大宗商品价格显著上行，同时受“拉闸限电”影响，工业生产受到冲击，伴随7-8月份大范围的疫情防控政策升级，对服务和商品消费带来了新一轮的短期冲击。整个三季度结构化行情持续，周期板块表现突出，包括采掘、有色金属、钢铁，对应的申万一级行业指数涨幅分别为36.60%、23.11%、19.72%。本基金继续采用抽样复制的方法跟踪标的指数，跟踪误差保持在合理范围内。</w:t>
      </w:r>
    </w:p>
    <w:p w14:paraId="05EE69F4"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展望第四季度，如果疫情不再出现多地蔓延的情况，商品和服务消费有望不同程度企稳反弹，但预估外需对于国内经济的拉动作用会有边际上减弱，同时伴随着四季度煤炭、电力等大宗工业品供给有所增加，较三季度而言，工业生产和经济增长预期有所改善。但市场主要风险集中在疫情的反复和大宗商品供需缺口进一步加大。</w:t>
      </w:r>
    </w:p>
    <w:p w14:paraId="2663728F" w14:textId="77777777" w:rsidR="00DB3887" w:rsidRDefault="00FC6961" w:rsidRPr="00D97CD7">
      <w:pPr>
        <w:spacing w:line="360" w:lineRule="auto"/>
        <w:rPr>
          <w:rFonts w:eastAsiaTheme="minorEastAsia"/>
          <w:color w:themeColor="text1" w:val="000000"/>
          <w:szCs w:val="21"/>
        </w:rPr>
      </w:pPr>
      <w:r w:rsidRPr="00D97CD7">
        <w:rPr>
          <w:rFonts w:eastAsiaTheme="minorEastAsia"/>
          <w:color w:themeColor="text1" w:val="000000"/>
          <w:szCs w:val="21"/>
        </w:rPr>
        <w:t>4.4.2</w:t>
      </w:r>
      <w:r w:rsidRPr="00D97CD7">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本报告期上投摩根MSCI中国A股ETF联接A份额净值增长率为:-2.55%，同期业绩比较基准收益率为:-4.89%,</w:t>
      </w:r>
    </w:p>
    <w:p w14:paraId="502EA546"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上投摩根MSCI中国A股ETF联接C份额净值增长率为:-2.57%，同期业绩比较基准收益率为:-4.89%。</w:t>
      </w:r>
    </w:p>
    <w:p w14:paraId="288759A7" w14:textId="77777777" w:rsidR="00DB3887" w:rsidRDefault="00DB3887" w:rsidRPr="00D97CD7">
      <w:pPr>
        <w:spacing w:line="360" w:lineRule="auto"/>
        <w:ind w:firstLine="420" w:firstLineChars="200"/>
        <w:rPr>
          <w:rFonts w:eastAsiaTheme="minorEastAsia"/>
          <w:color w:themeColor="text1" w:val="000000"/>
          <w:szCs w:val="21"/>
        </w:rPr>
      </w:pPr>
    </w:p>
    <w:p w14:paraId="49C01F82" w14:textId="77777777" w:rsidR="00DB3887" w:rsidRDefault="00FC6961" w:rsidRPr="00D97CD7">
      <w:pPr>
        <w:spacing w:line="360" w:lineRule="auto"/>
        <w:rPr>
          <w:rFonts w:eastAsiaTheme="minorEastAsia"/>
          <w:color w:themeColor="text1" w:val="000000"/>
          <w:szCs w:val="21"/>
        </w:rPr>
      </w:pPr>
      <w:r w:rsidRPr="00D97CD7">
        <w:rPr>
          <w:rFonts w:eastAsiaTheme="minorEastAsia"/>
          <w:b/>
          <w:color w:themeColor="text1" w:val="000000"/>
          <w:kern w:val="0"/>
          <w:szCs w:val="21"/>
        </w:rPr>
        <w:t/>
      </w:r>
      <w:proofErr w:type="spellStart"/>
      <w:r w:rsidRPr="00D97CD7">
        <w:rPr>
          <w:rFonts w:eastAsiaTheme="minorEastAsia"/>
          <w:b/>
          <w:color w:themeColor="text1" w:val="000000"/>
          <w:kern w:val="0"/>
          <w:szCs w:val="21"/>
        </w:rPr>
        <w:t/>
      </w:r>
      <w:proofErr w:type="spellEnd"/>
      <w:r w:rsidRPr="00D97CD7">
        <w:rPr>
          <w:rFonts w:eastAsiaTheme="minorEastAsia"/>
          <w:b/>
          <w:color w:themeColor="text1" w:val="000000"/>
          <w:kern w:val="0"/>
          <w:szCs w:val="21"/>
        </w:rPr>
        <w:t>4.5</w:t>
      </w:r>
      <w:r w:rsidRPr="00D97CD7">
        <w:rPr>
          <w:rFonts w:eastAsiaTheme="minorEastAsia"/>
          <w:b/>
          <w:color w:themeColor="text1" w:val="000000"/>
          <w:kern w:val="0"/>
          <w:szCs w:val="21"/>
        </w:rPr>
        <w:t>报告期内基金持有人数或基金资产净值预警说明</w:t>
      </w:r>
    </w:p>
    <w:p w14:paraId="6A859511" w14:textId="77777777" w:rsidR="00DB3887" w:rsidRDefault="00FC6961" w:rsidRPr="00D97CD7">
      <w:pPr>
        <w:spacing w:line="360" w:lineRule="auto"/>
        <w:rPr>
          <w:rFonts w:eastAsiaTheme="minorEastAsia"/>
          <w:color w:themeColor="text1" w:val="000000"/>
          <w:szCs w:val="21"/>
        </w:rPr>
      </w:pPr>
      <w:r w:rsidRPr="00D97CD7">
        <w:rPr>
          <w:rFonts w:eastAsiaTheme="minorEastAsia"/>
          <w:color w:themeColor="text1" w:val="000000"/>
          <w:kern w:val="0"/>
          <w:szCs w:val="21"/>
        </w:rPr>
        <w:t/>
      </w:r>
      <w:r w:rsidRPr="00D97CD7">
        <w:rPr>
          <w:rFonts w:eastAsiaTheme="minorEastAsia"/>
          <w:color w:themeColor="text1" w:val="000000"/>
          <w:szCs w:val="21"/>
        </w:rPr>
        <w:t/>
      </w:r>
      <w:r w:rsidRPr="00D97CD7">
        <w:rPr>
          <w:rFonts w:eastAsiaTheme="minorEastAsia"/>
          <w:color w:themeColor="text1" w:val="000000"/>
          <w:kern w:val="0"/>
          <w:szCs w:val="21"/>
        </w:rPr>
        <w:t>无。</w:t>
      </w:r>
    </w:p>
    <w:p w14:paraId="21B49B06" w14:textId="77777777" w:rsidR="00DB3887" w:rsidRDefault="00FC6961" w:rsidRPr="00D97CD7">
      <w:pPr>
        <w:pStyle w:val="1"/>
        <w:spacing w:after="312" w:afterLines="100" w:before="312" w:beforeLines="100" w:line="360" w:lineRule="auto"/>
        <w:jc w:val="center"/>
        <w:rPr>
          <w:rFonts w:eastAsiaTheme="minorEastAsia"/>
          <w:color w:themeColor="text1" w:val="000000"/>
          <w:kern w:val="0"/>
          <w:sz w:val="21"/>
          <w:szCs w:val="21"/>
        </w:rPr>
      </w:pPr>
      <w:r w:rsidRPr="00D97CD7">
        <w:rPr>
          <w:rFonts w:eastAsiaTheme="minorEastAsia"/>
          <w:color w:themeColor="text1" w:val="000000"/>
          <w:kern w:val="0"/>
          <w:sz w:val="21"/>
          <w:szCs w:val="21"/>
        </w:rPr>
        <w:t xml:space="preserve">§5  </w:t>
      </w:r>
      <w:r w:rsidRPr="00D97CD7">
        <w:rPr>
          <w:rFonts w:eastAsiaTheme="minorEastAsia"/>
          <w:color w:themeColor="text1" w:val="000000"/>
          <w:kern w:val="0"/>
          <w:sz w:val="21"/>
          <w:szCs w:val="21"/>
        </w:rPr>
        <w:t>投资组合报告</w:t>
      </w:r>
    </w:p>
    <w:p w14:paraId="28ABF399" w14:textId="77777777" w:rsidR="00DB3887" w:rsidRDefault="00FC6961" w:rsidRPr="00D97CD7">
      <w:pPr>
        <w:autoSpaceDE w:val="0"/>
        <w:autoSpaceDN w:val="0"/>
        <w:adjustRightInd w:val="0"/>
        <w:spacing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xml:space="preserve">5.1 </w:t>
      </w:r>
      <w:r w:rsidRPr="00D97CD7">
        <w:rPr>
          <w:rFonts w:eastAsiaTheme="minorEastAsia"/>
          <w:b/>
          <w:color w:themeColor="text1" w:val="000000"/>
          <w:kern w:val="0"/>
          <w:szCs w:val="21"/>
        </w:rPr>
        <w:t>报告期末基金资产组合情况</w:t>
      </w:r>
    </w:p>
    <w:tbl>
      <w:tblPr>
        <w:tblStyle w:val="afa"/>
        <w:tblW w:type="dxa" w:w="8528"/>
        <w:tblInd w:type="dxa" w:w="108"/>
        <w:tblLayout w:type="fixed"/>
        <w:tblLook w:firstColumn="1" w:firstRow="1" w:lastColumn="0" w:lastRow="0" w:noHBand="0" w:noVBand="1" w:val="04A0"/>
      </w:tblPr>
      <w:tblGrid>
        <w:gridCol w:w="720"/>
        <w:gridCol w:w="3357"/>
        <w:gridCol w:w="2694"/>
        <w:gridCol w:w="1757"/>
      </w:tblGrid>
      <w:tr w14:paraId="57E5A0B1" w14:textId="77777777" w:rsidR="00DB3887" w:rsidRPr="00D97CD7">
        <w:tc>
          <w:tcPr>
            <w:tcW w:type="dxa" w:w="720"/>
            <w:vAlign w:val="center"/>
          </w:tcPr>
          <w:p w14:paraId="67ACF3D2"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序号</w:t>
            </w:r>
          </w:p>
        </w:tc>
        <w:tc>
          <w:tcPr>
            <w:tcW w:type="dxa" w:w="3357"/>
            <w:vAlign w:val="center"/>
          </w:tcPr>
          <w:p w14:paraId="7112A4D0"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项目</w:t>
            </w:r>
          </w:p>
        </w:tc>
        <w:tc>
          <w:tcPr>
            <w:tcW w:type="dxa" w:w="2694"/>
            <w:vAlign w:val="center"/>
          </w:tcPr>
          <w:p w14:paraId="7349C47C"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金额</w:t>
            </w:r>
            <w:r w:rsidRPr="00D97CD7">
              <w:rPr>
                <w:rFonts w:eastAsiaTheme="minorEastAsia"/>
                <w:color w:themeColor="text1" w:val="000000"/>
                <w:szCs w:val="21"/>
              </w:rPr>
              <w:t>(</w:t>
            </w:r>
            <w:r w:rsidRPr="00D97CD7">
              <w:rPr>
                <w:rFonts w:eastAsiaTheme="minorEastAsia"/>
                <w:color w:themeColor="text1" w:val="000000"/>
                <w:szCs w:val="21"/>
              </w:rPr>
              <w:t>元</w:t>
            </w:r>
            <w:r w:rsidRPr="00D97CD7">
              <w:rPr>
                <w:rFonts w:eastAsiaTheme="minorEastAsia"/>
                <w:color w:themeColor="text1" w:val="000000"/>
                <w:szCs w:val="21"/>
              </w:rPr>
              <w:t>)</w:t>
            </w:r>
          </w:p>
        </w:tc>
        <w:tc>
          <w:tcPr>
            <w:tcW w:type="dxa" w:w="1757"/>
            <w:vAlign w:val="center"/>
          </w:tcPr>
          <w:p w14:paraId="7003ABE0"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占基金总资产的比例</w:t>
            </w:r>
            <w:r w:rsidRPr="00D97CD7">
              <w:rPr>
                <w:rFonts w:eastAsiaTheme="minorEastAsia"/>
                <w:color w:themeColor="text1" w:val="000000"/>
                <w:szCs w:val="21"/>
              </w:rPr>
              <w:t>(%)</w:t>
            </w:r>
          </w:p>
        </w:tc>
      </w:tr>
      <w:tr w14:paraId="15368D3A" w14:textId="77777777" w:rsidR="00DB3887" w:rsidRPr="00D97CD7">
        <w:tc>
          <w:tcPr>
            <w:tcW w:type="dxa" w:w="720"/>
            <w:vAlign w:val="center"/>
          </w:tcPr>
          <w:p w14:paraId="1F528AEF"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1</w:t>
            </w:r>
          </w:p>
        </w:tc>
        <w:tc>
          <w:tcPr>
            <w:tcW w:type="dxa" w:w="3357"/>
            <w:vAlign w:val="center"/>
          </w:tcPr>
          <w:p w14:paraId="3CA8A421" w14:textId="77777777" w:rsidR="00DB3887" w:rsidRDefault="00FC6961" w:rsidRPr="00D97CD7">
            <w:pPr>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权益投资</w:t>
            </w:r>
          </w:p>
        </w:tc>
        <w:tc>
          <w:tcPr>
            <w:tcW w:type="dxa" w:w="2694"/>
            <w:vAlign w:val="center"/>
          </w:tcPr>
          <w:p w14:paraId="2CAD4D65"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c>
          <w:tcPr>
            <w:tcW w:type="dxa" w:w="1757"/>
            <w:vAlign w:val="center"/>
          </w:tcPr>
          <w:p w14:paraId="0F7EF981"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r>
      <w:tr w14:paraId="41AB4ACA" w14:textId="77777777" w:rsidR="00DB3887" w:rsidRPr="00D97CD7">
        <w:tc>
          <w:tcPr>
            <w:tcW w:type="dxa" w:w="720"/>
            <w:vAlign w:val="center"/>
          </w:tcPr>
          <w:p w14:paraId="68D4A8DC" w14:textId="77777777" w:rsidR="00DB3887" w:rsidRDefault="00DB3887" w:rsidRPr="00D97CD7">
            <w:pPr>
              <w:spacing w:before="29" w:line="360" w:lineRule="auto"/>
              <w:ind w:left="17"/>
              <w:jc w:val="center"/>
              <w:rPr>
                <w:rFonts w:eastAsiaTheme="minorEastAsia"/>
                <w:color w:themeColor="text1" w:val="000000"/>
                <w:szCs w:val="21"/>
              </w:rPr>
            </w:pPr>
          </w:p>
        </w:tc>
        <w:tc>
          <w:tcPr>
            <w:tcW w:type="dxa" w:w="3357"/>
            <w:vAlign w:val="center"/>
          </w:tcPr>
          <w:p w14:paraId="415EE201" w14:textId="77777777" w:rsidR="00DB3887" w:rsidRDefault="00FC6961" w:rsidRPr="00D97CD7">
            <w:pPr>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其中：股票</w:t>
            </w:r>
          </w:p>
        </w:tc>
        <w:tc>
          <w:tcPr>
            <w:tcW w:type="dxa" w:w="2694"/>
            <w:vAlign w:val="center"/>
          </w:tcPr>
          <w:p w14:paraId="70111149"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c>
          <w:tcPr>
            <w:tcW w:type="dxa" w:w="1757"/>
            <w:vAlign w:val="center"/>
          </w:tcPr>
          <w:p w14:paraId="59D0FDF3"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r>
      <w:tr w14:paraId="248A40BB" w14:textId="77777777" w:rsidR="00DB3887" w:rsidRPr="00D97CD7">
        <w:tc>
          <w:tcPr>
            <w:tcW w:type="dxa" w:w="720"/>
            <w:vAlign w:val="center"/>
          </w:tcPr>
          <w:p w14:paraId="6360F65B"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2</w:t>
            </w:r>
          </w:p>
        </w:tc>
        <w:tc>
          <w:tcPr>
            <w:tcW w:type="dxa" w:w="3357"/>
            <w:vAlign w:val="center"/>
          </w:tcPr>
          <w:p w14:paraId="19D7EC22" w14:textId="77777777" w:rsidR="00DB3887" w:rsidRDefault="00FC6961" w:rsidRPr="00D97CD7">
            <w:pPr>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基金投资</w:t>
            </w:r>
          </w:p>
        </w:tc>
        <w:tc>
          <w:tcPr>
            <w:tcW w:type="dxa" w:w="2694"/>
            <w:vAlign w:val="center"/>
          </w:tcPr>
          <w:p w14:paraId="0B8A9D7C"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58,451,675.94</w:t>
            </w:r>
          </w:p>
        </w:tc>
        <w:tc>
          <w:tcPr>
            <w:tcW w:type="dxa" w:w="1757"/>
            <w:vAlign w:val="center"/>
          </w:tcPr>
          <w:p w14:paraId="5FC85C50"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92.77</w:t>
            </w:r>
          </w:p>
        </w:tc>
      </w:tr>
      <w:tr w14:paraId="26E9F493" w14:textId="77777777" w:rsidR="00DB3887" w:rsidRPr="00D97CD7">
        <w:tc>
          <w:tcPr>
            <w:tcW w:type="dxa" w:w="720"/>
            <w:vAlign w:val="center"/>
          </w:tcPr>
          <w:p w14:paraId="66E20D57"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3</w:t>
            </w:r>
          </w:p>
        </w:tc>
        <w:tc>
          <w:tcPr>
            <w:tcW w:type="dxa" w:w="3357"/>
            <w:vAlign w:val="center"/>
          </w:tcPr>
          <w:p w14:paraId="0926A06B" w14:textId="77777777" w:rsidR="00DB3887" w:rsidRDefault="00FC6961" w:rsidRPr="00D97CD7">
            <w:pPr>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固定收益投资</w:t>
            </w:r>
          </w:p>
        </w:tc>
        <w:tc>
          <w:tcPr>
            <w:tcW w:type="dxa" w:w="2694"/>
            <w:vAlign w:val="center"/>
          </w:tcPr>
          <w:p w14:paraId="29E4EC3C"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c>
          <w:tcPr>
            <w:tcW w:type="dxa" w:w="1757"/>
            <w:vAlign w:val="center"/>
          </w:tcPr>
          <w:p w14:paraId="4E477896"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r w:rsidRPr="00D97CD7">
              <w:rPr>
                <w:rFonts w:eastAsiaTheme="minorEastAsia"/>
                <w:color w:themeColor="text1" w:val="000000"/>
                <w:szCs w:val="21"/>
              </w:rPr>
              <w:lastRenderedPageBreak/>
              <w:t>-</w:t>
            </w:r>
          </w:p>
        </w:tc>
      </w:tr>
      <w:tr w14:paraId="6E7A352A" w14:textId="77777777" w:rsidR="00DB3887" w:rsidRPr="00D97CD7">
        <w:tc>
          <w:tcPr>
            <w:tcW w:type="dxa" w:w="720"/>
            <w:vAlign w:val="center"/>
          </w:tcPr>
          <w:p w14:paraId="78587C52" w14:textId="77777777" w:rsidR="00DB3887" w:rsidRDefault="00DB3887" w:rsidRPr="00D97CD7">
            <w:pPr>
              <w:spacing w:before="29" w:line="360" w:lineRule="auto"/>
              <w:ind w:left="17"/>
              <w:jc w:val="center"/>
              <w:rPr>
                <w:rFonts w:eastAsiaTheme="minorEastAsia"/>
                <w:color w:themeColor="text1" w:val="000000"/>
                <w:szCs w:val="21"/>
              </w:rPr>
            </w:pPr>
          </w:p>
        </w:tc>
        <w:tc>
          <w:tcPr>
            <w:tcW w:type="dxa" w:w="3357"/>
            <w:vAlign w:val="center"/>
          </w:tcPr>
          <w:p w14:paraId="75A65C95" w14:textId="77777777" w:rsidR="00DB3887" w:rsidRDefault="00FC6961" w:rsidRPr="00D97CD7">
            <w:pPr>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其中：债券</w:t>
            </w:r>
          </w:p>
        </w:tc>
        <w:tc>
          <w:tcPr>
            <w:tcW w:type="dxa" w:w="2694"/>
            <w:vAlign w:val="center"/>
          </w:tcPr>
          <w:p w14:paraId="0A3AB7A5"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c>
          <w:tcPr>
            <w:tcW w:type="dxa" w:w="1757"/>
            <w:vAlign w:val="center"/>
          </w:tcPr>
          <w:p w14:paraId="09A3DDA2"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w:t>
            </w:r>
          </w:p>
        </w:tc>
      </w:tr>
      <w:tr w14:paraId="14E2E4A9" w14:textId="77777777" w:rsidR="00DB3887" w:rsidRPr="00D97CD7">
        <w:tc>
          <w:tcPr>
            <w:tcW w:type="dxa" w:w="720"/>
            <w:vAlign w:val="center"/>
          </w:tcPr>
          <w:p w14:paraId="615677A1" w14:textId="77777777" w:rsidR="00DB3887" w:rsidRDefault="00DB3887" w:rsidRPr="00D97CD7">
            <w:pPr>
              <w:spacing w:before="29" w:line="360" w:lineRule="auto"/>
              <w:ind w:left="17"/>
              <w:jc w:val="center"/>
              <w:rPr>
                <w:rFonts w:eastAsiaTheme="minorEastAsia"/>
                <w:color w:themeColor="text1" w:val="000000"/>
                <w:szCs w:val="21"/>
              </w:rPr>
            </w:pPr>
          </w:p>
        </w:tc>
        <w:tc>
          <w:tcPr>
            <w:tcW w:type="dxa" w:w="3357"/>
            <w:vAlign w:val="center"/>
          </w:tcPr>
          <w:p w14:paraId="4D384091" w14:textId="77777777" w:rsidR="00DB3887" w:rsidRDefault="00FC6961" w:rsidRPr="00D97CD7">
            <w:pPr>
              <w:autoSpaceDE w:val="0"/>
              <w:autoSpaceDN w:val="0"/>
              <w:adjustRightInd w:val="0"/>
              <w:spacing w:before="29" w:line="360" w:lineRule="auto"/>
              <w:ind w:firstLine="630" w:firstLineChars="300" w:left="17"/>
              <w:jc w:val="left"/>
              <w:rPr>
                <w:rFonts w:eastAsiaTheme="minorEastAsia"/>
                <w:color w:themeColor="text1" w:val="000000"/>
                <w:szCs w:val="21"/>
              </w:rPr>
            </w:pPr>
            <w:r w:rsidRPr="00D97CD7">
              <w:rPr>
                <w:rFonts w:eastAsiaTheme="minorEastAsia"/>
                <w:color w:themeColor="text1" w:val="000000"/>
                <w:szCs w:val="21"/>
              </w:rPr>
              <w:t>资产支持证券</w:t>
            </w:r>
          </w:p>
        </w:tc>
        <w:tc>
          <w:tcPr>
            <w:tcW w:type="dxa" w:w="2694"/>
            <w:vAlign w:val="center"/>
          </w:tcPr>
          <w:p w14:paraId="0211D5CB"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c>
          <w:tcPr>
            <w:tcW w:type="dxa" w:w="1757"/>
            <w:vAlign w:val="center"/>
          </w:tcPr>
          <w:p w14:paraId="01437B6E"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w:t>
            </w:r>
          </w:p>
        </w:tc>
      </w:tr>
      <w:tr w14:paraId="7402551B" w14:textId="77777777" w:rsidR="00DB3887" w:rsidRPr="00D97CD7">
        <w:tc>
          <w:tcPr>
            <w:tcW w:type="dxa" w:w="720"/>
          </w:tcPr>
          <w:p w14:paraId="5F6AEC9F"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4</w:t>
            </w:r>
          </w:p>
        </w:tc>
        <w:tc>
          <w:tcPr>
            <w:tcW w:type="dxa" w:w="3357"/>
          </w:tcPr>
          <w:p w14:paraId="2404768C" w14:textId="77777777" w:rsidR="00DB3887" w:rsidRDefault="00FC6961" w:rsidRPr="00D97CD7">
            <w:pPr>
              <w:spacing w:before="29" w:line="360" w:lineRule="auto"/>
              <w:ind w:left="105" w:leftChars="50"/>
              <w:rPr>
                <w:rFonts w:eastAsiaTheme="minorEastAsia"/>
                <w:color w:themeColor="text1" w:val="000000"/>
                <w:szCs w:val="21"/>
              </w:rPr>
            </w:pPr>
            <w:r w:rsidRPr="00D97CD7">
              <w:rPr>
                <w:rFonts w:eastAsiaTheme="minorEastAsia"/>
                <w:color w:themeColor="text1" w:val="000000"/>
                <w:szCs w:val="21"/>
              </w:rPr>
              <w:t>贵金属投资</w:t>
            </w:r>
          </w:p>
        </w:tc>
        <w:tc>
          <w:tcPr>
            <w:tcW w:type="dxa" w:w="2694"/>
            <w:vAlign w:val="center"/>
          </w:tcPr>
          <w:p w14:paraId="5A449C4B"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c>
          <w:tcPr>
            <w:tcW w:type="dxa" w:w="1757"/>
            <w:vAlign w:val="center"/>
          </w:tcPr>
          <w:p w14:paraId="152CD55F"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r>
      <w:tr w14:paraId="51356B49" w14:textId="77777777" w:rsidR="00DB3887" w:rsidRPr="00D97CD7">
        <w:tc>
          <w:tcPr>
            <w:tcW w:type="dxa" w:w="720"/>
            <w:vAlign w:val="center"/>
          </w:tcPr>
          <w:p w14:paraId="1887E479"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5</w:t>
            </w:r>
          </w:p>
        </w:tc>
        <w:tc>
          <w:tcPr>
            <w:tcW w:type="dxa" w:w="3357"/>
            <w:vAlign w:val="center"/>
          </w:tcPr>
          <w:p w14:paraId="3054AC95" w14:textId="77777777" w:rsidR="00DB3887" w:rsidRDefault="00FC6961" w:rsidRPr="00D97CD7">
            <w:pPr>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金融衍生</w:t>
            </w:r>
            <w:proofErr w:type="gramStart"/>
            <w:r w:rsidRPr="00D97CD7">
              <w:rPr>
                <w:rFonts w:eastAsiaTheme="minorEastAsia"/>
                <w:color w:themeColor="text1" w:val="000000"/>
                <w:szCs w:val="21"/>
              </w:rPr>
              <w:t>品投资</w:t>
            </w:r>
            <w:proofErr w:type="gramEnd"/>
          </w:p>
        </w:tc>
        <w:tc>
          <w:tcPr>
            <w:tcW w:type="dxa" w:w="2694"/>
            <w:vAlign w:val="center"/>
          </w:tcPr>
          <w:p w14:paraId="3B6D9391"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c>
          <w:tcPr>
            <w:tcW w:type="dxa" w:w="1757"/>
            <w:vAlign w:val="center"/>
          </w:tcPr>
          <w:p w14:paraId="75C2E76E"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w:t>
            </w:r>
          </w:p>
        </w:tc>
      </w:tr>
      <w:tr w14:paraId="275568F2" w14:textId="77777777" w:rsidR="00DB3887" w:rsidRPr="00D97CD7">
        <w:tc>
          <w:tcPr>
            <w:tcW w:type="dxa" w:w="720"/>
            <w:vAlign w:val="center"/>
          </w:tcPr>
          <w:p w14:paraId="0961A0F8"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6</w:t>
            </w:r>
          </w:p>
        </w:tc>
        <w:tc>
          <w:tcPr>
            <w:tcW w:type="dxa" w:w="3357"/>
            <w:vAlign w:val="center"/>
          </w:tcPr>
          <w:p w14:paraId="01690E95" w14:textId="77777777" w:rsidR="00DB3887" w:rsidRDefault="00FC6961" w:rsidRPr="00D97CD7">
            <w:pPr>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买入返售金融资产</w:t>
            </w:r>
          </w:p>
        </w:tc>
        <w:tc>
          <w:tcPr>
            <w:tcW w:type="dxa" w:w="2694"/>
            <w:vAlign w:val="center"/>
          </w:tcPr>
          <w:p w14:paraId="36611E5B"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c>
          <w:tcPr>
            <w:tcW w:type="dxa" w:w="1757"/>
            <w:vAlign w:val="center"/>
          </w:tcPr>
          <w:p w14:paraId="46D653B0"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w:t>
            </w:r>
          </w:p>
        </w:tc>
      </w:tr>
      <w:tr w14:paraId="1C452E0A" w14:textId="77777777" w:rsidR="00DB3887" w:rsidRPr="00D97CD7">
        <w:tc>
          <w:tcPr>
            <w:tcW w:type="dxa" w:w="720"/>
            <w:vAlign w:val="center"/>
          </w:tcPr>
          <w:p w14:paraId="12A7D5DF" w14:textId="77777777" w:rsidR="00DB3887" w:rsidRDefault="00DB3887" w:rsidRPr="00D97CD7">
            <w:pPr>
              <w:spacing w:before="29" w:line="360" w:lineRule="auto"/>
              <w:ind w:left="17"/>
              <w:jc w:val="center"/>
              <w:rPr>
                <w:rFonts w:eastAsiaTheme="minorEastAsia"/>
                <w:color w:themeColor="text1" w:val="000000"/>
                <w:szCs w:val="21"/>
              </w:rPr>
            </w:pPr>
          </w:p>
        </w:tc>
        <w:tc>
          <w:tcPr>
            <w:tcW w:type="dxa" w:w="3357"/>
            <w:vAlign w:val="center"/>
          </w:tcPr>
          <w:p w14:paraId="4BC48A34" w14:textId="77777777" w:rsidR="00DB3887" w:rsidRDefault="00FC6961" w:rsidRPr="00D97CD7">
            <w:pPr>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其中：买断式回购的买入返售金融资产</w:t>
            </w:r>
          </w:p>
        </w:tc>
        <w:tc>
          <w:tcPr>
            <w:tcW w:type="dxa" w:w="2694"/>
            <w:vAlign w:val="center"/>
          </w:tcPr>
          <w:p w14:paraId="4DF6BD96"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w:t>
            </w:r>
          </w:p>
        </w:tc>
        <w:tc>
          <w:tcPr>
            <w:tcW w:type="dxa" w:w="1757"/>
            <w:vAlign w:val="center"/>
          </w:tcPr>
          <w:p w14:paraId="0DD41563"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w:t>
            </w:r>
          </w:p>
        </w:tc>
      </w:tr>
      <w:tr w14:paraId="7189C720" w14:textId="77777777" w:rsidR="00DB3887" w:rsidRPr="00D97CD7">
        <w:tc>
          <w:tcPr>
            <w:tcW w:type="dxa" w:w="720"/>
            <w:vAlign w:val="center"/>
          </w:tcPr>
          <w:p w14:paraId="2503FC84"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7</w:t>
            </w:r>
          </w:p>
        </w:tc>
        <w:tc>
          <w:tcPr>
            <w:tcW w:type="dxa" w:w="3357"/>
            <w:vAlign w:val="center"/>
          </w:tcPr>
          <w:p w14:paraId="24FB275A" w14:textId="77777777" w:rsidR="00DB3887" w:rsidRDefault="00FC6961" w:rsidRPr="00D97CD7">
            <w:pPr>
              <w:spacing w:before="29" w:line="360" w:lineRule="auto"/>
              <w:ind w:left="17"/>
              <w:jc w:val="left"/>
              <w:rPr>
                <w:rFonts w:eastAsiaTheme="minorEastAsia"/>
                <w:color w:themeColor="text1" w:val="000000"/>
                <w:szCs w:val="21"/>
              </w:rPr>
            </w:pPr>
            <w:r w:rsidRPr="00D97CD7">
              <w:rPr>
                <w:rFonts w:eastAsiaTheme="minorEastAsia"/>
                <w:color w:themeColor="text1" w:val="000000"/>
                <w:szCs w:val="21"/>
              </w:rPr>
              <w:t>银行存款和结算备付金合计</w:t>
            </w:r>
          </w:p>
        </w:tc>
        <w:tc>
          <w:tcPr>
            <w:tcW w:type="dxa" w:w="2694"/>
            <w:vAlign w:val="center"/>
          </w:tcPr>
          <w:p w14:paraId="5221618A"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3,692,428.26</w:t>
            </w:r>
          </w:p>
        </w:tc>
        <w:tc>
          <w:tcPr>
            <w:tcW w:type="dxa" w:w="1757"/>
            <w:vAlign w:val="center"/>
          </w:tcPr>
          <w:p w14:paraId="65A7CDA9" w14:textId="77777777" w:rsidR="00DB3887" w:rsidRDefault="00FC6961" w:rsidRPr="00D97CD7">
            <w:pPr>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5.86</w:t>
            </w:r>
          </w:p>
        </w:tc>
      </w:tr>
      <w:tr w14:paraId="3DDDDB7E" w14:textId="77777777" w:rsidR="00DB3887" w:rsidRPr="00D97CD7">
        <w:tc>
          <w:tcPr>
            <w:tcW w:type="dxa" w:w="720"/>
            <w:vAlign w:val="center"/>
          </w:tcPr>
          <w:p w14:paraId="734FF6AE"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8</w:t>
            </w:r>
          </w:p>
        </w:tc>
        <w:tc>
          <w:tcPr>
            <w:tcW w:type="dxa" w:w="3357"/>
            <w:vAlign w:val="center"/>
          </w:tcPr>
          <w:p w14:paraId="5DB75F47"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其他各项资产</w:t>
            </w:r>
          </w:p>
        </w:tc>
        <w:tc>
          <w:tcPr>
            <w:tcW w:type="dxa" w:w="2694"/>
            <w:vAlign w:val="center"/>
          </w:tcPr>
          <w:p w14:paraId="5ECF208D" w14:textId="77777777" w:rsidR="00DB3887" w:rsidRDefault="00FC6961" w:rsidRPr="00D97CD7">
            <w:pPr>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861,520.14</w:t>
            </w:r>
          </w:p>
        </w:tc>
        <w:tc>
          <w:tcPr>
            <w:tcW w:type="dxa" w:w="1757"/>
            <w:vAlign w:val="center"/>
          </w:tcPr>
          <w:p w14:paraId="4B20A16E" w14:textId="77777777" w:rsidR="00DB3887" w:rsidRDefault="00FC6961" w:rsidRPr="00D97CD7">
            <w:pPr>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1.37</w:t>
            </w:r>
          </w:p>
        </w:tc>
      </w:tr>
      <w:tr w14:paraId="30A8521B" w14:textId="77777777" w:rsidR="00DB3887" w:rsidRPr="00D97CD7">
        <w:tc>
          <w:tcPr>
            <w:tcW w:type="dxa" w:w="720"/>
            <w:vAlign w:val="center"/>
          </w:tcPr>
          <w:p w14:paraId="033A4526" w14:textId="77777777" w:rsidR="00DB3887" w:rsidRDefault="00FC6961" w:rsidRPr="00D97CD7">
            <w:pPr>
              <w:spacing w:before="29" w:line="360" w:lineRule="auto"/>
              <w:ind w:left="17"/>
              <w:jc w:val="center"/>
              <w:rPr>
                <w:rFonts w:eastAsiaTheme="minorEastAsia"/>
                <w:color w:themeColor="text1" w:val="000000"/>
                <w:szCs w:val="21"/>
              </w:rPr>
            </w:pPr>
            <w:r w:rsidRPr="00D97CD7">
              <w:rPr>
                <w:rFonts w:eastAsiaTheme="minorEastAsia"/>
                <w:color w:themeColor="text1" w:val="000000"/>
                <w:szCs w:val="21"/>
              </w:rPr>
              <w:t>9</w:t>
            </w:r>
          </w:p>
        </w:tc>
        <w:tc>
          <w:tcPr>
            <w:tcW w:type="dxa" w:w="3357"/>
            <w:vAlign w:val="center"/>
          </w:tcPr>
          <w:p w14:paraId="6D7B6425" w14:textId="77777777" w:rsidR="00DB3887" w:rsidRDefault="00FC6961" w:rsidRPr="00D97CD7">
            <w:pPr>
              <w:jc w:val="left"/>
              <w:rPr>
                <w:rFonts w:eastAsiaTheme="minorEastAsia"/>
                <w:color w:themeColor="text1" w:val="000000"/>
                <w:szCs w:val="21"/>
              </w:rPr>
            </w:pPr>
            <w:r w:rsidRPr="00D97CD7">
              <w:rPr>
                <w:rFonts w:eastAsiaTheme="minorEastAsia"/>
                <w:color w:themeColor="text1" w:val="000000"/>
                <w:szCs w:val="21"/>
              </w:rPr>
              <w:t>合计</w:t>
            </w:r>
          </w:p>
        </w:tc>
        <w:tc>
          <w:tcPr>
            <w:tcW w:type="dxa" w:w="2694"/>
            <w:vAlign w:val="center"/>
          </w:tcPr>
          <w:p w14:paraId="31BDD921" w14:textId="77777777" w:rsidR="00DB3887" w:rsidRDefault="00FC6961" w:rsidRPr="00D97CD7">
            <w:pPr>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63,005,624.34</w:t>
            </w:r>
          </w:p>
        </w:tc>
        <w:tc>
          <w:tcPr>
            <w:tcW w:type="dxa" w:w="1757"/>
            <w:vAlign w:val="center"/>
          </w:tcPr>
          <w:p w14:paraId="5B3F90F1" w14:textId="77777777" w:rsidR="00DB3887" w:rsidRDefault="00FC6961" w:rsidRPr="00D97CD7">
            <w:pPr>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100.00</w:t>
            </w:r>
          </w:p>
        </w:tc>
      </w:tr>
    </w:tbl>
    <w:p w14:paraId="179A94C2"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5.2</w:t>
      </w:r>
      <w:r w:rsidRPr="00D97CD7">
        <w:rPr>
          <w:rFonts w:eastAsiaTheme="minorEastAsia"/>
          <w:b/>
          <w:color w:themeColor="text1" w:val="000000"/>
          <w:kern w:val="0"/>
          <w:szCs w:val="21"/>
        </w:rPr>
        <w:t>期末投资目标基金明细</w:t>
      </w:r>
    </w:p>
    <w:tbl>
      <w:tblPr>
        <w:tblStyle w:val="afa"/>
        <w:tblW w:type="dxa" w:w="8928"/>
        <w:tblInd w:type="dxa" w:w="108"/>
        <w:tblLayout w:type="fixed"/>
        <w:tblLook w:firstColumn="1" w:firstRow="1" w:lastColumn="0" w:lastRow="0" w:noHBand="0" w:noVBand="1" w:val="04A0"/>
      </w:tblPr>
      <w:tblGrid>
        <w:gridCol w:w="1238"/>
        <w:gridCol w:w="1239"/>
        <w:gridCol w:w="1240"/>
        <w:gridCol w:w="1240"/>
        <w:gridCol w:w="1240"/>
        <w:gridCol w:w="1241"/>
        <w:gridCol w:w="1490"/>
      </w:tblGrid>
      <w:tr w14:paraId="527B36BB" w14:textId="77777777" w:rsidR="00DB3887" w:rsidRPr="00D97CD7">
        <w:tc>
          <w:tcPr>
            <w:tcW w:type="dxa" w:w="1238"/>
            <w:vAlign w:val="center"/>
          </w:tcPr>
          <w:p w14:paraId="20498D8D"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序号</w:t>
            </w:r>
          </w:p>
        </w:tc>
        <w:tc>
          <w:tcPr>
            <w:tcW w:type="dxa" w:w="1239"/>
            <w:vAlign w:val="center"/>
          </w:tcPr>
          <w:p w14:paraId="40C8211B"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基金名称</w:t>
            </w:r>
          </w:p>
        </w:tc>
        <w:tc>
          <w:tcPr>
            <w:tcW w:type="dxa" w:w="1240"/>
            <w:vAlign w:val="center"/>
          </w:tcPr>
          <w:p w14:paraId="58AADC34"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基金类型</w:t>
            </w:r>
          </w:p>
        </w:tc>
        <w:tc>
          <w:tcPr>
            <w:tcW w:type="dxa" w:w="1240"/>
            <w:vAlign w:val="center"/>
          </w:tcPr>
          <w:p w14:paraId="2DCE971A"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运作方式</w:t>
            </w:r>
          </w:p>
        </w:tc>
        <w:tc>
          <w:tcPr>
            <w:tcW w:type="dxa" w:w="1240"/>
            <w:vAlign w:val="center"/>
          </w:tcPr>
          <w:p w14:paraId="69877C9C"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管理人</w:t>
            </w:r>
          </w:p>
        </w:tc>
        <w:tc>
          <w:tcPr>
            <w:tcW w:type="dxa" w:w="1241"/>
            <w:vAlign w:val="center"/>
          </w:tcPr>
          <w:p w14:paraId="0DC46768"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公允价值</w:t>
            </w:r>
          </w:p>
        </w:tc>
        <w:tc>
          <w:tcPr>
            <w:tcW w:type="dxa" w:w="1490"/>
            <w:vAlign w:val="center"/>
          </w:tcPr>
          <w:p w14:paraId="42BFC87D"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kern w:val="0"/>
                <w:szCs w:val="21"/>
              </w:rPr>
            </w:pPr>
            <w:r w:rsidRPr="00D97CD7">
              <w:rPr>
                <w:rFonts w:eastAsiaTheme="minorEastAsia"/>
                <w:color w:themeColor="text1" w:val="000000"/>
                <w:kern w:val="0"/>
                <w:szCs w:val="21"/>
              </w:rPr>
              <w:t>占基金资产净值比例（</w:t>
            </w:r>
            <w:r w:rsidRPr="00D97CD7">
              <w:rPr>
                <w:rFonts w:eastAsiaTheme="minorEastAsia"/>
                <w:color w:themeColor="text1" w:val="000000"/>
                <w:kern w:val="0"/>
                <w:szCs w:val="21"/>
              </w:rPr>
              <w:t>%</w:t>
            </w:r>
            <w:r w:rsidRPr="00D97CD7">
              <w:rPr>
                <w:rFonts w:eastAsiaTheme="minorEastAsia"/>
                <w:color w:themeColor="text1" w:val="000000"/>
                <w:kern w:val="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上投摩根MSCI中国A股ETF</w:t>
            </w:r>
          </w:p>
        </w:tc>
        <w:tc>
          <w:tcPr>
            <w:vAlign w:val="center"/>
          </w:tcPr>
          <w:p>
            <w:pPr>
              <w:jc w:val="center"/>
            </w:pPr>
            <w:r>
              <w:rPr>
                <w:rFonts w:eastAsiaTheme="minorEastAsia"/>
                <w:color w:themeColor="text1" w:val="000000"/>
                <w:szCs w:val="21"/>
              </w:rPr>
              <w:t>股票型</w:t>
            </w:r>
          </w:p>
        </w:tc>
        <w:tc>
          <w:tcPr>
            <w:vAlign w:val="center"/>
          </w:tcPr>
          <w:p>
            <w:pPr>
              <w:jc w:val="center"/>
            </w:pPr>
            <w:r>
              <w:rPr>
                <w:rFonts w:eastAsiaTheme="minorEastAsia"/>
                <w:color w:themeColor="text1" w:val="000000"/>
                <w:szCs w:val="21"/>
              </w:rPr>
              <w:t>交易型开放式</w:t>
            </w:r>
          </w:p>
        </w:tc>
        <w:tc>
          <w:tcPr>
            <w:vAlign w:val="center"/>
          </w:tcPr>
          <w:p>
            <w:pPr>
              <w:jc w:val="center"/>
            </w:pPr>
            <w:r>
              <w:rPr>
                <w:rFonts w:eastAsiaTheme="minorEastAsia"/>
                <w:color w:themeColor="text1" w:val="000000"/>
                <w:szCs w:val="21"/>
              </w:rPr>
              <w:t>上投摩根基金管理有限公司</w:t>
            </w:r>
          </w:p>
        </w:tc>
        <w:tc>
          <w:tcPr>
            <w:vAlign w:val="center"/>
          </w:tcPr>
          <w:p>
            <w:pPr>
              <w:jc w:val="right"/>
            </w:pPr>
            <w:r>
              <w:rPr>
                <w:rFonts w:eastAsiaTheme="minorEastAsia"/>
                <w:color w:themeColor="text1" w:val="000000"/>
                <w:szCs w:val="21"/>
              </w:rPr>
              <w:t>58,451,675.94</w:t>
            </w:r>
          </w:p>
        </w:tc>
        <w:tc>
          <w:tcPr>
            <w:vAlign w:val="center"/>
          </w:tcPr>
          <w:p>
            <w:pPr>
              <w:jc w:val="right"/>
            </w:pPr>
            <w:r>
              <w:rPr>
                <w:rFonts w:eastAsiaTheme="minorEastAsia"/>
                <w:color w:themeColor="text1" w:val="000000"/>
                <w:szCs w:val="21"/>
              </w:rPr>
              <w:t>94.88</w:t>
            </w:r>
          </w:p>
        </w:tc>
      </w:tr>
    </w:tbl>
    <w:p w14:paraId="59D2B60E"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xml:space="preserve">5.3 </w:t>
      </w:r>
      <w:r w:rsidRPr="00D97CD7">
        <w:rPr>
          <w:rFonts w:eastAsiaTheme="minorEastAsia"/>
          <w:b/>
          <w:color w:themeColor="text1" w:val="000000"/>
          <w:kern w:val="0"/>
          <w:szCs w:val="21"/>
        </w:rPr>
        <w:t>报告期末按行业分类的股票投资组合</w:t>
      </w:r>
    </w:p>
    <w:p w14:paraId="039F2F5A" w14:textId="77777777" w:rsidR="00DB3887" w:rsidRDefault="00FC6961" w:rsidRPr="00D97CD7">
      <w:pPr>
        <w:rPr>
          <w:b/>
        </w:rPr>
      </w:pPr>
      <w:r w:rsidRPr="00D97CD7">
        <w:rPr>
          <w:b/>
          <w:color w:themeColor="text1" w:val="000000"/>
          <w:szCs w:val="21"/>
        </w:rPr>
        <w:t/>
      </w:r>
      <w:proofErr w:type="spellStart"/>
      <w:r w:rsidRPr="00D97CD7">
        <w:rPr>
          <w:b/>
          <w:color w:themeColor="text1" w:val="000000"/>
          <w:szCs w:val="21"/>
        </w:rPr>
        <w:t/>
      </w:r>
      <w:proofErr w:type="spellEnd"/>
      <w:r w:rsidRPr="00D97CD7">
        <w:rPr>
          <w:b/>
          <w:color w:themeColor="text1" w:val="000000"/>
          <w:szCs w:val="21"/>
        </w:rPr>
        <w:t/>
      </w:r>
      <w:r w:rsidRPr="00D97CD7">
        <w:rPr>
          <w:rFonts w:eastAsiaTheme="minorEastAsia"/>
          <w:b/>
          <w:color w:themeColor="text1" w:val="000000"/>
          <w:kern w:val="0"/>
          <w:szCs w:val="21"/>
        </w:rPr>
        <w:t>5.3.1</w:t>
      </w:r>
      <w:r w:rsidRPr="00D97CD7">
        <w:rPr>
          <w:rFonts w:eastAsiaTheme="minorEastAsia"/>
          <w:b/>
          <w:color w:themeColor="text1" w:val="000000"/>
          <w:kern w:val="0"/>
          <w:szCs w:val="21"/>
        </w:rPr>
        <w:t>报告期末按行业分类的境内股票投资组合</w:t>
      </w:r>
    </w:p>
    <w:p w14:paraId="4472F3C1"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本基金本报告期末未持有股票。</w:t>
      </w:r>
    </w:p>
    <w:p w14:paraId="10C01F46" w14:textId="77777777" w:rsidR="00DB3887" w:rsidRDefault="00DB3887" w:rsidRPr="00D97CD7">
      <w:pPr>
        <w:autoSpaceDE w:val="0"/>
        <w:autoSpaceDN w:val="0"/>
        <w:adjustRightInd w:val="0"/>
        <w:spacing w:line="360" w:lineRule="auto"/>
        <w:ind w:firstLine="420" w:firstLineChars="200"/>
        <w:jc w:val="left"/>
        <w:rPr>
          <w:rFonts w:eastAsiaTheme="minorEastAsia"/>
          <w:color w:themeColor="text1" w:val="000000"/>
          <w:szCs w:val="21"/>
        </w:rPr>
      </w:pPr>
    </w:p>
    <w:p w14:paraId="4AD7E43D" w14:textId="22AB4A27" w:rsidP="00D97CD7" w:rsidR="00D97CD7" w:rsidRDefault="00D97CD7" w:rsidRPr="007A4E67">
      <w:pPr>
        <w:spacing w:line="360" w:lineRule="auto"/>
        <w:rPr>
          <w:rFonts w:eastAsiaTheme="minorEastAsia"/>
          <w:szCs w:val="21"/>
        </w:rPr>
      </w:pPr>
      <w:bookmarkStart w:id="4" w:name="_Hlk73460790"/>
      <w:r w:rsidRPr="007A4E67">
        <w:rPr>
          <w:rFonts w:eastAsiaTheme="minorEastAsia"/>
          <w:b/>
          <w:bCs/>
          <w:kern w:val="0"/>
          <w:szCs w:val="21"/>
        </w:rPr>
        <w:t>5.</w:t>
      </w:r>
      <w:r w:rsidRPr="007A4E67">
        <w:rPr>
          <w:rFonts w:eastAsiaTheme="minorEastAsia"/>
          <w:b/>
          <w:bCs/>
          <w:kern w:val="0"/>
          <w:szCs w:val="21"/>
        </w:rPr>
        <w:t>4</w:t>
      </w:r>
      <w:r w:rsidRPr="007A4E67">
        <w:rPr>
          <w:rFonts w:asciiTheme="minorEastAsia" w:eastAsiaTheme="minorEastAsia" w:hAnsiTheme="minorEastAsia" w:hint="eastAsia"/>
          <w:b/>
          <w:bCs/>
          <w:kern w:val="0"/>
          <w:szCs w:val="21"/>
        </w:rPr>
        <w:t>期末按公允价值占基金资产净值比例大小排序的股票投资明细</w:t>
      </w:r>
      <w:r w:rsidRPr="007A4E67">
        <w:rPr>
          <w:rFonts w:asciiTheme="minorEastAsia" w:eastAsiaTheme="minorEastAsia" w:hAnsiTheme="minorEastAsia" w:hint="eastAsia"/>
          <w:b/>
          <w:bCs/>
          <w:kern w:val="0"/>
          <w:szCs w:val="21"/>
        </w:rPr>
        <w:cr/>
      </w:r>
      <w:r w:rsidRPr="007A4E67">
        <w:rPr>
          <w:rFonts w:eastAsiaTheme="minorEastAsia"/>
          <w:b/>
          <w:bCs/>
          <w:kern w:val="0"/>
          <w:szCs w:val="21"/>
        </w:rPr>
        <w:t>5.</w:t>
      </w:r>
      <w:r w:rsidRPr="007A4E67">
        <w:rPr>
          <w:rFonts w:eastAsiaTheme="minorEastAsia"/>
          <w:b/>
          <w:bCs/>
          <w:kern w:val="0"/>
          <w:szCs w:val="21"/>
        </w:rPr>
        <w:t>4</w:t>
      </w:r>
      <w:r w:rsidRPr="007A4E67">
        <w:rPr>
          <w:rFonts w:eastAsiaTheme="minorEastAsia"/>
          <w:b/>
          <w:bCs/>
          <w:kern w:val="0"/>
          <w:szCs w:val="21"/>
        </w:rPr>
        <w:t>.1</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14:paraId="33AB8035" w14:textId="77777777" w:rsidP="00D97CD7" w:rsidR="00D97CD7" w:rsidRDefault="00D97CD7" w:rsidRPr="007A4E67">
      <w:pPr>
        <w:spacing w:line="360" w:lineRule="auto"/>
        <w:ind w:firstLine="420" w:firstLineChars="200"/>
        <w:rPr>
          <w:rFonts w:eastAsiaTheme="minorEastAsia"/>
          <w:szCs w:val="21"/>
        </w:rPr>
      </w:pPr>
      <w:r w:rsidRPr="007A4E67">
        <w:rPr>
          <w:rFonts w:eastAsiaTheme="minorEastAsia" w:hint="eastAsia"/>
          <w:szCs w:val="21"/>
        </w:rPr>
        <w:lastRenderedPageBreak/>
        <w:t/>
      </w:r>
      <w:proofErr w:type="spellStart"/>
      <w:r w:rsidRPr="007A4E67">
        <w:rPr>
          <w:rFonts w:eastAsiaTheme="minorEastAsia" w:hint="eastAsia"/>
          <w:szCs w:val="21"/>
        </w:rPr>
        <w:t/>
      </w:r>
      <w:proofErr w:type="gramStart"/>
      <w:r w:rsidRPr="007A4E67">
        <w:rPr>
          <w:rFonts w:eastAsiaTheme="minorEastAsia" w:hint="eastAsia"/>
          <w:szCs w:val="21"/>
        </w:rPr>
        <w:t/>
      </w:r>
      <w:proofErr w:type="spellEnd"/>
      <w:r w:rsidRPr="007A4E67">
        <w:rPr>
          <w:rFonts w:eastAsiaTheme="minorEastAsia" w:hint="eastAsia"/>
          <w:szCs w:val="21"/>
        </w:rPr>
        <w:t/>
      </w:r>
      <w:r w:rsidRPr="007A4E67">
        <w:rPr>
          <w:rFonts w:eastAsiaTheme="minorEastAsia"/>
          <w:szCs w:val="21"/>
        </w:rPr>
        <w:t/>
      </w:r>
      <w:proofErr w:type="spellStart"/>
      <w:proofErr w:type="gramEnd"/>
      <w:r w:rsidRPr="007A4E67">
        <w:rPr>
          <w:rFonts w:eastAsiaTheme="minorEastAsia"/>
          <w:szCs w:val="21"/>
        </w:rPr>
        <w:t/>
      </w:r>
      <w:proofErr w:type="spellEnd"/>
      <w:r w:rsidRPr="007A4E67">
        <w:rPr>
          <w:rFonts w:eastAsiaTheme="minorEastAsia"/>
          <w:szCs w:val="21"/>
        </w:rPr>
        <w:t>本基金本报告期末未持有股票。</w:t>
      </w:r>
    </w:p>
    <w:bookmarkEnd w:id="4"/>
    <w:p w14:paraId="3773A518"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xml:space="preserve">5.5 </w:t>
      </w:r>
      <w:r w:rsidRPr="00D97CD7">
        <w:rPr>
          <w:rFonts w:eastAsiaTheme="minorEastAsia"/>
          <w:b/>
          <w:color w:themeColor="text1" w:val="000000"/>
          <w:kern w:val="0"/>
          <w:szCs w:val="21"/>
        </w:rPr>
        <w:t>报告期末按债券品种分类的债券投资组合</w:t>
      </w:r>
    </w:p>
    <w:p w14:paraId="35C5308C"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本基金本报告期末未持有债券。</w:t>
      </w:r>
    </w:p>
    <w:p w14:paraId="68E43470"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xml:space="preserve">5.6 </w:t>
      </w:r>
      <w:r w:rsidRPr="00D97CD7">
        <w:rPr>
          <w:rFonts w:eastAsiaTheme="minorEastAsia"/>
          <w:b/>
          <w:color w:themeColor="text1" w:val="000000"/>
          <w:kern w:val="0"/>
          <w:szCs w:val="21"/>
        </w:rPr>
        <w:t>报告期末按公允价值占基金资产净值比例大小排序的前五名债券投资明细</w:t>
      </w:r>
    </w:p>
    <w:p w14:paraId="6B50B0C1"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本基金本报告期末未持有债券。</w:t>
      </w:r>
    </w:p>
    <w:p w14:paraId="1199C098"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lastRenderedPageBreak/>
        <w:t>5.7</w:t>
      </w:r>
      <w:r w:rsidRPr="00D97CD7">
        <w:rPr>
          <w:rFonts w:eastAsiaTheme="minorEastAsia"/>
          <w:b/>
          <w:color w:themeColor="text1" w:val="000000"/>
          <w:kern w:val="0"/>
          <w:szCs w:val="21"/>
        </w:rPr>
        <w:t xml:space="preserve">　报告期末按公允价值占基金资产净值比例大小排序的前十名资产支持证券投资明细</w:t>
      </w:r>
    </w:p>
    <w:p w14:paraId="5237E778"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本基金本报告期末未持有资产支持证券。</w:t>
      </w:r>
    </w:p>
    <w:p w14:paraId="45B7C707" w14:textId="77777777" w:rsidR="00DB3887" w:rsidRDefault="00FC6961" w:rsidRPr="00D97CD7">
      <w:pPr>
        <w:autoSpaceDE w:val="0"/>
        <w:autoSpaceDN w:val="0"/>
        <w:adjustRightInd w:val="0"/>
        <w:spacing w:before="312" w:beforeLines="100" w:line="360" w:lineRule="auto"/>
        <w:jc w:val="left"/>
        <w:rPr>
          <w:rFonts w:eastAsiaTheme="minorEastAsia"/>
          <w:b/>
          <w:bCs/>
          <w:color w:themeColor="text1" w:val="000000"/>
          <w:kern w:val="0"/>
          <w:szCs w:val="21"/>
        </w:rPr>
      </w:pPr>
      <w:r w:rsidRPr="00D97CD7">
        <w:rPr>
          <w:rFonts w:eastAsiaTheme="minorEastAsia"/>
          <w:b/>
          <w:bCs/>
          <w:color w:themeColor="text1" w:val="000000"/>
          <w:kern w:val="0"/>
          <w:szCs w:val="21"/>
        </w:rPr>
        <w:t/>
      </w:r>
      <w:proofErr w:type="gramStart"/>
      <w:r w:rsidRPr="00D97CD7">
        <w:rPr>
          <w:rFonts w:eastAsiaTheme="minorEastAsia"/>
          <w:b/>
          <w:bCs/>
          <w:color w:themeColor="text1" w:val="000000"/>
          <w:kern w:val="0"/>
          <w:szCs w:val="21"/>
        </w:rPr>
        <w:t>5.</w:t>
      </w:r>
      <w:proofErr w:type="gramEnd"/>
      <w:r w:rsidRPr="00D97CD7">
        <w:rPr>
          <w:rFonts w:eastAsiaTheme="minorEastAsia"/>
          <w:b/>
          <w:bCs/>
          <w:color w:themeColor="text1" w:val="000000"/>
          <w:kern w:val="0"/>
          <w:szCs w:val="21"/>
        </w:rPr>
        <w:t xml:space="preserve">8 </w:t>
      </w:r>
      <w:r w:rsidRPr="00D97CD7">
        <w:rPr>
          <w:rFonts w:eastAsiaTheme="minorEastAsia"/>
          <w:b/>
          <w:bCs/>
          <w:color w:themeColor="text1" w:val="000000"/>
          <w:kern w:val="0"/>
          <w:szCs w:val="21"/>
        </w:rPr>
        <w:t>报告期末按公允价值占基金资产净值比例大小排序的前五名贵金属投资明细</w:t>
      </w:r>
    </w:p>
    <w:p w14:paraId="534A1293" w14:textId="77777777" w:rsidR="00DB3887" w:rsidRDefault="00FC6961" w:rsidRPr="00D97CD7">
      <w:pPr>
        <w:widowControl/>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本基金本报告期末未持有贵金属。</w:t>
      </w:r>
    </w:p>
    <w:p w14:paraId="5BB77F65"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w:r>
      <w:proofErr w:type="gramStart"/>
      <w:r w:rsidRPr="00D97CD7">
        <w:rPr>
          <w:rFonts w:eastAsiaTheme="minorEastAsia"/>
          <w:b/>
          <w:color w:themeColor="text1" w:val="000000"/>
          <w:kern w:val="0"/>
          <w:szCs w:val="21"/>
        </w:rPr>
        <w:t>5.</w:t>
      </w:r>
      <w:proofErr w:type="gramEnd"/>
      <w:r w:rsidRPr="00D97CD7">
        <w:rPr>
          <w:rFonts w:eastAsiaTheme="minorEastAsia"/>
          <w:b/>
          <w:color w:themeColor="text1" w:val="000000"/>
          <w:kern w:val="0"/>
          <w:szCs w:val="21"/>
        </w:rPr>
        <w:t xml:space="preserve">9 </w:t>
      </w:r>
      <w:r w:rsidRPr="00D97CD7">
        <w:rPr>
          <w:rFonts w:eastAsiaTheme="minorEastAsia"/>
          <w:b/>
          <w:color w:themeColor="text1" w:val="000000"/>
          <w:kern w:val="0"/>
          <w:szCs w:val="21"/>
        </w:rPr>
        <w:t>报告</w:t>
      </w:r>
      <w:r w:rsidRPr="00D97CD7">
        <w:rPr>
          <w:rFonts w:eastAsiaTheme="minorEastAsia"/>
          <w:b/>
          <w:bCs/>
          <w:color w:themeColor="text1" w:val="000000"/>
          <w:kern w:val="0"/>
          <w:szCs w:val="21"/>
        </w:rPr>
        <w:t>期末</w:t>
      </w:r>
      <w:r w:rsidRPr="00D97CD7">
        <w:rPr>
          <w:rFonts w:eastAsiaTheme="minorEastAsia"/>
          <w:b/>
          <w:color w:themeColor="text1" w:val="000000"/>
          <w:kern w:val="0"/>
          <w:szCs w:val="21"/>
        </w:rPr>
        <w:t>按公允价值占基金资产净值比例大小排序的前五名权证投资明细</w:t>
      </w:r>
    </w:p>
    <w:p w14:paraId="6CC16F56"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lastRenderedPageBreak/>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本基金本报告期末未持有权证。</w:t>
      </w:r>
    </w:p>
    <w:p w14:paraId="53D9383E"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szCs w:val="21"/>
        </w:rPr>
      </w:pPr>
      <w:r w:rsidRPr="00D97CD7">
        <w:rPr>
          <w:rFonts w:eastAsiaTheme="minorEastAsia"/>
          <w:b/>
          <w:color w:themeColor="text1" w:val="000000"/>
          <w:szCs w:val="21"/>
        </w:rPr>
        <w:t/>
      </w:r>
      <w:proofErr w:type="spellStart"/>
      <w:r w:rsidRPr="00D97CD7">
        <w:rPr>
          <w:rFonts w:eastAsiaTheme="minorEastAsia"/>
          <w:b/>
          <w:color w:themeColor="text1" w:val="000000"/>
          <w:szCs w:val="21"/>
        </w:rPr>
        <w:t/>
      </w:r>
      <w:proofErr w:type="gramStart"/>
      <w:r w:rsidRPr="00D97CD7">
        <w:rPr>
          <w:rFonts w:eastAsiaTheme="minorEastAsia"/>
          <w:b/>
          <w:bCs/>
          <w:color w:themeColor="text1" w:val="000000"/>
          <w:kern w:val="0"/>
          <w:szCs w:val="21"/>
        </w:rPr>
        <w:t/>
      </w:r>
      <w:proofErr w:type="spellEnd"/>
      <w:r w:rsidRPr="00D97CD7">
        <w:rPr>
          <w:rFonts w:eastAsiaTheme="minorEastAsia"/>
          <w:b/>
          <w:color w:themeColor="text1" w:val="000000"/>
          <w:szCs w:val="21"/>
        </w:rPr>
        <w:t/>
      </w:r>
      <w:proofErr w:type="gramEnd"/>
      <w:r w:rsidRPr="00D97CD7">
        <w:rPr>
          <w:rFonts w:eastAsiaTheme="minorEastAsia"/>
          <w:b/>
          <w:color w:themeColor="text1" w:val="000000"/>
          <w:szCs w:val="21"/>
        </w:rPr>
        <w:t xml:space="preserve">5.10 </w:t>
      </w:r>
      <w:r w:rsidRPr="00D97CD7">
        <w:rPr>
          <w:rFonts w:eastAsiaTheme="minorEastAsia"/>
          <w:b/>
          <w:color w:themeColor="text1" w:val="000000"/>
          <w:szCs w:val="21"/>
        </w:rPr>
        <w:t>报告期末本基金投资的股指期货交易情况说明</w:t>
      </w:r>
    </w:p>
    <w:p w14:paraId="108FD3C8"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本基金本报告期末未持有股指期货。</w:t>
      </w:r>
    </w:p>
    <w:p w14:paraId="16AEB26A" w14:textId="77777777" w:rsidR="00DB3887" w:rsidRDefault="00FC6961" w:rsidRPr="00D97CD7">
      <w:pPr>
        <w:adjustRightInd w:val="0"/>
        <w:snapToGrid w:val="0"/>
        <w:spacing w:before="312" w:beforeLines="100" w:line="360" w:lineRule="auto"/>
        <w:rPr>
          <w:rFonts w:eastAsiaTheme="minorEastAsia"/>
          <w:b/>
          <w:color w:themeColor="text1" w:val="000000"/>
          <w:szCs w:val="21"/>
        </w:rPr>
      </w:pPr>
      <w:r w:rsidRPr="00D97CD7">
        <w:rPr>
          <w:rFonts w:eastAsiaTheme="minorEastAsia"/>
          <w:b/>
          <w:color w:themeColor="text1" w:val="000000"/>
          <w:szCs w:val="21"/>
        </w:rPr>
        <w:t/>
      </w:r>
      <w:proofErr w:type="spellStart"/>
      <w:r w:rsidRPr="00D97CD7">
        <w:rPr>
          <w:rFonts w:eastAsiaTheme="minorEastAsia"/>
          <w:b/>
          <w:color w:themeColor="text1" w:val="000000"/>
          <w:szCs w:val="21"/>
        </w:rPr>
        <w:t/>
      </w:r>
      <w:proofErr w:type="gramStart"/>
      <w:r w:rsidRPr="00D97CD7">
        <w:rPr>
          <w:rFonts w:eastAsiaTheme="minorEastAsia"/>
          <w:b/>
          <w:color w:themeColor="text1" w:val="000000"/>
          <w:szCs w:val="21"/>
        </w:rPr>
        <w:t/>
      </w:r>
      <w:proofErr w:type="spellEnd"/>
      <w:r w:rsidRPr="00D97CD7">
        <w:rPr>
          <w:rFonts w:eastAsiaTheme="minorEastAsia"/>
          <w:b/>
          <w:color w:themeColor="text1" w:val="000000"/>
          <w:szCs w:val="21"/>
        </w:rPr>
        <w:t/>
      </w:r>
      <w:proofErr w:type="gramEnd"/>
      <w:r w:rsidRPr="00D97CD7">
        <w:rPr>
          <w:rFonts w:eastAsiaTheme="minorEastAsia"/>
          <w:b/>
          <w:color w:themeColor="text1" w:val="000000"/>
          <w:szCs w:val="21"/>
        </w:rPr>
        <w:t>5.11</w:t>
      </w:r>
      <w:r w:rsidRPr="00D97CD7">
        <w:rPr>
          <w:rFonts w:eastAsiaTheme="minorEastAsia"/>
          <w:b/>
          <w:color w:themeColor="text1" w:val="000000"/>
          <w:szCs w:val="21"/>
        </w:rPr>
        <w:t>报告期末本基金投资的国债期货交易情况说明</w:t>
      </w:r>
    </w:p>
    <w:p w14:paraId="30BA9DF3"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本基金本报告期末未持有国债期货。</w:t>
      </w:r>
    </w:p>
    <w:p w14:paraId="109672A0"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w:r>
      <w:proofErr w:type="gramStart"/>
      <w:r w:rsidRPr="00D97CD7">
        <w:rPr>
          <w:rFonts w:eastAsiaTheme="minorEastAsia"/>
          <w:b/>
          <w:color w:themeColor="text1" w:val="000000"/>
          <w:kern w:val="0"/>
          <w:szCs w:val="21"/>
        </w:rPr>
        <w:t>5.</w:t>
      </w:r>
      <w:proofErr w:type="gramEnd"/>
      <w:r w:rsidRPr="00D97CD7">
        <w:rPr>
          <w:rFonts w:eastAsiaTheme="minorEastAsia"/>
          <w:b/>
          <w:color w:themeColor="text1" w:val="000000"/>
          <w:kern w:val="0"/>
          <w:szCs w:val="21"/>
        </w:rPr>
        <w:t>12</w:t>
      </w:r>
      <w:r w:rsidRPr="00D97CD7">
        <w:rPr>
          <w:rFonts w:eastAsiaTheme="minorEastAsia"/>
          <w:b/>
          <w:color w:themeColor="text1" w:val="000000"/>
          <w:kern w:val="0"/>
          <w:szCs w:val="21"/>
        </w:rPr>
        <w:t>投资组合报告附注</w:t>
      </w:r>
    </w:p>
    <w:p w14:paraId="76B80D1C" w14:textId="77777777" w:rsidR="00DB3887" w:rsidRDefault="00FC6961" w:rsidRPr="00D97CD7">
      <w:pPr>
        <w:widowControl/>
        <w:spacing w:line="360" w:lineRule="auto"/>
        <w:rPr>
          <w:rFonts w:eastAsiaTheme="minorEastAsia"/>
          <w:color w:themeColor="text1" w:val="000000"/>
          <w:szCs w:val="21"/>
        </w:rPr>
      </w:pPr>
      <w:r w:rsidRPr="00D97CD7">
        <w:rPr>
          <w:rFonts w:eastAsiaTheme="minorEastAsia"/>
          <w:color w:themeColor="text1" w:val="000000"/>
          <w:szCs w:val="21"/>
        </w:rPr>
        <w:t/>
      </w:r>
      <w:proofErr w:type="gramStart"/>
      <w:r w:rsidRPr="00D97CD7">
        <w:rPr>
          <w:rFonts w:eastAsiaTheme="minorEastAsia"/>
          <w:color w:themeColor="text1" w:val="000000"/>
          <w:szCs w:val="21"/>
        </w:rPr>
        <w:t>5.</w:t>
      </w:r>
      <w:proofErr w:type="gramEnd"/>
      <w:r w:rsidRPr="00D97CD7">
        <w:rPr>
          <w:rFonts w:eastAsiaTheme="minorEastAsia"/>
          <w:color w:themeColor="text1" w:val="000000"/>
          <w:szCs w:val="21"/>
        </w:rPr>
        <w:t>12.1本基金投资的前十名证券的发行主体本期未出现被监管部门立案调查，或在报告编制日前一年内受到公开谴责、处罚的情形。</w:t>
      </w:r>
    </w:p>
    <w:p w14:paraId="0DDBD2BA" w14:textId="77777777" w:rsidR="00DB3887" w:rsidRDefault="00FC6961" w:rsidRPr="00D97CD7">
      <w:pPr>
        <w:widowControl/>
        <w:spacing w:line="360" w:lineRule="auto"/>
        <w:rPr>
          <w:rFonts w:eastAsiaTheme="minorEastAsia"/>
          <w:color w:themeColor="text1" w:val="000000"/>
          <w:szCs w:val="21"/>
        </w:rPr>
      </w:pPr>
      <w:r w:rsidRPr="00D97CD7">
        <w:rPr>
          <w:rFonts w:eastAsiaTheme="minorEastAsia"/>
          <w:color w:themeColor="text1" w:val="000000"/>
          <w:szCs w:val="21"/>
        </w:rPr>
        <w:t/>
      </w:r>
      <w:proofErr w:type="gramStart"/>
      <w:r w:rsidRPr="00D97CD7">
        <w:rPr>
          <w:rFonts w:eastAsiaTheme="minorEastAsia"/>
          <w:color w:themeColor="text1" w:val="000000"/>
          <w:szCs w:val="21"/>
        </w:rPr>
        <w:t>5.</w:t>
      </w:r>
      <w:proofErr w:type="gramEnd"/>
      <w:r w:rsidRPr="00D97CD7">
        <w:rPr>
          <w:rFonts w:eastAsiaTheme="minorEastAsia"/>
          <w:color w:themeColor="text1" w:val="000000"/>
          <w:szCs w:val="21"/>
        </w:rPr>
        <w:t>12.2报告期内本基金投资的前十名股票中没有在基金合同规定备选股票库之外的股票。</w:t>
      </w:r>
    </w:p>
    <w:p w14:paraId="452FDE3F" w14:textId="77777777" w:rsidR="00DB3887" w:rsidRDefault="00FC6961" w:rsidRPr="00D97CD7">
      <w:pPr>
        <w:autoSpaceDE w:val="0"/>
        <w:autoSpaceDN w:val="0"/>
        <w:adjustRightInd w:val="0"/>
        <w:spacing w:line="360" w:lineRule="auto"/>
        <w:rPr>
          <w:rFonts w:eastAsiaTheme="minorEastAsia"/>
          <w:b/>
          <w:color w:themeColor="text1" w:val="000000"/>
          <w:kern w:val="0"/>
          <w:szCs w:val="21"/>
        </w:rPr>
      </w:pPr>
      <w:r w:rsidRPr="00D97CD7">
        <w:rPr>
          <w:rFonts w:eastAsiaTheme="minorEastAsia"/>
          <w:b/>
          <w:color w:themeColor="text1" w:val="000000"/>
          <w:kern w:val="0"/>
          <w:szCs w:val="21"/>
        </w:rPr>
        <w:t/>
      </w:r>
      <w:proofErr w:type="gramStart"/>
      <w:r w:rsidRPr="00D97CD7">
        <w:rPr>
          <w:rFonts w:eastAsiaTheme="minorEastAsia"/>
          <w:b/>
          <w:color w:themeColor="text1" w:val="000000"/>
          <w:kern w:val="0"/>
          <w:szCs w:val="21"/>
        </w:rPr>
        <w:t>5.</w:t>
      </w:r>
      <w:proofErr w:type="gramEnd"/>
      <w:r w:rsidRPr="00D97CD7">
        <w:rPr>
          <w:rFonts w:eastAsiaTheme="minorEastAsia"/>
          <w:b/>
          <w:color w:themeColor="text1" w:val="000000"/>
          <w:kern w:val="0"/>
          <w:szCs w:val="21"/>
        </w:rPr>
        <w:t>12.3</w:t>
      </w:r>
      <w:r w:rsidRPr="00D97CD7">
        <w:rPr>
          <w:rFonts w:eastAsiaTheme="minor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0F67" w14:textId="77777777" w:rsidR="00DB3887" w:rsidRPr="00D97CD7">
        <w:tc>
          <w:tcPr>
            <w:tcW w:type="dxa" w:w="1110"/>
            <w:vAlign w:val="center"/>
          </w:tcPr>
          <w:p w14:paraId="586DE4F6" w14:textId="77777777" w:rsidR="00DB3887" w:rsidRDefault="00FC6961" w:rsidRPr="00D97CD7">
            <w:pPr>
              <w:autoSpaceDE w:val="0"/>
              <w:autoSpaceDN w:val="0"/>
              <w:adjustRightInd w:val="0"/>
              <w:spacing w:before="29" w:line="360" w:lineRule="auto"/>
              <w:ind w:left="17"/>
              <w:jc w:val="center"/>
              <w:rPr>
                <w:rFonts w:eastAsiaTheme="minorEastAsia"/>
                <w:color w:themeColor="text1" w:val="000000"/>
                <w:kern w:val="0"/>
                <w:szCs w:val="21"/>
              </w:rPr>
            </w:pPr>
            <w:r w:rsidRPr="00D97CD7">
              <w:rPr>
                <w:rFonts w:eastAsiaTheme="minorEastAsia"/>
                <w:color w:themeColor="text1" w:val="000000"/>
                <w:kern w:val="0"/>
                <w:szCs w:val="21"/>
              </w:rPr>
              <w:t>序号</w:t>
            </w:r>
          </w:p>
        </w:tc>
        <w:tc>
          <w:tcPr>
            <w:tcW w:type="dxa" w:w="2761"/>
            <w:vAlign w:val="center"/>
          </w:tcPr>
          <w:p w14:paraId="0AF5958D" w14:textId="77777777" w:rsidR="00DB3887" w:rsidRDefault="00FC6961" w:rsidRPr="00D97CD7">
            <w:pPr>
              <w:autoSpaceDE w:val="0"/>
              <w:autoSpaceDN w:val="0"/>
              <w:adjustRightInd w:val="0"/>
              <w:spacing w:before="29" w:line="360" w:lineRule="auto"/>
              <w:ind w:left="17"/>
              <w:jc w:val="center"/>
              <w:rPr>
                <w:rFonts w:eastAsiaTheme="minorEastAsia"/>
                <w:color w:themeColor="text1" w:val="000000"/>
                <w:kern w:val="0"/>
                <w:szCs w:val="21"/>
              </w:rPr>
            </w:pPr>
            <w:r w:rsidRPr="00D97CD7">
              <w:rPr>
                <w:rFonts w:eastAsiaTheme="minorEastAsia"/>
                <w:color w:themeColor="text1" w:val="000000"/>
                <w:kern w:val="0"/>
                <w:szCs w:val="21"/>
              </w:rPr>
              <w:t>名称</w:t>
            </w:r>
          </w:p>
        </w:tc>
        <w:tc>
          <w:tcPr>
            <w:tcW w:type="dxa" w:w="4808"/>
            <w:vAlign w:val="center"/>
          </w:tcPr>
          <w:p w14:paraId="0A76F015" w14:textId="77777777" w:rsidR="00DB3887" w:rsidRDefault="00FC6961" w:rsidRPr="00D97CD7">
            <w:pPr>
              <w:autoSpaceDE w:val="0"/>
              <w:autoSpaceDN w:val="0"/>
              <w:adjustRightInd w:val="0"/>
              <w:spacing w:before="29" w:line="360" w:lineRule="auto"/>
              <w:ind w:left="17"/>
              <w:jc w:val="center"/>
              <w:rPr>
                <w:rFonts w:eastAsiaTheme="minorEastAsia"/>
                <w:color w:themeColor="text1" w:val="000000"/>
                <w:kern w:val="0"/>
                <w:szCs w:val="21"/>
              </w:rPr>
            </w:pPr>
            <w:r w:rsidRPr="00D97CD7">
              <w:rPr>
                <w:rFonts w:eastAsiaTheme="minorEastAsia"/>
                <w:color w:themeColor="text1" w:val="000000"/>
                <w:kern w:val="0"/>
                <w:szCs w:val="21"/>
              </w:rPr>
              <w:t>金额</w:t>
            </w:r>
            <w:r w:rsidRPr="00D97CD7">
              <w:rPr>
                <w:rFonts w:eastAsiaTheme="minorEastAsia"/>
                <w:color w:themeColor="text1" w:val="000000"/>
                <w:kern w:val="0"/>
                <w:szCs w:val="21"/>
              </w:rPr>
              <w:t>(</w:t>
            </w:r>
            <w:r w:rsidRPr="00D97CD7">
              <w:rPr>
                <w:rFonts w:eastAsiaTheme="minorEastAsia"/>
                <w:color w:themeColor="text1" w:val="000000"/>
                <w:kern w:val="0"/>
                <w:szCs w:val="21"/>
              </w:rPr>
              <w:t>元</w:t>
            </w:r>
            <w:r w:rsidRPr="00D97CD7">
              <w:rPr>
                <w:rFonts w:eastAsiaTheme="minorEastAsia"/>
                <w:color w:themeColor="text1" w:val="000000"/>
                <w:kern w:val="0"/>
                <w:szCs w:val="21"/>
              </w:rPr>
              <w:t>)</w:t>
            </w:r>
          </w:p>
        </w:tc>
      </w:tr>
      <w:tr w14:paraId="26A145BD" w14:textId="77777777" w:rsidR="00DB3887" w:rsidRPr="00D97CD7">
        <w:tc>
          <w:tcPr>
            <w:tcW w:type="dxa" w:w="1110"/>
            <w:vAlign w:val="center"/>
          </w:tcPr>
          <w:p w14:paraId="618C979E"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kern w:val="0"/>
                <w:szCs w:val="21"/>
              </w:rPr>
            </w:pPr>
            <w:r w:rsidRPr="00D97CD7">
              <w:rPr>
                <w:rFonts w:eastAsiaTheme="minorEastAsia"/>
                <w:color w:themeColor="text1" w:val="000000"/>
                <w:szCs w:val="21"/>
              </w:rPr>
              <w:t>1</w:t>
            </w:r>
          </w:p>
        </w:tc>
        <w:tc>
          <w:tcPr>
            <w:tcW w:type="dxa" w:w="2761"/>
            <w:vAlign w:val="center"/>
          </w:tcPr>
          <w:p w14:paraId="69A160E3"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存出保证金</w:t>
            </w:r>
          </w:p>
        </w:tc>
        <w:tc>
          <w:tcPr>
            <w:tcW w:type="dxa" w:w="4808"/>
            <w:vAlign w:val="center"/>
          </w:tcPr>
          <w:p w14:paraId="6F0ED228" w14:textId="77777777" w:rsidR="00DB3887" w:rsidRDefault="00FC6961" w:rsidRPr="00D97CD7">
            <w:pPr>
              <w:autoSpaceDE w:val="0"/>
              <w:autoSpaceDN w:val="0"/>
              <w:adjustRightInd w:val="0"/>
              <w:spacing w:before="29" w:line="360" w:lineRule="auto"/>
              <w:ind w:left="15"/>
              <w:jc w:val="righ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10,657.05</w:t>
            </w:r>
          </w:p>
        </w:tc>
      </w:tr>
      <w:tr w14:paraId="1DEEFDB4" w14:textId="77777777" w:rsidR="00DB3887" w:rsidRPr="00D97CD7">
        <w:tc>
          <w:tcPr>
            <w:tcW w:type="dxa" w:w="1110"/>
            <w:vAlign w:val="center"/>
          </w:tcPr>
          <w:p w14:paraId="13FD2B38"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szCs w:val="21"/>
              </w:rPr>
            </w:pPr>
            <w:r w:rsidRPr="00D97CD7">
              <w:rPr>
                <w:rFonts w:eastAsiaTheme="minorEastAsia"/>
                <w:color w:themeColor="text1" w:val="000000"/>
                <w:szCs w:val="21"/>
              </w:rPr>
              <w:t>2</w:t>
            </w:r>
          </w:p>
        </w:tc>
        <w:tc>
          <w:tcPr>
            <w:tcW w:type="dxa" w:w="2761"/>
            <w:vAlign w:val="center"/>
          </w:tcPr>
          <w:p w14:paraId="726FC8B9"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应收证券清算款</w:t>
            </w:r>
          </w:p>
        </w:tc>
        <w:tc>
          <w:tcPr>
            <w:tcW w:type="dxa" w:w="4808"/>
            <w:vAlign w:val="center"/>
          </w:tcPr>
          <w:p w14:paraId="4574690D" w14:textId="77777777" w:rsidR="00DB3887" w:rsidRDefault="00FC6961" w:rsidRPr="00D97CD7">
            <w:pPr>
              <w:autoSpaceDE w:val="0"/>
              <w:autoSpaceDN w:val="0"/>
              <w:adjustRightInd w:val="0"/>
              <w:spacing w:before="29" w:line="360" w:lineRule="auto"/>
              <w:ind w:left="15"/>
              <w:jc w:val="righ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w:t>
            </w:r>
          </w:p>
        </w:tc>
      </w:tr>
      <w:tr w14:paraId="5F639EE8" w14:textId="77777777" w:rsidR="00DB3887" w:rsidRPr="00D97CD7">
        <w:tc>
          <w:tcPr>
            <w:tcW w:type="dxa" w:w="1110"/>
            <w:vAlign w:val="center"/>
          </w:tcPr>
          <w:p w14:paraId="74879E08"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szCs w:val="21"/>
              </w:rPr>
            </w:pPr>
            <w:r w:rsidRPr="00D97CD7">
              <w:rPr>
                <w:rFonts w:eastAsiaTheme="minorEastAsia"/>
                <w:color w:themeColor="text1" w:val="000000"/>
                <w:szCs w:val="21"/>
              </w:rPr>
              <w:t>3</w:t>
            </w:r>
          </w:p>
        </w:tc>
        <w:tc>
          <w:tcPr>
            <w:tcW w:type="dxa" w:w="2761"/>
            <w:vAlign w:val="center"/>
          </w:tcPr>
          <w:p w14:paraId="11C6893A"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应收股利</w:t>
            </w:r>
          </w:p>
        </w:tc>
        <w:tc>
          <w:tcPr>
            <w:tcW w:type="dxa" w:w="4808"/>
            <w:vAlign w:val="center"/>
          </w:tcPr>
          <w:p w14:paraId="088B3457" w14:textId="77777777" w:rsidR="00DB3887" w:rsidRDefault="00FC6961" w:rsidRPr="00D97CD7">
            <w:pPr>
              <w:autoSpaceDE w:val="0"/>
              <w:autoSpaceDN w:val="0"/>
              <w:adjustRightInd w:val="0"/>
              <w:spacing w:before="29" w:line="360" w:lineRule="auto"/>
              <w:ind w:left="15"/>
              <w:jc w:val="righ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w:t>
            </w:r>
          </w:p>
        </w:tc>
      </w:tr>
      <w:tr w14:paraId="7B61DE23" w14:textId="77777777" w:rsidR="00DB3887" w:rsidRPr="00D97CD7">
        <w:tc>
          <w:tcPr>
            <w:tcW w:type="dxa" w:w="1110"/>
            <w:vAlign w:val="center"/>
          </w:tcPr>
          <w:p w14:paraId="0BD4180E"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szCs w:val="21"/>
              </w:rPr>
            </w:pPr>
            <w:r w:rsidRPr="00D97CD7">
              <w:rPr>
                <w:rFonts w:eastAsiaTheme="minorEastAsia"/>
                <w:color w:themeColor="text1" w:val="000000"/>
                <w:szCs w:val="21"/>
              </w:rPr>
              <w:t>4</w:t>
            </w:r>
          </w:p>
        </w:tc>
        <w:tc>
          <w:tcPr>
            <w:tcW w:type="dxa" w:w="2761"/>
            <w:vAlign w:val="center"/>
          </w:tcPr>
          <w:p w14:paraId="62AB8888"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应收利息</w:t>
            </w:r>
          </w:p>
        </w:tc>
        <w:tc>
          <w:tcPr>
            <w:tcW w:type="dxa" w:w="4808"/>
            <w:vAlign w:val="center"/>
          </w:tcPr>
          <w:p w14:paraId="69A1B321" w14:textId="77777777" w:rsidR="00DB3887" w:rsidRDefault="00FC6961" w:rsidRPr="00D97CD7">
            <w:pPr>
              <w:autoSpaceDE w:val="0"/>
              <w:autoSpaceDN w:val="0"/>
              <w:adjustRightInd w:val="0"/>
              <w:spacing w:before="29" w:line="360" w:lineRule="auto"/>
              <w:ind w:left="15"/>
              <w:jc w:val="righ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522.44</w:t>
            </w:r>
          </w:p>
        </w:tc>
      </w:tr>
      <w:tr w14:paraId="32AD0C42" w14:textId="77777777" w:rsidR="00DB3887" w:rsidRPr="00D97CD7">
        <w:tc>
          <w:tcPr>
            <w:tcW w:type="dxa" w:w="1110"/>
            <w:vAlign w:val="center"/>
          </w:tcPr>
          <w:p w14:paraId="7493ED28"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szCs w:val="21"/>
              </w:rPr>
            </w:pPr>
            <w:r w:rsidRPr="00D97CD7">
              <w:rPr>
                <w:rFonts w:eastAsiaTheme="minorEastAsia"/>
                <w:color w:themeColor="text1" w:val="000000"/>
                <w:szCs w:val="21"/>
              </w:rPr>
              <w:t>5</w:t>
            </w:r>
          </w:p>
        </w:tc>
        <w:tc>
          <w:tcPr>
            <w:tcW w:type="dxa" w:w="2761"/>
            <w:vAlign w:val="center"/>
          </w:tcPr>
          <w:p w14:paraId="69FE0EE4"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应收申购款</w:t>
            </w:r>
          </w:p>
        </w:tc>
        <w:tc>
          <w:tcPr>
            <w:tcW w:type="dxa" w:w="4808"/>
            <w:vAlign w:val="center"/>
          </w:tcPr>
          <w:p w14:paraId="528E284E" w14:textId="77777777" w:rsidR="00DB3887" w:rsidRDefault="00FC6961" w:rsidRPr="00D97CD7">
            <w:pPr>
              <w:autoSpaceDE w:val="0"/>
              <w:autoSpaceDN w:val="0"/>
              <w:adjustRightInd w:val="0"/>
              <w:spacing w:before="29" w:line="360" w:lineRule="auto"/>
              <w:ind w:left="15"/>
              <w:jc w:val="righ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850,340.65</w:t>
            </w:r>
          </w:p>
        </w:tc>
      </w:tr>
      <w:tr w14:paraId="2A6DCA49" w14:textId="77777777" w:rsidR="00DB3887" w:rsidRPr="00D97CD7">
        <w:tc>
          <w:tcPr>
            <w:tcW w:type="dxa" w:w="1110"/>
            <w:vAlign w:val="center"/>
          </w:tcPr>
          <w:p w14:paraId="33BC043D"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szCs w:val="21"/>
              </w:rPr>
            </w:pPr>
            <w:r w:rsidRPr="00D97CD7">
              <w:rPr>
                <w:rFonts w:eastAsiaTheme="minorEastAsia"/>
                <w:color w:themeColor="text1" w:val="000000"/>
                <w:szCs w:val="21"/>
              </w:rPr>
              <w:t>6</w:t>
            </w:r>
          </w:p>
        </w:tc>
        <w:tc>
          <w:tcPr>
            <w:tcW w:type="dxa" w:w="2761"/>
            <w:vAlign w:val="center"/>
          </w:tcPr>
          <w:p w14:paraId="4EFB5DD8"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其他应收款</w:t>
            </w:r>
          </w:p>
        </w:tc>
        <w:tc>
          <w:tcPr>
            <w:tcW w:type="dxa" w:w="4808"/>
            <w:vAlign w:val="center"/>
          </w:tcPr>
          <w:p w14:paraId="1C4BFE77" w14:textId="77777777" w:rsidR="00DB3887" w:rsidRDefault="00FC6961" w:rsidRPr="00D97CD7">
            <w:pPr>
              <w:autoSpaceDE w:val="0"/>
              <w:autoSpaceDN w:val="0"/>
              <w:adjustRightInd w:val="0"/>
              <w:spacing w:before="29" w:line="360" w:lineRule="auto"/>
              <w:ind w:left="15"/>
              <w:jc w:val="righ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w:t>
            </w:r>
          </w:p>
        </w:tc>
      </w:tr>
      <w:tr w14:paraId="143340B3" w14:textId="77777777" w:rsidR="00DB3887" w:rsidRPr="00D97CD7">
        <w:tc>
          <w:tcPr>
            <w:tcW w:type="dxa" w:w="1110"/>
            <w:vAlign w:val="center"/>
          </w:tcPr>
          <w:p w14:paraId="50F62F0E"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szCs w:val="21"/>
              </w:rPr>
            </w:pPr>
            <w:r w:rsidRPr="00D97CD7">
              <w:rPr>
                <w:rFonts w:eastAsiaTheme="minorEastAsia"/>
                <w:color w:themeColor="text1" w:val="000000"/>
                <w:szCs w:val="21"/>
              </w:rPr>
              <w:t>7</w:t>
            </w:r>
          </w:p>
        </w:tc>
        <w:tc>
          <w:tcPr>
            <w:tcW w:type="dxa" w:w="2761"/>
            <w:vAlign w:val="center"/>
          </w:tcPr>
          <w:p w14:paraId="0F781271"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szCs w:val="21"/>
              </w:rPr>
            </w:pPr>
            <w:r w:rsidRPr="00D97CD7">
              <w:rPr>
                <w:rFonts w:eastAsiaTheme="minorEastAsia"/>
                <w:color w:themeColor="text1" w:val="000000"/>
                <w:szCs w:val="21"/>
              </w:rPr>
              <w:t>待摊费用</w:t>
            </w:r>
          </w:p>
        </w:tc>
        <w:tc>
          <w:tcPr>
            <w:tcW w:type="dxa" w:w="4808"/>
            <w:vAlign w:val="center"/>
          </w:tcPr>
          <w:p w14:paraId="0C68312D" w14:textId="77777777" w:rsidR="00DB3887" w:rsidRDefault="00FC6961" w:rsidRPr="00D97CD7">
            <w:pPr>
              <w:autoSpaceDE w:val="0"/>
              <w:autoSpaceDN w:val="0"/>
              <w:adjustRightInd w:val="0"/>
              <w:spacing w:before="29" w:line="360" w:lineRule="auto"/>
              <w:ind w:left="15"/>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r>
      <w:tr w14:paraId="12FB29F7" w14:textId="77777777" w:rsidR="00DB3887" w:rsidRPr="00D97CD7">
        <w:tc>
          <w:tcPr>
            <w:tcW w:type="dxa" w:w="1110"/>
            <w:vAlign w:val="center"/>
          </w:tcPr>
          <w:p w14:paraId="0B569B02"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szCs w:val="21"/>
              </w:rPr>
            </w:pPr>
            <w:r w:rsidRPr="00D97CD7">
              <w:rPr>
                <w:rFonts w:eastAsiaTheme="minorEastAsia"/>
                <w:color w:themeColor="text1" w:val="000000"/>
                <w:szCs w:val="21"/>
              </w:rPr>
              <w:t>8</w:t>
            </w:r>
          </w:p>
        </w:tc>
        <w:tc>
          <w:tcPr>
            <w:tcW w:type="dxa" w:w="2761"/>
            <w:vAlign w:val="center"/>
          </w:tcPr>
          <w:p w14:paraId="14855ECA"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其他</w:t>
            </w:r>
          </w:p>
        </w:tc>
        <w:tc>
          <w:tcPr>
            <w:tcW w:type="dxa" w:w="4808"/>
            <w:vAlign w:val="center"/>
          </w:tcPr>
          <w:p w14:paraId="5B9234A9" w14:textId="77777777" w:rsidR="00DB3887" w:rsidRDefault="00FC6961" w:rsidRPr="00D97CD7">
            <w:pPr>
              <w:autoSpaceDE w:val="0"/>
              <w:autoSpaceDN w:val="0"/>
              <w:adjustRightInd w:val="0"/>
              <w:spacing w:before="29" w:line="360" w:lineRule="auto"/>
              <w:ind w:left="15"/>
              <w:jc w:val="righ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w:t>
            </w:r>
          </w:p>
        </w:tc>
      </w:tr>
      <w:tr w14:paraId="14122474" w14:textId="77777777" w:rsidR="00DB3887" w:rsidRPr="00D97CD7">
        <w:tc>
          <w:tcPr>
            <w:tcW w:type="dxa" w:w="1110"/>
            <w:vAlign w:val="center"/>
          </w:tcPr>
          <w:p w14:paraId="488591CA" w14:textId="77777777" w:rsidR="00DB3887" w:rsidRDefault="00FC6961" w:rsidRPr="00D97CD7">
            <w:pPr>
              <w:autoSpaceDE w:val="0"/>
              <w:autoSpaceDN w:val="0"/>
              <w:adjustRightInd w:val="0"/>
              <w:spacing w:before="29" w:line="360" w:lineRule="auto"/>
              <w:ind w:left="15"/>
              <w:jc w:val="center"/>
              <w:rPr>
                <w:rFonts w:eastAsiaTheme="minorEastAsia"/>
                <w:color w:themeColor="text1" w:val="000000"/>
                <w:szCs w:val="21"/>
              </w:rPr>
            </w:pPr>
            <w:r w:rsidRPr="00D97CD7">
              <w:rPr>
                <w:rFonts w:eastAsiaTheme="minorEastAsia"/>
                <w:color w:themeColor="text1" w:val="000000"/>
                <w:szCs w:val="21"/>
              </w:rPr>
              <w:t>9</w:t>
            </w:r>
          </w:p>
        </w:tc>
        <w:tc>
          <w:tcPr>
            <w:tcW w:type="dxa" w:w="2761"/>
            <w:vAlign w:val="center"/>
          </w:tcPr>
          <w:p w14:paraId="4736E0E7" w14:textId="77777777" w:rsidR="00DB3887" w:rsidRDefault="00FC6961" w:rsidRPr="00D97CD7">
            <w:pPr>
              <w:autoSpaceDE w:val="0"/>
              <w:autoSpaceDN w:val="0"/>
              <w:adjustRightInd w:val="0"/>
              <w:spacing w:before="29" w:line="360" w:lineRule="auto"/>
              <w:ind w:left="15"/>
              <w:jc w:val="left"/>
              <w:rPr>
                <w:rFonts w:eastAsiaTheme="minorEastAsia"/>
                <w:color w:themeColor="text1" w:val="000000"/>
                <w:kern w:val="0"/>
                <w:szCs w:val="21"/>
              </w:rPr>
            </w:pPr>
            <w:r w:rsidRPr="00D97CD7">
              <w:rPr>
                <w:rFonts w:eastAsiaTheme="minorEastAsia"/>
                <w:color w:themeColor="text1" w:val="000000"/>
                <w:kern w:val="0"/>
                <w:szCs w:val="21"/>
              </w:rPr>
              <w:t>合计</w:t>
            </w:r>
          </w:p>
        </w:tc>
        <w:tc>
          <w:tcPr>
            <w:tcW w:type="dxa" w:w="4808"/>
            <w:vAlign w:val="center"/>
          </w:tcPr>
          <w:p w14:paraId="1F5ED4B0" w14:textId="77777777" w:rsidR="00DB3887" w:rsidRDefault="00FC6961" w:rsidRPr="00D97CD7">
            <w:pPr>
              <w:autoSpaceDE w:val="0"/>
              <w:autoSpaceDN w:val="0"/>
              <w:adjustRightInd w:val="0"/>
              <w:spacing w:before="29" w:line="360" w:lineRule="auto"/>
              <w:ind w:left="15"/>
              <w:jc w:val="righ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proofErr w:type="spellEnd"/>
            <w:r w:rsidRPr="00D97CD7">
              <w:rPr>
                <w:rFonts w:eastAsiaTheme="minorEastAsia"/>
                <w:color w:themeColor="text1" w:val="000000"/>
                <w:kern w:val="0"/>
                <w:szCs w:val="21"/>
              </w:rPr>
              <w:t>861,520.14</w:t>
            </w:r>
          </w:p>
        </w:tc>
      </w:tr>
    </w:tbl>
    <w:p w14:paraId="71442A13"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lastRenderedPageBreak/>
        <w:t/>
      </w:r>
      <w:proofErr w:type="gramStart"/>
      <w:r w:rsidRPr="00D97CD7">
        <w:rPr>
          <w:rFonts w:eastAsiaTheme="minorEastAsia"/>
          <w:b/>
          <w:color w:themeColor="text1" w:val="000000"/>
          <w:kern w:val="0"/>
          <w:szCs w:val="21"/>
        </w:rPr>
        <w:t>5.</w:t>
      </w:r>
      <w:proofErr w:type="gramEnd"/>
      <w:r w:rsidRPr="00D97CD7">
        <w:rPr>
          <w:rFonts w:eastAsiaTheme="minorEastAsia"/>
          <w:b/>
          <w:color w:themeColor="text1" w:val="000000"/>
          <w:kern w:val="0"/>
          <w:szCs w:val="21"/>
        </w:rPr>
        <w:t>12.4</w:t>
      </w:r>
      <w:r w:rsidRPr="00D97CD7">
        <w:rPr>
          <w:rFonts w:eastAsiaTheme="minorEastAsia"/>
          <w:b/>
          <w:color w:themeColor="text1" w:val="000000"/>
          <w:kern w:val="0"/>
          <w:szCs w:val="21"/>
        </w:rPr>
        <w:t>报告期末持有的处于转股期的可转换债券明细</w:t>
      </w:r>
    </w:p>
    <w:p w14:paraId="0C5533F8"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本基金本报告期末未持有处于转股期的可转换债券。</w:t>
      </w:r>
    </w:p>
    <w:p w14:paraId="3BB75A61" w14:textId="77777777" w:rsidR="00DB3887" w:rsidRDefault="00FC6961" w:rsidRPr="00D97CD7">
      <w:pPr>
        <w:autoSpaceDE w:val="0"/>
        <w:autoSpaceDN w:val="0"/>
        <w:adjustRightInd w:val="0"/>
        <w:spacing w:before="312" w:beforeLines="100" w:line="360" w:lineRule="auto"/>
        <w:jc w:val="left"/>
        <w:rPr>
          <w:rFonts w:eastAsiaTheme="minorEastAsia"/>
          <w:b/>
          <w:bCs/>
          <w:color w:themeColor="text1" w:val="000000"/>
          <w:szCs w:val="21"/>
        </w:rPr>
      </w:pPr>
      <w:r w:rsidRPr="00D97CD7">
        <w:rPr>
          <w:rFonts w:eastAsiaTheme="minorEastAsia"/>
          <w:b/>
          <w:color w:themeColor="text1" w:val="000000"/>
          <w:kern w:val="0"/>
          <w:szCs w:val="21"/>
        </w:rPr>
        <w:t/>
      </w:r>
      <w:proofErr w:type="gramStart"/>
      <w:r w:rsidRPr="00D97CD7">
        <w:rPr>
          <w:rFonts w:eastAsiaTheme="minorEastAsia"/>
          <w:b/>
          <w:color w:themeColor="text1" w:val="000000"/>
          <w:kern w:val="0"/>
          <w:szCs w:val="21"/>
        </w:rPr>
        <w:t>5.</w:t>
      </w:r>
      <w:proofErr w:type="gramEnd"/>
      <w:r w:rsidRPr="00D97CD7">
        <w:rPr>
          <w:rFonts w:eastAsiaTheme="minorEastAsia"/>
          <w:b/>
          <w:color w:themeColor="text1" w:val="000000"/>
          <w:kern w:val="0"/>
          <w:szCs w:val="21"/>
        </w:rPr>
        <w:t>12.5</w:t>
      </w:r>
      <w:r w:rsidRPr="00D97CD7">
        <w:rPr>
          <w:rFonts w:eastAsiaTheme="minorEastAsia"/>
          <w:b/>
          <w:bCs/>
          <w:color w:themeColor="text1" w:val="000000"/>
          <w:szCs w:val="21"/>
        </w:rPr>
        <w:t>报告期末前十名股票中存在流通受限情况的说明</w:t>
      </w:r>
    </w:p>
    <w:p w14:paraId="652B3789"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gramEnd"/>
      <w:r w:rsidRPr="00D97CD7">
        <w:rPr>
          <w:rFonts w:eastAsiaTheme="minorEastAsia"/>
          <w:color w:themeColor="text1" w:val="000000"/>
          <w:szCs w:val="21"/>
        </w:rPr>
        <w:t>本基金本报告期末前十名股票中不存在流通受限情况。</w:t>
      </w:r>
    </w:p>
    <w:p w14:paraId="45FE635A" w14:textId="77777777" w:rsidR="00DB3887" w:rsidRDefault="00FC6961" w:rsidRPr="00D97CD7">
      <w:pPr>
        <w:autoSpaceDE w:val="0"/>
        <w:autoSpaceDN w:val="0"/>
        <w:adjustRightInd w:val="0"/>
        <w:spacing w:before="312" w:beforeLines="100" w:line="360" w:lineRule="auto"/>
        <w:jc w:val="left"/>
        <w:rPr>
          <w:rFonts w:eastAsiaTheme="minorEastAsia"/>
          <w:b/>
          <w:color w:themeColor="text1" w:val="000000"/>
          <w:kern w:val="0"/>
          <w:szCs w:val="21"/>
        </w:rPr>
      </w:pPr>
      <w:r w:rsidRPr="00D97CD7">
        <w:rPr>
          <w:rFonts w:eastAsiaTheme="minorEastAsia"/>
          <w:b/>
          <w:color w:themeColor="text1" w:val="000000"/>
          <w:kern w:val="0"/>
          <w:szCs w:val="21"/>
        </w:rPr>
        <w:t/>
      </w:r>
      <w:proofErr w:type="spellStart"/>
      <w:r w:rsidRPr="00D97CD7">
        <w:rPr>
          <w:rFonts w:eastAsiaTheme="minorEastAsia"/>
          <w:b/>
          <w:color w:themeColor="text1" w:val="000000"/>
          <w:kern w:val="0"/>
          <w:szCs w:val="21"/>
        </w:rPr>
        <w:t/>
      </w:r>
      <w:proofErr w:type="gramStart"/>
      <w:r w:rsidRPr="00D97CD7">
        <w:rPr>
          <w:rFonts w:eastAsiaTheme="minorEastAsia"/>
          <w:b/>
          <w:color w:themeColor="text1" w:val="000000"/>
          <w:kern w:val="0"/>
          <w:szCs w:val="21"/>
        </w:rPr>
        <w:t/>
      </w:r>
      <w:proofErr w:type="spellEnd"/>
      <w:r w:rsidRPr="00D97CD7">
        <w:rPr>
          <w:rFonts w:eastAsiaTheme="minorEastAsia"/>
          <w:b/>
          <w:color w:themeColor="text1" w:val="000000"/>
          <w:kern w:val="0"/>
          <w:szCs w:val="21"/>
        </w:rPr>
        <w:t/>
      </w:r>
      <w:proofErr w:type="gramEnd"/>
      <w:r w:rsidRPr="00D97CD7">
        <w:rPr>
          <w:rFonts w:eastAsiaTheme="minorEastAsia"/>
          <w:b/>
          <w:color w:themeColor="text1" w:val="000000"/>
          <w:kern w:val="0"/>
          <w:szCs w:val="21"/>
        </w:rPr>
        <w:t>5.12.6</w:t>
      </w:r>
      <w:r w:rsidRPr="00D97CD7">
        <w:rPr>
          <w:rFonts w:eastAsiaTheme="minorEastAsia"/>
          <w:b/>
          <w:color w:themeColor="text1" w:val="000000"/>
          <w:kern w:val="0"/>
          <w:szCs w:val="21"/>
        </w:rPr>
        <w:t>投资组合报告附注的其他文字描述部分</w:t>
      </w:r>
    </w:p>
    <w:p w14:paraId="4B3652B4"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因四舍五入的原因，投资组合报告中分项之和与合计数可能存在尾差。</w:t>
      </w:r>
    </w:p>
    <w:p w14:paraId="7E0FA984" w14:textId="77777777" w:rsidR="00DB3887" w:rsidRDefault="00FC6961" w:rsidRPr="00D97CD7">
      <w:pPr>
        <w:pStyle w:val="1"/>
        <w:spacing w:after="312" w:afterLines="100" w:before="312" w:beforeLines="100" w:line="360" w:lineRule="auto"/>
        <w:jc w:val="center"/>
        <w:rPr>
          <w:rFonts w:eastAsiaTheme="minorEastAsia"/>
          <w:color w:themeColor="text1" w:val="000000"/>
          <w:kern w:val="0"/>
          <w:sz w:val="21"/>
          <w:szCs w:val="21"/>
        </w:rPr>
      </w:pPr>
      <w:r w:rsidRPr="00D97CD7">
        <w:rPr>
          <w:rFonts w:eastAsiaTheme="minorEastAsia"/>
          <w:color w:themeColor="text1" w:val="000000"/>
          <w:kern w:val="0"/>
          <w:sz w:val="21"/>
          <w:szCs w:val="21"/>
        </w:rPr>
        <w:t xml:space="preserve">§6  </w:t>
      </w:r>
      <w:r w:rsidRPr="00D97CD7">
        <w:rPr>
          <w:rFonts w:eastAsiaTheme="minorEastAsia"/>
          <w:color w:themeColor="text1" w:val="000000"/>
          <w:kern w:val="0"/>
          <w:sz w:val="21"/>
          <w:szCs w:val="21"/>
        </w:rPr>
        <w:t>开放式基金份额变动</w:t>
      </w:r>
    </w:p>
    <w:p w14:paraId="39E71CE6" w14:textId="77777777" w:rsidR="00DB3887" w:rsidRDefault="00FC6961" w:rsidRPr="00D97CD7">
      <w:pPr>
        <w:autoSpaceDE w:val="0"/>
        <w:autoSpaceDN w:val="0"/>
        <w:adjustRightInd w:val="0"/>
        <w:spacing w:before="29" w:line="288" w:lineRule="auto"/>
        <w:ind w:left="15" w:right="480"/>
        <w:jc w:val="right"/>
        <w:rPr>
          <w:rFonts w:eastAsiaTheme="minorEastAsia"/>
          <w:color w:themeColor="text1" w:val="000000"/>
          <w:kern w:val="0"/>
          <w:szCs w:val="21"/>
        </w:rPr>
      </w:pPr>
      <w:r w:rsidRPr="00D97CD7">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4A831581" w14:textId="77777777" w:rsidR="00DB3887" w:rsidRPr="00D97CD7">
        <w:tc>
          <w:tcPr>
            <w:tcW w:type="dxa" w:w="3900"/>
            <w:tcBorders>
              <w:top w:color="000000" w:space="0" w:sz="8" w:val="single"/>
              <w:left w:color="000000" w:space="0" w:sz="8" w:val="single"/>
              <w:bottom w:color="000000" w:space="0" w:sz="8" w:val="single"/>
              <w:right w:color="000000" w:space="0" w:sz="8" w:val="single"/>
            </w:tcBorders>
            <w:vAlign w:val="center"/>
          </w:tcPr>
          <w:p w14:paraId="724C656A" w14:textId="77777777" w:rsidR="00DB3887" w:rsidRDefault="00FC6961" w:rsidRPr="00D97CD7">
            <w:pPr>
              <w:autoSpaceDE w:val="0"/>
              <w:autoSpaceDN w:val="0"/>
              <w:adjustRightInd w:val="0"/>
              <w:spacing w:before="29" w:line="360" w:lineRule="auto"/>
              <w:ind w:left="17"/>
              <w:jc w:val="center"/>
              <w:rPr>
                <w:rFonts w:eastAsiaTheme="minorEastAsia"/>
                <w:color w:themeColor="text1" w:val="000000"/>
                <w:kern w:val="0"/>
                <w:szCs w:val="21"/>
              </w:rPr>
            </w:pPr>
            <w:r w:rsidRPr="00D97CD7">
              <w:rPr>
                <w:rFonts w:eastAsiaTheme="minorEastAsia"/>
                <w:color w:themeColor="text1" w:val="000000"/>
                <w:kern w:val="0"/>
                <w:szCs w:val="21"/>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14:paraId="77DB86BF"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lastRenderedPageBreak/>
              <w:t>上投摩根MSCI中国A股ETF联接A</w:t>
            </w:r>
          </w:p>
        </w:tc>
        <w:tc>
          <w:tcPr>
            <w:tcW w:type="dxa" w:w="2367"/>
            <w:tcBorders>
              <w:top w:color="000000" w:space="0" w:sz="8" w:val="single"/>
              <w:left w:color="000000" w:space="0" w:sz="8" w:val="single"/>
              <w:bottom w:color="000000" w:space="0" w:sz="8" w:val="single"/>
              <w:right w:color="000000" w:space="0" w:sz="8" w:val="single"/>
            </w:tcBorders>
            <w:vAlign w:val="center"/>
          </w:tcPr>
          <w:p w14:paraId="3BCD3550"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kern w:val="0"/>
                <w:szCs w:val="21"/>
              </w:rPr>
              <w:lastRenderedPageBreak/>
              <w:t/>
            </w:r>
            <w:r w:rsidRPr="00D97CD7">
              <w:rPr>
                <w:rFonts w:eastAsiaTheme="minorEastAsia"/>
                <w:color w:themeColor="text1" w:val="000000"/>
                <w:szCs w:val="21"/>
              </w:rPr>
              <w:t/>
            </w:r>
            <w:r w:rsidRPr="00D97CD7">
              <w:rPr>
                <w:rFonts w:eastAsiaTheme="minorEastAsia"/>
                <w:color w:themeColor="text1" w:val="000000"/>
                <w:szCs w:val="21"/>
              </w:rPr>
              <w:lastRenderedPageBreak/>
              <w:t>上投摩根MSCI中国A股ETF联接C</w:t>
            </w:r>
          </w:p>
        </w:tc>
      </w:tr>
      <w:tr w14:paraId="7FE9AED2" w14:textId="77777777" w:rsidR="00DB3887" w:rsidRPr="00D97CD7">
        <w:tc>
          <w:tcPr>
            <w:tcW w:type="dxa" w:w="3900"/>
            <w:tcBorders>
              <w:top w:color="000000" w:space="0" w:sz="8" w:val="single"/>
              <w:left w:color="000000" w:space="0" w:sz="8" w:val="single"/>
              <w:bottom w:color="000000" w:space="0" w:sz="8" w:val="single"/>
              <w:right w:color="000000" w:space="0" w:sz="8" w:val="single"/>
            </w:tcBorders>
            <w:vAlign w:val="center"/>
          </w:tcPr>
          <w:p w14:paraId="77805CDA" w14:textId="77777777" w:rsidR="00DB3887" w:rsidRDefault="00FC6961" w:rsidRPr="00D97CD7">
            <w:pPr>
              <w:autoSpaceDE w:val="0"/>
              <w:autoSpaceDN w:val="0"/>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本报告期期</w:t>
            </w:r>
            <w:proofErr w:type="gramStart"/>
            <w:r w:rsidRPr="00D97CD7">
              <w:rPr>
                <w:rFonts w:eastAsiaTheme="minorEastAsia"/>
                <w:color w:themeColor="text1" w:val="000000"/>
                <w:kern w:val="0"/>
                <w:szCs w:val="21"/>
              </w:rPr>
              <w:t>初基金</w:t>
            </w:r>
            <w:proofErr w:type="gramEnd"/>
            <w:r w:rsidRPr="00D97CD7">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12770904"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gramEnd"/>
            <w:r w:rsidRPr="00D97CD7">
              <w:rPr>
                <w:rFonts w:eastAsiaTheme="minorEastAsia"/>
                <w:color w:themeColor="text1" w:val="000000"/>
                <w:szCs w:val="21"/>
              </w:rPr>
              <w:t>45,900,522.92</w:t>
            </w:r>
          </w:p>
        </w:tc>
        <w:tc>
          <w:tcPr>
            <w:tcW w:type="dxa" w:w="2367"/>
            <w:tcBorders>
              <w:top w:color="000000" w:space="0" w:sz="8" w:val="single"/>
              <w:left w:color="000000" w:space="0" w:sz="8" w:val="single"/>
              <w:bottom w:color="000000" w:space="0" w:sz="8" w:val="single"/>
              <w:right w:color="000000" w:space="0" w:sz="8" w:val="single"/>
            </w:tcBorders>
            <w:vAlign w:val="center"/>
          </w:tcPr>
          <w:p w14:paraId="7BA18EA1"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End"/>
            <w:r w:rsidRPr="00D97CD7">
              <w:rPr>
                <w:rFonts w:eastAsiaTheme="minorEastAsia"/>
                <w:color w:themeColor="text1" w:val="000000"/>
                <w:szCs w:val="21"/>
              </w:rPr>
              <w:t/>
            </w:r>
            <w:proofErr w:type="gramEnd"/>
            <w:r w:rsidRPr="00D97CD7">
              <w:rPr>
                <w:rFonts w:eastAsiaTheme="minorEastAsia"/>
                <w:color w:themeColor="text1" w:val="000000"/>
                <w:szCs w:val="21"/>
              </w:rPr>
              <w:t>17,609,855.20</w:t>
            </w:r>
          </w:p>
        </w:tc>
      </w:tr>
      <w:tr w14:paraId="1A2A60C2" w14:textId="77777777" w:rsidR="00DB3887" w:rsidRPr="00D97CD7">
        <w:tc>
          <w:tcPr>
            <w:tcW w:type="dxa" w:w="3900"/>
            <w:tcBorders>
              <w:top w:color="000000" w:space="0" w:sz="8" w:val="single"/>
              <w:left w:color="000000" w:space="0" w:sz="8" w:val="single"/>
              <w:bottom w:color="000000" w:space="0" w:sz="8" w:val="single"/>
              <w:right w:color="000000" w:space="0" w:sz="8" w:val="single"/>
            </w:tcBorders>
            <w:vAlign w:val="center"/>
          </w:tcPr>
          <w:p w14:paraId="42E4A3B4" w14:textId="77777777" w:rsidR="00DB3887" w:rsidRDefault="00FC6961" w:rsidRPr="00D97CD7">
            <w:pPr>
              <w:autoSpaceDE w:val="0"/>
              <w:autoSpaceDN w:val="0"/>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r w:rsidRPr="00D97CD7">
              <w:rPr>
                <w:rFonts w:eastAsiaTheme="minorEastAsia"/>
                <w:color w:themeColor="text1" w:val="000000"/>
                <w:szCs w:val="21"/>
              </w:rPr>
              <w:t/>
            </w:r>
            <w:proofErr w:type="spellEnd"/>
            <w:r w:rsidRPr="00D97CD7">
              <w:rPr>
                <w:rFonts w:eastAsiaTheme="minorEastAsia"/>
                <w:color w:themeColor="text1" w:val="000000"/>
                <w:kern w:val="0"/>
                <w:szCs w:val="21"/>
              </w:rPr>
              <w:t>报告期期间</w:t>
            </w:r>
            <w:r w:rsidRPr="00D97CD7">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5868FC24"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1,235,455.49</w:t>
            </w:r>
          </w:p>
        </w:tc>
        <w:tc>
          <w:tcPr>
            <w:tcW w:type="dxa" w:w="2367"/>
            <w:tcBorders>
              <w:top w:color="000000" w:space="0" w:sz="8" w:val="single"/>
              <w:left w:color="000000" w:space="0" w:sz="8" w:val="single"/>
              <w:bottom w:color="000000" w:space="0" w:sz="8" w:val="single"/>
              <w:right w:color="000000" w:space="0" w:sz="8" w:val="single"/>
            </w:tcBorders>
            <w:vAlign w:val="center"/>
          </w:tcPr>
          <w:p w14:paraId="4E9DE36B"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25,272,530.49</w:t>
            </w:r>
          </w:p>
        </w:tc>
      </w:tr>
      <w:tr w14:paraId="17CEDAF9" w14:textId="77777777" w:rsidR="00DB3887" w:rsidRPr="00D97CD7">
        <w:tc>
          <w:tcPr>
            <w:tcW w:type="dxa" w:w="3900"/>
            <w:tcBorders>
              <w:top w:color="000000" w:space="0" w:sz="8" w:val="single"/>
              <w:left w:color="000000" w:space="0" w:sz="8" w:val="single"/>
              <w:bottom w:color="000000" w:space="0" w:sz="8" w:val="single"/>
              <w:right w:color="000000" w:space="0" w:sz="8" w:val="single"/>
            </w:tcBorders>
            <w:vAlign w:val="center"/>
          </w:tcPr>
          <w:p w14:paraId="66CEA0A1" w14:textId="77777777" w:rsidR="00DB3887" w:rsidRDefault="00FC6961" w:rsidRPr="00D97CD7">
            <w:pPr>
              <w:autoSpaceDE w:val="0"/>
              <w:autoSpaceDN w:val="0"/>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减：</w:t>
            </w: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r w:rsidRPr="00D97CD7">
              <w:rPr>
                <w:rFonts w:eastAsiaTheme="minorEastAsia"/>
                <w:color w:themeColor="text1" w:val="000000"/>
                <w:szCs w:val="21"/>
              </w:rPr>
              <w:t/>
            </w:r>
            <w:proofErr w:type="spellEnd"/>
            <w:r w:rsidRPr="00D97CD7">
              <w:rPr>
                <w:rFonts w:eastAsiaTheme="minorEastAsia"/>
                <w:color w:themeColor="text1" w:val="000000"/>
                <w:kern w:val="0"/>
                <w:szCs w:val="21"/>
              </w:rPr>
              <w:t>报告期期间</w:t>
            </w:r>
            <w:r w:rsidRPr="00D97CD7">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1FF53C7F"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7,879,965.10</w:t>
            </w:r>
          </w:p>
        </w:tc>
        <w:tc>
          <w:tcPr>
            <w:tcW w:type="dxa" w:w="2367"/>
            <w:tcBorders>
              <w:top w:color="000000" w:space="0" w:sz="8" w:val="single"/>
              <w:left w:color="000000" w:space="0" w:sz="8" w:val="single"/>
              <w:bottom w:color="000000" w:space="0" w:sz="8" w:val="single"/>
              <w:right w:color="000000" w:space="0" w:sz="8" w:val="single"/>
            </w:tcBorders>
            <w:vAlign w:val="center"/>
          </w:tcPr>
          <w:p w14:paraId="1E1E9F38"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27,804,951.35</w:t>
            </w:r>
          </w:p>
        </w:tc>
      </w:tr>
      <w:tr w14:paraId="4AC400D4" w14:textId="77777777" w:rsidR="00DB3887" w:rsidRPr="00D97CD7">
        <w:tc>
          <w:tcPr>
            <w:tcW w:type="dxa" w:w="3900"/>
            <w:tcBorders>
              <w:top w:color="000000" w:space="0" w:sz="8" w:val="single"/>
              <w:left w:color="000000" w:space="0" w:sz="8" w:val="single"/>
              <w:bottom w:color="000000" w:space="0" w:sz="8" w:val="single"/>
              <w:right w:color="000000" w:space="0" w:sz="8" w:val="single"/>
            </w:tcBorders>
            <w:vAlign w:val="center"/>
          </w:tcPr>
          <w:p w14:paraId="75B33BB3" w14:textId="77777777" w:rsidR="00DB3887" w:rsidRDefault="00FC6961" w:rsidRPr="00D97CD7">
            <w:pPr>
              <w:autoSpaceDE w:val="0"/>
              <w:autoSpaceDN w:val="0"/>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
            </w:r>
            <w:proofErr w:type="spellStart"/>
            <w:r w:rsidRPr="00D97CD7">
              <w:rPr>
                <w:rFonts w:eastAsiaTheme="minorEastAsia"/>
                <w:color w:themeColor="text1" w:val="000000"/>
                <w:kern w:val="0"/>
                <w:szCs w:val="21"/>
              </w:rPr>
              <w:t/>
            </w:r>
            <w:r w:rsidRPr="00D97CD7">
              <w:rPr>
                <w:rFonts w:eastAsiaTheme="minorEastAsia"/>
                <w:color w:themeColor="text1" w:val="000000"/>
                <w:szCs w:val="21"/>
              </w:rPr>
              <w:t/>
            </w:r>
            <w:proofErr w:type="spellEnd"/>
            <w:r w:rsidRPr="00D97CD7">
              <w:rPr>
                <w:rFonts w:eastAsiaTheme="minorEastAsia"/>
                <w:color w:themeColor="text1" w:val="000000"/>
                <w:kern w:val="0"/>
                <w:szCs w:val="21"/>
              </w:rPr>
              <w:t>报告期期间</w:t>
            </w:r>
            <w:r w:rsidRPr="00D97CD7">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78063989"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21DA322F"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w:t>
            </w:r>
          </w:p>
        </w:tc>
      </w:tr>
      <w:tr w14:paraId="7086785D" w14:textId="77777777" w:rsidR="00DB3887" w:rsidRPr="00D97CD7">
        <w:tc>
          <w:tcPr>
            <w:tcW w:type="dxa" w:w="3900"/>
            <w:tcBorders>
              <w:top w:color="000000" w:space="0" w:sz="8" w:val="single"/>
              <w:left w:color="000000" w:space="0" w:sz="8" w:val="single"/>
              <w:bottom w:color="000000" w:space="0" w:sz="8" w:val="single"/>
              <w:right w:color="000000" w:space="0" w:sz="8" w:val="single"/>
            </w:tcBorders>
            <w:vAlign w:val="center"/>
          </w:tcPr>
          <w:p w14:paraId="5C6090FE" w14:textId="77777777" w:rsidR="00DB3887" w:rsidRDefault="00FC6961" w:rsidRPr="00D97CD7">
            <w:pPr>
              <w:autoSpaceDE w:val="0"/>
              <w:autoSpaceDN w:val="0"/>
              <w:adjustRightInd w:val="0"/>
              <w:spacing w:before="29" w:line="360" w:lineRule="auto"/>
              <w:ind w:left="17"/>
              <w:jc w:val="left"/>
              <w:rPr>
                <w:rFonts w:eastAsiaTheme="minorEastAsia"/>
                <w:color w:themeColor="text1" w:val="000000"/>
                <w:kern w:val="0"/>
                <w:szCs w:val="21"/>
              </w:rPr>
            </w:pPr>
            <w:r w:rsidRPr="00D97CD7">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7FA74127"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39,256,013.31</w:t>
            </w:r>
          </w:p>
        </w:tc>
        <w:tc>
          <w:tcPr>
            <w:tcW w:type="dxa" w:w="2367"/>
            <w:tcBorders>
              <w:top w:color="000000" w:space="0" w:sz="8" w:val="single"/>
              <w:left w:color="000000" w:space="0" w:sz="8" w:val="single"/>
              <w:bottom w:color="000000" w:space="0" w:sz="8" w:val="single"/>
              <w:right w:color="000000" w:space="0" w:sz="8" w:val="single"/>
            </w:tcBorders>
            <w:vAlign w:val="center"/>
          </w:tcPr>
          <w:p w14:paraId="4E7B700D" w14:textId="77777777" w:rsidR="00DB3887" w:rsidRDefault="00FC6961" w:rsidRPr="00D97CD7">
            <w:pPr>
              <w:autoSpaceDE w:val="0"/>
              <w:autoSpaceDN w:val="0"/>
              <w:adjustRightInd w:val="0"/>
              <w:spacing w:before="29" w:line="360" w:lineRule="auto"/>
              <w:ind w:left="17"/>
              <w:jc w:val="right"/>
              <w:rPr>
                <w:rFonts w:eastAsiaTheme="minorEastAsia"/>
                <w:color w:themeColor="text1" w:val="000000"/>
                <w:szCs w:val="21"/>
              </w:rPr>
            </w:pPr>
            <w:r w:rsidRPr="00D97CD7">
              <w:rPr>
                <w:rFonts w:eastAsiaTheme="minorEastAsia"/>
                <w:color w:themeColor="text1" w:val="000000"/>
                <w:szCs w:val="21"/>
              </w:rPr>
              <w:t>15,077,434.34</w:t>
            </w:r>
          </w:p>
        </w:tc>
      </w:tr>
    </w:tbl>
    <w:p w14:paraId="196B8036" w14:textId="77777777" w:rsidR="00DB3887" w:rsidRDefault="00FC6961" w:rsidRPr="00D97CD7">
      <w:pPr>
        <w:pStyle w:val="1"/>
        <w:tabs>
          <w:tab w:pos="4156" w:val="center"/>
          <w:tab w:pos="8312" w:val="right"/>
        </w:tabs>
        <w:spacing w:after="312" w:afterLines="100" w:before="312" w:beforeLines="100" w:line="360" w:lineRule="auto"/>
        <w:jc w:val="center"/>
        <w:rPr>
          <w:rFonts w:eastAsiaTheme="minorEastAsia"/>
          <w:color w:themeColor="text1" w:val="000000"/>
          <w:sz w:val="21"/>
          <w:szCs w:val="21"/>
        </w:rPr>
      </w:pPr>
      <w:r w:rsidRPr="00D97CD7">
        <w:rPr>
          <w:rFonts w:eastAsiaTheme="minorEastAsia"/>
          <w:color w:themeColor="text1" w:val="000000"/>
          <w:kern w:val="0"/>
          <w:sz w:val="21"/>
          <w:szCs w:val="21"/>
        </w:rPr>
        <w:t/>
      </w:r>
      <w:proofErr w:type="spellStart"/>
      <w:r w:rsidRPr="00D97CD7">
        <w:rPr>
          <w:rFonts w:eastAsiaTheme="minorEastAsia"/>
          <w:color w:themeColor="text1" w:val="000000"/>
          <w:kern w:val="0"/>
          <w:sz w:val="21"/>
          <w:szCs w:val="21"/>
        </w:rPr>
        <w:t/>
      </w:r>
      <w:proofErr w:type="spellEnd"/>
      <w:r w:rsidRPr="00D97CD7">
        <w:rPr>
          <w:rFonts w:eastAsiaTheme="minorEastAsia"/>
          <w:color w:themeColor="text1" w:val="000000"/>
          <w:kern w:val="0"/>
          <w:sz w:val="21"/>
          <w:szCs w:val="21"/>
        </w:rPr>
        <w:t xml:space="preserve">§7  </w:t>
      </w:r>
      <w:r w:rsidRPr="00D97CD7">
        <w:rPr>
          <w:rFonts w:eastAsiaTheme="minorEastAsia"/>
          <w:color w:themeColor="text1" w:val="000000"/>
          <w:sz w:val="21"/>
          <w:szCs w:val="21"/>
        </w:rPr>
        <w:t>基金管理人运用</w:t>
      </w:r>
      <w:proofErr w:type="gramStart"/>
      <w:r w:rsidRPr="00D97CD7">
        <w:rPr>
          <w:rFonts w:eastAsiaTheme="minorEastAsia"/>
          <w:color w:themeColor="text1" w:val="000000"/>
          <w:sz w:val="21"/>
          <w:szCs w:val="21"/>
        </w:rPr>
        <w:t>固有资金</w:t>
      </w:r>
      <w:proofErr w:type="gramEnd"/>
      <w:r w:rsidRPr="00D97CD7">
        <w:rPr>
          <w:rFonts w:eastAsiaTheme="minorEastAsia"/>
          <w:color w:themeColor="text1" w:val="000000"/>
          <w:sz w:val="21"/>
          <w:szCs w:val="21"/>
        </w:rPr>
        <w:t>投资本基金情况</w:t>
      </w:r>
    </w:p>
    <w:p w14:paraId="4C225EE0" w14:textId="77777777" w:rsidR="00DB3887" w:rsidRDefault="00FC6961" w:rsidRPr="00D97CD7">
      <w:pPr>
        <w:spacing w:line="360" w:lineRule="auto"/>
        <w:jc w:val="left"/>
        <w:rPr>
          <w:rFonts w:eastAsiaTheme="minorEastAsia"/>
          <w:color w:themeColor="text1" w:val="000000"/>
          <w:szCs w:val="21"/>
        </w:rPr>
      </w:pPr>
      <w:r w:rsidRPr="00D97CD7">
        <w:rPr>
          <w:rFonts w:eastAsiaTheme="minorEastAsia"/>
          <w:b/>
          <w:color w:themeColor="text1" w:val="000000"/>
          <w:szCs w:val="21"/>
        </w:rPr>
        <w:t/>
      </w:r>
      <w:proofErr w:type="spellStart"/>
      <w:r w:rsidRPr="00D97CD7">
        <w:rPr>
          <w:rFonts w:eastAsiaTheme="minorEastAsia"/>
          <w:b/>
          <w:color w:themeColor="text1" w:val="000000"/>
          <w:szCs w:val="21"/>
        </w:rPr>
        <w:t/>
      </w:r>
      <w:proofErr w:type="gramStart"/>
      <w:r w:rsidRPr="00D97CD7">
        <w:rPr>
          <w:rFonts w:eastAsiaTheme="minorEastAsia"/>
          <w:b/>
          <w:color w:themeColor="text1" w:val="000000"/>
          <w:szCs w:val="21"/>
        </w:rPr>
        <w:t/>
      </w:r>
      <w:proofErr w:type="spellEnd"/>
      <w:r w:rsidRPr="00D97CD7">
        <w:rPr>
          <w:rFonts w:eastAsiaTheme="minorEastAsia"/>
          <w:b/>
          <w:color w:themeColor="text1" w:val="000000"/>
          <w:szCs w:val="21"/>
        </w:rPr>
        <w:t/>
      </w:r>
      <w:proofErr w:type="gramEnd"/>
      <w:r w:rsidRPr="00D97CD7">
        <w:rPr>
          <w:rFonts w:eastAsiaTheme="minorEastAsia"/>
          <w:b/>
          <w:color w:themeColor="text1" w:val="000000"/>
          <w:szCs w:val="21"/>
        </w:rPr>
        <w:t xml:space="preserve">7.1 </w:t>
      </w:r>
      <w:r w:rsidRPr="00D97CD7">
        <w:rPr>
          <w:rFonts w:eastAsiaTheme="minorEastAsia"/>
          <w:b/>
          <w:bCs/>
          <w:color w:themeColor="text1" w:val="000000"/>
          <w:kern w:val="44"/>
          <w:szCs w:val="21"/>
        </w:rPr>
        <w:t>基金管理人持有本基金份额变动情况</w:t>
      </w:r>
    </w:p>
    <w:p w14:paraId="6C29922A" w14:textId="77777777" w:rsidR="00DB3887" w:rsidRDefault="00FC6961" w:rsidRPr="00D97CD7">
      <w:pPr>
        <w:autoSpaceDE w:val="0"/>
        <w:autoSpaceDN w:val="0"/>
        <w:adjustRightInd w:val="0"/>
        <w:spacing w:line="360" w:lineRule="auto"/>
        <w:ind w:firstLine="420" w:firstLineChars="200"/>
        <w:jc w:val="left"/>
        <w:rPr>
          <w:rFonts w:eastAsiaTheme="minorEastAsia"/>
          <w:color w:themeColor="text1" w:val="000000"/>
          <w:szCs w:val="21"/>
        </w:rPr>
      </w:pPr>
      <w:r w:rsidRPr="00D97CD7">
        <w:rPr>
          <w:rFonts w:eastAsiaTheme="minorEastAsia"/>
          <w:color w:themeColor="text1" w:val="000000"/>
          <w:szCs w:val="21"/>
        </w:rPr>
        <w:t/>
      </w:r>
      <w:proofErr w:type="gramStart"/>
      <w:r w:rsidRPr="00D97CD7">
        <w:rPr>
          <w:rFonts w:eastAsiaTheme="minorEastAsia"/>
          <w:color w:themeColor="text1" w:val="000000"/>
          <w:szCs w:val="21"/>
        </w:rPr>
        <w:t/>
      </w:r>
      <w:proofErr w:type="spellStart"/>
      <w:proofErr w:type="gramEnd"/>
      <w:r w:rsidRPr="00D97CD7">
        <w:rPr>
          <w:rFonts w:eastAsiaTheme="minorEastAsia"/>
          <w:color w:themeColor="text1" w:val="000000"/>
          <w:szCs w:val="21"/>
        </w:rPr>
        <w:t/>
      </w:r>
      <w:proofErr w:type="spellEnd"/>
      <w:r w:rsidRPr="00D97CD7">
        <w:rPr>
          <w:rFonts w:eastAsiaTheme="minorEastAsia"/>
          <w:color w:themeColor="text1" w:val="000000"/>
          <w:szCs w:val="21"/>
        </w:rPr>
        <w:t>无。</w:t>
      </w:r>
    </w:p>
    <w:p w14:paraId="78641685" w14:textId="77777777" w:rsidR="00DB3887" w:rsidRDefault="00FC6961" w:rsidRPr="00D97CD7">
      <w:pPr>
        <w:pStyle w:val="1"/>
        <w:spacing w:after="312" w:afterLines="100" w:before="312" w:beforeLines="100" w:line="360" w:lineRule="auto"/>
        <w:jc w:val="center"/>
        <w:rPr>
          <w:rFonts w:eastAsiaTheme="minorEastAsia"/>
          <w:color w:themeColor="text1" w:val="000000"/>
          <w:kern w:val="0"/>
          <w:sz w:val="21"/>
          <w:szCs w:val="21"/>
        </w:rPr>
      </w:pPr>
      <w:r w:rsidRPr="00D97CD7">
        <w:rPr>
          <w:rFonts w:eastAsiaTheme="minorEastAsia"/>
          <w:color w:themeColor="text1" w:val="000000"/>
          <w:kern w:val="0"/>
          <w:sz w:val="21"/>
          <w:szCs w:val="21"/>
        </w:rPr>
        <w:t>§8</w:t>
      </w:r>
      <w:r w:rsidRPr="00D97CD7">
        <w:rPr>
          <w:rFonts w:eastAsiaTheme="minorEastAsia"/>
          <w:color w:themeColor="text1" w:val="000000"/>
          <w:kern w:val="0"/>
          <w:sz w:val="21"/>
          <w:szCs w:val="21"/>
        </w:rPr>
        <w:t>备查文件目录</w:t>
      </w:r>
    </w:p>
    <w:p w14:paraId="32C0DEF5" w14:textId="77777777" w:rsidR="00DB3887" w:rsidRDefault="00FC6961" w:rsidRPr="00D97CD7">
      <w:pPr>
        <w:autoSpaceDE w:val="0"/>
        <w:autoSpaceDN w:val="0"/>
        <w:adjustRightInd w:val="0"/>
        <w:spacing w:line="360" w:lineRule="auto"/>
        <w:jc w:val="left"/>
        <w:rPr>
          <w:rFonts w:eastAsiaTheme="minorEastAsia"/>
          <w:b/>
          <w:bCs/>
          <w:color w:themeColor="text1" w:val="000000"/>
          <w:kern w:val="0"/>
          <w:szCs w:val="21"/>
        </w:rPr>
      </w:pPr>
      <w:r w:rsidRPr="00D97CD7">
        <w:rPr>
          <w:rFonts w:eastAsiaTheme="minorEastAsia"/>
          <w:b/>
          <w:bCs/>
          <w:color w:themeColor="text1" w:val="000000"/>
          <w:kern w:val="0"/>
          <w:szCs w:val="21"/>
        </w:rPr>
        <w:t/>
      </w:r>
      <w:proofErr w:type="gramStart"/>
      <w:r w:rsidRPr="00D97CD7">
        <w:rPr>
          <w:rFonts w:eastAsiaTheme="minorEastAsia"/>
          <w:b/>
          <w:bCs/>
          <w:color w:themeColor="text1" w:val="000000"/>
          <w:kern w:val="0"/>
          <w:szCs w:val="21"/>
        </w:rPr>
        <w:t>8.</w:t>
      </w:r>
      <w:proofErr w:type="gramEnd"/>
      <w:r w:rsidRPr="00D97CD7">
        <w:rPr>
          <w:rFonts w:eastAsiaTheme="minorEastAsia"/>
          <w:b/>
          <w:bCs/>
          <w:color w:themeColor="text1" w:val="000000"/>
          <w:kern w:val="0"/>
          <w:szCs w:val="21"/>
        </w:rPr>
        <w:t>1</w:t>
      </w:r>
      <w:r w:rsidRPr="00D97CD7">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(一)中国证监会准予上投摩根MSCI中国A股交易型开放式指数证券投资基金联接基金募集注册的文件</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(二)上投摩根MSCI中国A股交易型开放式指数证券投资基金联接基金基金合同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(三)上投摩根MSCI中国A股交易型开放式指数证券投资基金联接基金托管协议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(四)法律意见书</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(五)基金管理人业务资格批件、营业执照</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(六)基金托管人业务资格批件、营业执照</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(七)上投摩根基金管理有限公司开放式基金业务规则</w:t>
      </w:r>
    </w:p>
    <w:p w14:paraId="2C36338C"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(八)中国证监会要求的其他文件</w:t>
      </w:r>
    </w:p>
    <w:p w14:paraId="366453D5" w14:textId="77777777" w:rsidR="00DB3887" w:rsidRDefault="00FC6961" w:rsidRPr="00D97CD7">
      <w:pPr>
        <w:autoSpaceDE w:val="0"/>
        <w:autoSpaceDN w:val="0"/>
        <w:adjustRightInd w:val="0"/>
        <w:spacing w:before="312" w:beforeLines="100" w:line="360" w:lineRule="auto"/>
        <w:jc w:val="left"/>
        <w:rPr>
          <w:rFonts w:eastAsiaTheme="minorEastAsia"/>
          <w:b/>
          <w:bCs/>
          <w:color w:themeColor="text1" w:val="000000"/>
          <w:kern w:val="0"/>
          <w:szCs w:val="21"/>
        </w:rPr>
      </w:pPr>
      <w:r w:rsidRPr="00D97CD7">
        <w:rPr>
          <w:rFonts w:eastAsiaTheme="minorEastAsia"/>
          <w:b/>
          <w:bCs/>
          <w:color w:themeColor="text1" w:val="000000"/>
          <w:kern w:val="0"/>
          <w:szCs w:val="21"/>
        </w:rPr>
        <w:t/>
      </w:r>
      <w:proofErr w:type="gramStart"/>
      <w:r w:rsidRPr="00D97CD7">
        <w:rPr>
          <w:rFonts w:eastAsiaTheme="minorEastAsia"/>
          <w:b/>
          <w:bCs/>
          <w:color w:themeColor="text1" w:val="000000"/>
          <w:kern w:val="0"/>
          <w:szCs w:val="21"/>
        </w:rPr>
        <w:t>8.</w:t>
      </w:r>
      <w:proofErr w:type="gramEnd"/>
      <w:r w:rsidRPr="00D97CD7">
        <w:rPr>
          <w:rFonts w:eastAsiaTheme="minorEastAsia"/>
          <w:b/>
          <w:bCs/>
          <w:color w:themeColor="text1" w:val="000000"/>
          <w:kern w:val="0"/>
          <w:szCs w:val="21"/>
        </w:rPr>
        <w:t>2</w:t>
      </w:r>
      <w:r w:rsidRPr="00D97CD7">
        <w:rPr>
          <w:rFonts w:eastAsiaTheme="minorEastAsia"/>
          <w:b/>
          <w:bCs/>
          <w:color w:themeColor="text1" w:val="000000"/>
          <w:kern w:val="0"/>
          <w:szCs w:val="21"/>
        </w:rPr>
        <w:t>存放地点</w:t>
      </w:r>
    </w:p>
    <w:p w14:paraId="41F0E147"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基金管理人或基金托管人住所。</w:t>
      </w:r>
    </w:p>
    <w:p w14:paraId="50FF44E5" w14:textId="77777777" w:rsidR="00DB3887" w:rsidRDefault="00FC6961" w:rsidRPr="00D97CD7">
      <w:pPr>
        <w:autoSpaceDE w:val="0"/>
        <w:autoSpaceDN w:val="0"/>
        <w:adjustRightInd w:val="0"/>
        <w:spacing w:before="312" w:beforeLines="100" w:line="360" w:lineRule="auto"/>
        <w:jc w:val="left"/>
        <w:rPr>
          <w:rFonts w:eastAsiaTheme="minorEastAsia"/>
          <w:b/>
          <w:bCs/>
          <w:color w:themeColor="text1" w:val="000000"/>
          <w:kern w:val="0"/>
          <w:szCs w:val="21"/>
        </w:rPr>
      </w:pPr>
      <w:r w:rsidRPr="00D97CD7">
        <w:rPr>
          <w:rFonts w:eastAsiaTheme="minorEastAsia"/>
          <w:b/>
          <w:bCs/>
          <w:color w:themeColor="text1" w:val="000000"/>
          <w:kern w:val="0"/>
          <w:szCs w:val="21"/>
        </w:rPr>
        <w:t/>
      </w:r>
      <w:proofErr w:type="gramStart"/>
      <w:r w:rsidRPr="00D97CD7">
        <w:rPr>
          <w:rFonts w:eastAsiaTheme="minorEastAsia"/>
          <w:b/>
          <w:bCs/>
          <w:color w:themeColor="text1" w:val="000000"/>
          <w:kern w:val="0"/>
          <w:szCs w:val="21"/>
        </w:rPr>
        <w:t>8.</w:t>
      </w:r>
      <w:proofErr w:type="gramEnd"/>
      <w:r w:rsidRPr="00D97CD7">
        <w:rPr>
          <w:rFonts w:eastAsiaTheme="minorEastAsia"/>
          <w:b/>
          <w:bCs/>
          <w:color w:themeColor="text1" w:val="000000"/>
          <w:kern w:val="0"/>
          <w:szCs w:val="21"/>
        </w:rPr>
        <w:t>3</w:t>
      </w:r>
      <w:r w:rsidRPr="00D97CD7">
        <w:rPr>
          <w:rFonts w:eastAsiaTheme="minorEastAsia"/>
          <w:b/>
          <w:bCs/>
          <w:color w:themeColor="text1" w:val="000000"/>
          <w:kern w:val="0"/>
          <w:szCs w:val="21"/>
        </w:rPr>
        <w:t>查阅方式</w:t>
      </w:r>
    </w:p>
    <w:p w14:paraId="6C02F8CE" w14:textId="77777777" w:rsidR="00DB3887" w:rsidRDefault="00FC6961" w:rsidRPr="00D97CD7">
      <w:pPr>
        <w:spacing w:line="360" w:lineRule="auto"/>
        <w:ind w:firstLine="420" w:firstLineChars="200"/>
        <w:rPr>
          <w:rFonts w:eastAsiaTheme="minorEastAsia"/>
          <w:color w:themeColor="text1" w:val="000000"/>
          <w:szCs w:val="21"/>
        </w:rPr>
      </w:pPr>
      <w:r w:rsidRPr="00D97CD7">
        <w:rPr>
          <w:rFonts w:eastAsiaTheme="minorEastAsia"/>
          <w:color w:themeColor="text1" w:val="000000"/>
          <w:szCs w:val="21"/>
        </w:rPr>
        <w:t/>
      </w:r>
      <w:proofErr w:type="spellStart"/>
      <w:r w:rsidRPr="00D97CD7">
        <w:rPr>
          <w:rFonts w:eastAsiaTheme="minorEastAsia"/>
          <w:color w:themeColor="text1" w:val="000000"/>
          <w:szCs w:val="21"/>
        </w:rPr>
        <w:t/>
      </w:r>
      <w:proofErr w:type="spellEnd"/>
      <w:r w:rsidRPr="00D97CD7">
        <w:rPr>
          <w:rFonts w:eastAsiaTheme="minorEastAsia"/>
          <w:color w:themeColor="text1" w:val="000000"/>
          <w:szCs w:val="21"/>
        </w:rPr>
        <w:t>投资者可在营业时间免费查阅，也可按工本费购买复印件。</w:t>
      </w:r>
    </w:p>
    <w:p w14:paraId="490FDB17" w14:textId="77777777" w:rsidR="00DB3887" w:rsidRDefault="00DB3887" w:rsidRPr="00D97CD7">
      <w:pPr>
        <w:spacing w:line="360" w:lineRule="auto"/>
        <w:ind w:left="840"/>
        <w:jc w:val="right"/>
        <w:rPr>
          <w:rFonts w:eastAsiaTheme="minorEastAsia"/>
          <w:color w:themeColor="text1" w:val="000000"/>
          <w:szCs w:val="21"/>
        </w:rPr>
      </w:pPr>
    </w:p>
    <w:p w14:paraId="0054DCB3" w14:textId="77777777" w:rsidR="00DB3887" w:rsidRDefault="00DB3887" w:rsidRPr="00D97CD7">
      <w:pPr>
        <w:spacing w:line="360" w:lineRule="auto"/>
        <w:ind w:left="840"/>
        <w:jc w:val="center"/>
        <w:rPr>
          <w:rFonts w:eastAsiaTheme="minorEastAsia"/>
          <w:b/>
          <w:color w:themeColor="text1" w:val="000000"/>
          <w:szCs w:val="21"/>
        </w:rPr>
      </w:pPr>
    </w:p>
    <w:p w14:paraId="52A35C40" w14:textId="77777777" w:rsidR="00DB3887" w:rsidRDefault="00FC6961" w:rsidRPr="00D97CD7">
      <w:pPr>
        <w:spacing w:line="360" w:lineRule="auto"/>
        <w:jc w:val="right"/>
        <w:rPr>
          <w:rFonts w:eastAsiaTheme="minorEastAsia"/>
          <w:b/>
          <w:bCs/>
          <w:color w:themeColor="text1" w:val="000000"/>
          <w:szCs w:val="21"/>
        </w:rPr>
      </w:pPr>
      <w:r w:rsidRPr="00D97CD7">
        <w:rPr>
          <w:rFonts w:eastAsiaTheme="minorEastAsia"/>
          <w:b/>
          <w:bCs/>
          <w:color w:themeColor="text1" w:val="000000"/>
          <w:szCs w:val="21"/>
        </w:rPr>
        <w:t/>
      </w:r>
      <w:proofErr w:type="spellStart"/>
      <w:r w:rsidRPr="00D97CD7">
        <w:rPr>
          <w:rFonts w:eastAsiaTheme="minorEastAsia"/>
          <w:b/>
          <w:bCs/>
          <w:color w:themeColor="text1" w:val="000000"/>
          <w:szCs w:val="21"/>
        </w:rPr>
        <w:t/>
      </w:r>
      <w:proofErr w:type="spellEnd"/>
      <w:r w:rsidRPr="00D97CD7">
        <w:rPr>
          <w:rFonts w:eastAsiaTheme="minorEastAsia"/>
          <w:b/>
          <w:bCs/>
          <w:color w:themeColor="text1" w:val="000000"/>
          <w:szCs w:val="21"/>
        </w:rPr>
        <w:t>上投摩根基金管理有限公司</w:t>
      </w:r>
    </w:p>
    <w:p w14:paraId="6016D6F2" w14:textId="77777777" w:rsidR="00DB3887" w:rsidRDefault="00FC6961" w:rsidRPr="00D97CD7">
      <w:pPr>
        <w:spacing w:line="360" w:lineRule="auto"/>
        <w:jc w:val="right"/>
        <w:rPr>
          <w:rFonts w:eastAsiaTheme="minorEastAsia"/>
          <w:b/>
          <w:bCs/>
          <w:color w:themeColor="text1" w:val="000000"/>
          <w:szCs w:val="21"/>
        </w:rPr>
      </w:pPr>
      <w:r w:rsidRPr="00D97CD7">
        <w:rPr>
          <w:rFonts w:eastAsiaTheme="minorEastAsia"/>
          <w:b/>
          <w:bCs/>
          <w:color w:themeColor="text1" w:val="000000"/>
          <w:szCs w:val="21"/>
        </w:rPr>
        <w:t/>
      </w:r>
      <w:proofErr w:type="spellStart"/>
      <w:r w:rsidRPr="00D97CD7">
        <w:rPr>
          <w:rFonts w:eastAsiaTheme="minorEastAsia"/>
          <w:b/>
          <w:bCs/>
          <w:color w:themeColor="text1" w:val="000000"/>
          <w:szCs w:val="21"/>
        </w:rPr>
        <w:t/>
      </w:r>
      <w:proofErr w:type="spellEnd"/>
      <w:r w:rsidRPr="00D97CD7">
        <w:rPr>
          <w:rFonts w:eastAsiaTheme="minorEastAsia"/>
          <w:b/>
          <w:bCs/>
          <w:color w:themeColor="text1" w:val="000000"/>
          <w:szCs w:val="21"/>
        </w:rPr>
        <w:t>二〇二一年十月二十七日</w:t>
      </w:r>
    </w:p>
    <w:sectPr w:rsidR="00DB3887" w:rsidRPr="00D97CD7">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916D" w14:textId="77777777" w:rsidR="008B6CA1" w:rsidRDefault="008B6CA1">
      <w:r>
        <w:separator/>
      </w:r>
    </w:p>
  </w:endnote>
  <w:endnote w:type="continuationSeparator" w:id="0">
    <w:p w14:paraId="58CB6A50" w14:textId="77777777" w:rsidR="008B6CA1" w:rsidRDefault="008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12E3776" w14:textId="77777777"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6DCD42D" w14:textId="77777777" w:rsidR="00FC6961" w:rsidRDefault="00FC6961">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10C4B2D1" w14:textId="77777777" w:rsidR="00FC6961" w:rsidRDefault="00FC6961">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666696A" w14:textId="77777777" w:rsidR="00FC6961" w:rsidRDefault="00FC6961">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1E6CFAB" w14:textId="77777777" w:rsidR="00FC6961" w:rsidRDefault="00FC6961">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1C976A6F" w14:textId="77777777" w:rsidR="008B6CA1" w:rsidRDefault="008B6CA1">
      <w:r>
        <w:separator/>
      </w:r>
    </w:p>
  </w:footnote>
  <w:footnote w:id="0" w:type="continuationSeparator">
    <w:p w14:paraId="21172AD6" w14:textId="77777777" w:rsidR="008B6CA1" w:rsidRDefault="008B6CA1">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47AB328" w14:textId="77777777" w:rsidR="00FC6961" w:rsidRDefault="00FC6961">
    <w:pPr>
      <w:pStyle w:val="af"/>
      <w:pBdr>
        <w:bottom w:color="auto" w:space="0" w:sz="6" w:val="single"/>
      </w:pBdr>
      <w:jc w:val="right"/>
    </w:pPr>
    <w:r>
      <w:rPr>
        <w:sz w:val="21"/>
        <w:szCs w:val="21"/>
      </w:rPr>
      <w:t/>
    </w:r>
    <w:proofErr w:type="spellStart"/>
    <w:r>
      <w:rPr>
        <w:sz w:val="21"/>
        <w:szCs w:val="21"/>
      </w:rPr>
      <w:t/>
    </w:r>
    <w:proofErr w:type="gramStart"/>
    <w:r>
      <w:rPr>
        <w:sz w:val="21"/>
        <w:szCs w:val="21"/>
      </w:rPr>
      <w:t/>
    </w:r>
    <w:proofErr w:type="spellEnd"/>
    <w:r>
      <w:rPr>
        <w:sz w:val="21"/>
        <w:szCs w:val="21"/>
      </w:rPr>
      <w:t>上投摩根MSCI中国A股交易型开放式指数证券投资基金联接基金</w:t>
    </w:r>
    <w:proofErr w:type="spellStart"/>
    <w:proofErr w:type="gramEnd"/>
    <w:r>
      <w:rPr>
        <w:sz w:val="21"/>
        <w:szCs w:val="21"/>
      </w:rPr>
      <w:t/>
    </w:r>
    <w:proofErr w:type="spellEnd"/>
    <w:r>
      <w:rPr>
        <w:sz w:val="21"/>
        <w:szCs w:val="21"/>
      </w:rPr>
      <w:t>2021年第3季度报告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ecimalSymbol w:val="."/>
  <w:listSeparator w:val=","/>
  <w14:docId w14:val="35D68C47"/>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lsdException w:name="Normal Indent" w:uiPriority="99"/>
    <w:lsdException w:name="footnote text" w:qFormat="1"/>
    <w:lsdException w:name="annotation text" w:qFormat="1" w:semiHidden="1"/>
    <w:lsdException w:name="header" w:uiPriority="99"/>
    <w:lsdException w:name="caption" w:qFormat="1" w:semiHidden="1" w:unhideWhenUsed="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qFormat="1" w:uiPriority="22"/>
    <w:lsdException w:name="Emphasis" w:qFormat="1"/>
    <w:lsdException w:name="Document Map" w:qFormat="1"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pPr>
      <w:spacing w:after="120"/>
    </w:pPr>
  </w:style>
  <w:style w:styleId="a8" w:type="paragraph">
    <w:name w:val="Body Text Indent"/>
    <w:basedOn w:val="a"/>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rPr>
      <w:rFonts w:ascii="宋体" w:hAnsi="Courier New"/>
      <w:szCs w:val="21"/>
    </w:rPr>
  </w:style>
  <w:style w:styleId="ab" w:type="paragraph">
    <w:name w:val="Date"/>
    <w:basedOn w:val="a"/>
    <w:next w:val="a"/>
    <w:link w:val="ac"/>
    <w:uiPriority w:val="99"/>
    <w:rPr>
      <w:sz w:val="24"/>
      <w:szCs w:val="20"/>
    </w:rPr>
  </w:style>
  <w:style w:styleId="20" w:type="paragraph">
    <w:name w:val="Body Text Indent 2"/>
    <w:basedOn w:val="a"/>
    <w:pPr>
      <w:spacing w:line="560" w:lineRule="exact"/>
      <w:ind w:firstLine="480" w:firstLineChars="200"/>
    </w:pPr>
    <w:rPr>
      <w:rFonts w:ascii="宋体" w:hAnsi="宋体"/>
      <w:color w:val="FF0000"/>
      <w:sz w:val="24"/>
    </w:rPr>
  </w:style>
  <w:style w:styleId="ad" w:type="paragraph">
    <w:name w:val="Balloon Text"/>
    <w:basedOn w:val="a"/>
    <w:semiHidden/>
    <w:rPr>
      <w:sz w:val="18"/>
      <w:szCs w:val="18"/>
    </w:rPr>
  </w:style>
  <w:style w:styleId="ae" w:type="paragraph">
    <w:name w:val="footer"/>
    <w:basedOn w:val="a"/>
    <w:pPr>
      <w:tabs>
        <w:tab w:pos="4153" w:val="center"/>
        <w:tab w:pos="8306" w:val="right"/>
      </w:tabs>
      <w:snapToGrid w:val="0"/>
      <w:jc w:val="left"/>
    </w:pPr>
    <w:rPr>
      <w:sz w:val="18"/>
      <w:szCs w:val="18"/>
    </w:rPr>
  </w:style>
  <w:style w:styleId="af" w:type="paragraph">
    <w:name w:val="header"/>
    <w:basedOn w:val="a"/>
    <w:link w:val="af0"/>
    <w:uiPriority w:val="99"/>
    <w:pPr>
      <w:pBdr>
        <w:bottom w:color="auto" w:space="1" w:sz="6" w:val="single"/>
      </w:pBdr>
      <w:tabs>
        <w:tab w:pos="4153" w:val="center"/>
        <w:tab w:pos="8306" w:val="right"/>
      </w:tabs>
      <w:snapToGrid w:val="0"/>
      <w:jc w:val="center"/>
    </w:pPr>
    <w:rPr>
      <w:sz w:val="18"/>
      <w:szCs w:val="18"/>
    </w:rPr>
  </w:style>
  <w:style w:styleId="af1" w:type="paragraph">
    <w:name w:val="List"/>
    <w:basedOn w:val="a7"/>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 w:type="paragraph">
    <w:name w:val="Body Text Indent 3"/>
    <w:basedOn w:val="a"/>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pPr>
      <w:jc w:val="right"/>
    </w:pPr>
    <w:rPr>
      <w:color w:val="008000"/>
    </w:rPr>
  </w:style>
  <w:style w:styleId="af5" w:type="character">
    <w:name w:val="Strong"/>
    <w:basedOn w:val="a1"/>
    <w:uiPriority w:val="22"/>
    <w:qFormat/>
    <w:rPr>
      <w:b/>
      <w:bCs/>
    </w:rPr>
  </w:style>
  <w:style w:styleId="af6" w:type="character">
    <w:name w:val="page number"/>
    <w:basedOn w:val="a1"/>
  </w:style>
  <w:style w:styleId="af7" w:type="character">
    <w:name w:val="Hyperlink"/>
    <w:basedOn w:val="a1"/>
    <w:rPr>
      <w:color w:val="0000FF"/>
      <w:u w:val="single"/>
    </w:rPr>
  </w:style>
  <w:style w:styleId="af8" w:type="character">
    <w:name w:val="annotation reference"/>
    <w:basedOn w:val="a1"/>
    <w:semiHidden/>
    <w:rPr>
      <w:sz w:val="21"/>
      <w:szCs w:val="21"/>
    </w:rPr>
  </w:style>
  <w:style w:styleId="af9" w:type="character">
    <w:name w:val="footnote reference"/>
    <w:basedOn w:val="a1"/>
    <w:qFormat/>
    <w:rPr>
      <w:vertAlign w:val="superscript"/>
    </w:rPr>
  </w:style>
  <w:style w:styleId="afa" w:type="table">
    <w:name w:val="Table Grid"/>
    <w:basedOn w:val="a2"/>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rPr>
      <w:color w:val="800080"/>
      <w:u w:val="single"/>
    </w:rPr>
  </w:style>
  <w:style w:customStyle="1" w:styleId="c1" w:type="character">
    <w:name w:val="c1"/>
    <w:basedOn w:val="a1"/>
    <w:rPr>
      <w:color w:val="000000"/>
      <w:sz w:val="18"/>
      <w:szCs w:val="18"/>
    </w:rPr>
  </w:style>
  <w:style w:customStyle="1" w:styleId="font5" w:type="paragraph">
    <w:name w:val="font5"/>
    <w:basedOn w:val="a"/>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qFormat/>
    <w:rPr>
      <w:color w:val="990000"/>
    </w:rPr>
  </w:style>
  <w:style w:customStyle="1" w:styleId="aa" w:type="character">
    <w:name w:val="纯文本 字符"/>
    <w:basedOn w:val="a1"/>
    <w:link w:val="a9"/>
    <w:uiPriority w:val="99"/>
    <w:qFormat/>
    <w:rPr>
      <w:rFonts w:ascii="宋体" w:hAnsi="Courier New"/>
      <w:kern w:val="2"/>
      <w:sz w:val="21"/>
      <w:szCs w:val="21"/>
    </w:rPr>
  </w:style>
  <w:style w:customStyle="1" w:styleId="af3" w:type="character">
    <w:name w:val="脚注文本 字符"/>
    <w:basedOn w:val="a1"/>
    <w:link w:val="af2"/>
    <w:qFormat/>
    <w:rPr>
      <w:kern w:val="2"/>
      <w:sz w:val="18"/>
      <w:szCs w:val="18"/>
    </w:rPr>
  </w:style>
  <w:style w:customStyle="1" w:styleId="Default" w:type="paragraph">
    <w:name w:val="Default"/>
    <w:qForma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qFormat/>
    <w:rPr>
      <w:kern w:val="2"/>
      <w:sz w:val="18"/>
      <w:szCs w:val="18"/>
    </w:rPr>
  </w:style>
  <w:style w:customStyle="1" w:styleId="10" w:type="character">
    <w:name w:val="标题 1 字符"/>
    <w:basedOn w:val="a1"/>
    <w:link w:val="1"/>
    <w:qFormat/>
    <w:rPr>
      <w:b/>
      <w:bCs/>
      <w:kern w:val="44"/>
      <w:sz w:val="44"/>
      <w:szCs w:val="44"/>
    </w:rPr>
  </w:style>
  <w:style w:customStyle="1" w:styleId="ac" w:type="character">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9821E-C827-48CC-A3E9-2379D0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28</Pages>
  <Words>4743</Words>
  <Characters>27039</Characters>
  <Application>Microsoft Office Word</Application>
  <DocSecurity>0</DocSecurity>
  <Lines>225</Lines>
  <Paragraphs>63</Paragraphs>
  <ScaleCrop>false</ScaleCrop>
  <Company>TRT. Ltd. Co.</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2014-12-16T08:49:00Z</dcterms:created>
  <dc:creator>bonnieliu</dc:creator>
  <cp:lastModifiedBy>良 虢</cp:lastModifiedBy>
  <cp:lastPrinted>2007-07-19T00:46:00Z</cp:lastPrinted>
  <dcterms:modified xsi:type="dcterms:W3CDTF">2021-06-04T04:02:00Z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