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上投摩根</w:t>
      </w:r>
      <w:r w:rsidRPr="00D97CD7">
        <w:rPr>
          <w:rFonts w:eastAsiaTheme="minorEastAsia"/>
          <w:b/>
          <w:color w:val="000000" w:themeColor="text1"/>
          <w:sz w:val="36"/>
          <w:szCs w:val="36"/>
        </w:rPr>
        <w:t>MSCI</w:t>
      </w:r>
      <w:r w:rsidRPr="00D97CD7">
        <w:rPr>
          <w:rFonts w:eastAsiaTheme="minorEastAsia"/>
          <w:b/>
          <w:color w:val="000000" w:themeColor="text1"/>
          <w:sz w:val="36"/>
          <w:szCs w:val="36"/>
        </w:rPr>
        <w:t>中国</w:t>
      </w:r>
      <w:r w:rsidRPr="00D97CD7">
        <w:rPr>
          <w:rFonts w:eastAsiaTheme="minorEastAsia"/>
          <w:b/>
          <w:color w:val="000000" w:themeColor="text1"/>
          <w:sz w:val="36"/>
          <w:szCs w:val="36"/>
        </w:rPr>
        <w:t>A</w:t>
      </w:r>
      <w:r w:rsidRPr="00D97CD7">
        <w:rPr>
          <w:rFonts w:eastAsiaTheme="minorEastAsia"/>
          <w:b/>
          <w:color w:val="000000" w:themeColor="text1"/>
          <w:sz w:val="36"/>
          <w:szCs w:val="36"/>
        </w:rPr>
        <w:t>股交易型开放式指数证券投资基金联接基金</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2021</w:t>
      </w:r>
      <w:r w:rsidRPr="00D97CD7">
        <w:rPr>
          <w:rFonts w:eastAsiaTheme="minorEastAsia"/>
          <w:b/>
          <w:color w:val="000000" w:themeColor="text1"/>
          <w:sz w:val="36"/>
          <w:szCs w:val="36"/>
        </w:rPr>
        <w:t>年第</w:t>
      </w:r>
      <w:r w:rsidRPr="00D97CD7">
        <w:rPr>
          <w:rFonts w:eastAsiaTheme="minorEastAsia"/>
          <w:b/>
          <w:color w:val="000000" w:themeColor="text1"/>
          <w:sz w:val="36"/>
          <w:szCs w:val="36"/>
        </w:rPr>
        <w:t>2</w:t>
      </w:r>
      <w:r w:rsidRPr="00D97CD7">
        <w:rPr>
          <w:rFonts w:eastAsiaTheme="minorEastAsia"/>
          <w:b/>
          <w:color w:val="000000" w:themeColor="text1"/>
          <w:sz w:val="36"/>
          <w:szCs w:val="36"/>
        </w:rPr>
        <w:t>季度报告</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2021</w:t>
      </w:r>
      <w:r w:rsidRPr="00D97CD7">
        <w:rPr>
          <w:rFonts w:eastAsiaTheme="minorEastAsia"/>
          <w:b/>
          <w:color w:val="000000" w:themeColor="text1"/>
          <w:sz w:val="36"/>
          <w:szCs w:val="36"/>
        </w:rPr>
        <w:t>年</w:t>
      </w:r>
      <w:r w:rsidRPr="00D97CD7">
        <w:rPr>
          <w:rFonts w:eastAsiaTheme="minorEastAsia"/>
          <w:b/>
          <w:color w:val="000000" w:themeColor="text1"/>
          <w:sz w:val="36"/>
          <w:szCs w:val="36"/>
        </w:rPr>
        <w:t>6</w:t>
      </w:r>
      <w:r w:rsidRPr="00D97CD7">
        <w:rPr>
          <w:rFonts w:eastAsiaTheme="minorEastAsia"/>
          <w:b/>
          <w:color w:val="000000" w:themeColor="text1"/>
          <w:sz w:val="36"/>
          <w:szCs w:val="36"/>
        </w:rPr>
        <w:t>月</w:t>
      </w:r>
      <w:r w:rsidRPr="00D97CD7">
        <w:rPr>
          <w:rFonts w:eastAsiaTheme="minorEastAsia"/>
          <w:b/>
          <w:color w:val="000000" w:themeColor="text1"/>
          <w:sz w:val="36"/>
          <w:szCs w:val="36"/>
        </w:rPr>
        <w:t>30</w:t>
      </w:r>
      <w:r w:rsidRPr="00D97CD7">
        <w:rPr>
          <w:rFonts w:eastAsiaTheme="minorEastAsia"/>
          <w:b/>
          <w:color w:val="000000" w:themeColor="text1"/>
          <w:sz w:val="36"/>
          <w:szCs w:val="36"/>
        </w:rPr>
        <w:t>日</w:t>
      </w: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rPr>
          <w:rFonts w:eastAsiaTheme="minorEastAsia"/>
          <w:b/>
          <w:color w:val="000000" w:themeColor="text1"/>
          <w:szCs w:val="21"/>
        </w:rPr>
      </w:pP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基金管理人：上投摩根基金管理有限公司</w:t>
      </w: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基金托管人：平安银行股份有限公司</w:t>
      </w:r>
    </w:p>
    <w:p w:rsidR="00DB3887" w:rsidRPr="00D97CD7" w:rsidRDefault="00FC6961">
      <w:pPr>
        <w:spacing w:line="360" w:lineRule="auto"/>
        <w:ind w:firstLineChars="900" w:firstLine="2168"/>
        <w:rPr>
          <w:rFonts w:eastAsiaTheme="minorEastAsia"/>
          <w:color w:val="000000" w:themeColor="text1"/>
          <w:sz w:val="24"/>
        </w:rPr>
        <w:sectPr w:rsidR="00DB3887" w:rsidRPr="00D97CD7">
          <w:headerReference w:type="default" r:id="rId8"/>
          <w:footerReference w:type="default" r:id="rId9"/>
          <w:pgSz w:w="11926" w:h="15840"/>
          <w:pgMar w:top="1418" w:right="1418" w:bottom="851" w:left="1418" w:header="851" w:footer="992" w:gutter="0"/>
          <w:cols w:space="720"/>
        </w:sectPr>
      </w:pPr>
      <w:r w:rsidRPr="00D97CD7">
        <w:rPr>
          <w:rFonts w:eastAsiaTheme="minorEastAsia"/>
          <w:b/>
          <w:color w:val="000000" w:themeColor="text1"/>
          <w:sz w:val="24"/>
        </w:rPr>
        <w:t>报告送出日期：二〇二一年七月二十一日</w:t>
      </w:r>
    </w:p>
    <w:p w:rsidR="00DB3887" w:rsidRPr="00D97CD7" w:rsidRDefault="00FC6961">
      <w:pPr>
        <w:pStyle w:val="1"/>
        <w:spacing w:beforeLines="100" w:before="312" w:afterLines="100" w:after="312" w:line="360" w:lineRule="auto"/>
        <w:jc w:val="center"/>
        <w:rPr>
          <w:rFonts w:eastAsiaTheme="minorEastAsia"/>
          <w:b w:val="0"/>
          <w:color w:val="000000" w:themeColor="text1"/>
          <w:kern w:val="0"/>
          <w:sz w:val="21"/>
          <w:szCs w:val="21"/>
        </w:rPr>
      </w:pPr>
      <w:r w:rsidRPr="00D97CD7">
        <w:rPr>
          <w:rFonts w:eastAsiaTheme="minorEastAsia"/>
          <w:color w:val="000000" w:themeColor="text1"/>
          <w:kern w:val="0"/>
          <w:sz w:val="21"/>
          <w:szCs w:val="21"/>
        </w:rPr>
        <w:lastRenderedPageBreak/>
        <w:t xml:space="preserve">§1  </w:t>
      </w:r>
      <w:r w:rsidRPr="00D97CD7">
        <w:rPr>
          <w:rFonts w:eastAsiaTheme="minorEastAsia"/>
          <w:color w:val="000000" w:themeColor="text1"/>
          <w:kern w:val="0"/>
          <w:sz w:val="21"/>
          <w:szCs w:val="21"/>
        </w:rPr>
        <w:t>重要提示</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本报告期自</w:t>
      </w:r>
      <w:r w:rsidRPr="00D97CD7">
        <w:rPr>
          <w:rFonts w:eastAsiaTheme="minorEastAsia"/>
          <w:color w:val="000000" w:themeColor="text1"/>
          <w:szCs w:val="21"/>
        </w:rPr>
        <w:t>2021</w:t>
      </w:r>
      <w:r w:rsidRPr="00D97CD7">
        <w:rPr>
          <w:rFonts w:eastAsiaTheme="minorEastAsia"/>
          <w:color w:val="000000" w:themeColor="text1"/>
          <w:szCs w:val="21"/>
        </w:rPr>
        <w:t>年</w:t>
      </w:r>
      <w:r w:rsidRPr="00D97CD7">
        <w:rPr>
          <w:rFonts w:eastAsiaTheme="minorEastAsia"/>
          <w:color w:val="000000" w:themeColor="text1"/>
          <w:szCs w:val="21"/>
        </w:rPr>
        <w:t>4</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日起至</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30</w:t>
      </w:r>
      <w:r w:rsidRPr="00D97CD7">
        <w:rPr>
          <w:rFonts w:eastAsiaTheme="minorEastAsia"/>
          <w:color w:val="000000" w:themeColor="text1"/>
          <w:szCs w:val="21"/>
        </w:rPr>
        <w:t>日止。</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§2  </w:t>
      </w:r>
      <w:r w:rsidRPr="00D97CD7">
        <w:rPr>
          <w:rFonts w:eastAsiaTheme="minorEastAsia"/>
          <w:color w:val="000000" w:themeColor="text1"/>
          <w:kern w:val="0"/>
          <w:sz w:val="21"/>
          <w:szCs w:val="21"/>
        </w:rPr>
        <w:t>基金产品概况</w:t>
      </w:r>
    </w:p>
    <w:p w:rsidR="00DB3887" w:rsidRPr="00D97CD7" w:rsidRDefault="00FC6961">
      <w:pPr>
        <w:pStyle w:val="2"/>
        <w:keepNext w:val="0"/>
        <w:keepLines w:val="0"/>
        <w:spacing w:before="0" w:after="0"/>
        <w:rPr>
          <w:rFonts w:ascii="Times New Roman" w:eastAsiaTheme="minorEastAsia" w:hAnsi="Times New Roman" w:cs="Times New Roman"/>
          <w:color w:val="000000" w:themeColor="text1"/>
          <w:sz w:val="21"/>
          <w:szCs w:val="21"/>
        </w:rPr>
      </w:pPr>
      <w:bookmarkStart w:id="1" w:name="_Toc245193810"/>
      <w:r w:rsidRPr="00D97CD7">
        <w:rPr>
          <w:rFonts w:ascii="Times New Roman" w:eastAsiaTheme="minorEastAsia" w:hAnsi="Times New Roman" w:cs="Times New Roman"/>
          <w:color w:val="000000" w:themeColor="text1"/>
          <w:sz w:val="21"/>
          <w:szCs w:val="21"/>
        </w:rPr>
        <w:t>2.1</w:t>
      </w:r>
      <w:r w:rsidRPr="00D97CD7">
        <w:rPr>
          <w:rFonts w:ascii="Times New Roman" w:eastAsiaTheme="minorEastAsia" w:hAnsi="Times New Roman" w:cs="Times New Roman"/>
          <w:color w:val="000000" w:themeColor="text1"/>
          <w:sz w:val="21"/>
          <w:szCs w:val="21"/>
        </w:rPr>
        <w:t>基金产品概况</w:t>
      </w:r>
      <w:bookmarkEnd w:id="1"/>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基金简称</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上投摩根</w:t>
            </w: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w:t>
            </w:r>
            <w:r w:rsidRPr="00D97CD7">
              <w:rPr>
                <w:rFonts w:eastAsiaTheme="minorEastAsia"/>
                <w:color w:val="000000" w:themeColor="text1"/>
                <w:kern w:val="0"/>
                <w:szCs w:val="21"/>
              </w:rPr>
              <w:t>ETF</w:t>
            </w:r>
            <w:r w:rsidRPr="00D97CD7">
              <w:rPr>
                <w:rFonts w:eastAsiaTheme="minorEastAsia"/>
                <w:color w:val="000000" w:themeColor="text1"/>
                <w:kern w:val="0"/>
                <w:szCs w:val="21"/>
              </w:rPr>
              <w:t>联接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479" w:type="dxa"/>
            <w:gridSpan w:val="2"/>
            <w:tcBorders>
              <w:bottom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008944</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基金运作方式</w:t>
            </w:r>
          </w:p>
        </w:tc>
        <w:tc>
          <w:tcPr>
            <w:tcW w:w="5479" w:type="dxa"/>
            <w:gridSpan w:val="2"/>
            <w:tcBorders>
              <w:top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契约型开放式</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基金合同生效日</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2020</w:t>
            </w:r>
            <w:r w:rsidRPr="00D97CD7">
              <w:rPr>
                <w:rFonts w:eastAsiaTheme="minorEastAsia"/>
                <w:color w:val="000000" w:themeColor="text1"/>
                <w:kern w:val="0"/>
                <w:szCs w:val="21"/>
              </w:rPr>
              <w:t>年</w:t>
            </w:r>
            <w:r w:rsidRPr="00D97CD7">
              <w:rPr>
                <w:rFonts w:eastAsiaTheme="minorEastAsia"/>
                <w:color w:val="000000" w:themeColor="text1"/>
                <w:kern w:val="0"/>
                <w:szCs w:val="21"/>
              </w:rPr>
              <w:t>7</w:t>
            </w:r>
            <w:r w:rsidRPr="00D97CD7">
              <w:rPr>
                <w:rFonts w:eastAsiaTheme="minorEastAsia"/>
                <w:color w:val="000000" w:themeColor="text1"/>
                <w:kern w:val="0"/>
                <w:szCs w:val="21"/>
              </w:rPr>
              <w:t>月</w:t>
            </w:r>
            <w:r w:rsidRPr="00D97CD7">
              <w:rPr>
                <w:rFonts w:eastAsiaTheme="minorEastAsia"/>
                <w:color w:val="000000" w:themeColor="text1"/>
                <w:kern w:val="0"/>
                <w:szCs w:val="21"/>
              </w:rPr>
              <w:t>22</w:t>
            </w:r>
            <w:r w:rsidRPr="00D97CD7">
              <w:rPr>
                <w:rFonts w:eastAsiaTheme="minorEastAsia"/>
                <w:color w:val="000000" w:themeColor="text1"/>
                <w:kern w:val="0"/>
                <w:szCs w:val="21"/>
              </w:rPr>
              <w:t>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报告期末基金份额总额</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63,510,378.12</w:t>
            </w:r>
            <w:r w:rsidRPr="00D97CD7">
              <w:rPr>
                <w:rFonts w:eastAsiaTheme="minorEastAsia"/>
                <w:color w:val="000000" w:themeColor="text1"/>
                <w:kern w:val="0"/>
                <w:szCs w:val="21"/>
              </w:rPr>
              <w:t>份</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投资目标</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通过对目标</w:t>
            </w:r>
            <w:r w:rsidRPr="00D97CD7">
              <w:rPr>
                <w:rFonts w:eastAsiaTheme="minorEastAsia"/>
                <w:color w:val="000000" w:themeColor="text1"/>
                <w:kern w:val="0"/>
                <w:szCs w:val="21"/>
              </w:rPr>
              <w:t>ETF</w:t>
            </w:r>
            <w:r w:rsidRPr="00D97CD7">
              <w:rPr>
                <w:rFonts w:eastAsiaTheme="minorEastAsia"/>
                <w:color w:val="000000" w:themeColor="text1"/>
                <w:kern w:val="0"/>
                <w:szCs w:val="21"/>
              </w:rPr>
              <w:t>基金份额的投资，追求跟踪标的指数，获得与指数收益相似的回报。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投资策略</w:t>
            </w:r>
          </w:p>
        </w:tc>
        <w:tc>
          <w:tcPr>
            <w:tcW w:w="5479" w:type="dxa"/>
            <w:gridSpan w:val="2"/>
          </w:tcPr>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本基金为上投摩根</w:t>
            </w:r>
            <w:r>
              <w:rPr>
                <w:rFonts w:eastAsiaTheme="minorEastAsia"/>
                <w:color w:val="000000" w:themeColor="text1"/>
                <w:kern w:val="0"/>
                <w:szCs w:val="21"/>
              </w:rPr>
              <w:t>MSCI</w:t>
            </w:r>
            <w:r>
              <w:rPr>
                <w:rFonts w:eastAsiaTheme="minorEastAsia"/>
                <w:color w:val="000000" w:themeColor="text1"/>
                <w:kern w:val="0"/>
                <w:szCs w:val="21"/>
              </w:rPr>
              <w:t>中国</w:t>
            </w:r>
            <w:r>
              <w:rPr>
                <w:rFonts w:eastAsiaTheme="minorEastAsia"/>
                <w:color w:val="000000" w:themeColor="text1"/>
                <w:kern w:val="0"/>
                <w:szCs w:val="21"/>
              </w:rPr>
              <w:t>A</w:t>
            </w:r>
            <w:r>
              <w:rPr>
                <w:rFonts w:eastAsiaTheme="minorEastAsia"/>
                <w:color w:val="000000" w:themeColor="text1"/>
                <w:kern w:val="0"/>
                <w:szCs w:val="21"/>
              </w:rPr>
              <w:t>股交易型开放式指数证券投资基金的联接基金，通过将基金资产主要投资于目标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。如因标的指数编制规则调整或其他因素导致跟踪误差超过上述范围，基金管理人应采取合理措施避免跟踪误差</w:t>
            </w:r>
            <w:r>
              <w:rPr>
                <w:rFonts w:eastAsiaTheme="minorEastAsia"/>
                <w:color w:val="000000" w:themeColor="text1"/>
                <w:kern w:val="0"/>
                <w:szCs w:val="21"/>
              </w:rPr>
              <w:lastRenderedPageBreak/>
              <w:t>进一步扩大。</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w:t>
            </w:r>
            <w:r>
              <w:rPr>
                <w:rFonts w:eastAsiaTheme="minorEastAsia"/>
                <w:color w:val="000000" w:themeColor="text1"/>
                <w:kern w:val="0"/>
                <w:szCs w:val="21"/>
              </w:rPr>
              <w:lastRenderedPageBreak/>
              <w:t>理有效的利用，从而提高投资组合收益。</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综合考虑市场利率、发行条款、支持资产的构成及质量等因素，对资产支持证券的风险与收益状况进行评估，在严格控制风险的情况下，确定资产合理配置比例。</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1F79E3" w:rsidRDefault="00C846C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lastRenderedPageBreak/>
              <w:t>业绩比较基准</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股人民币指数收益率</w:t>
            </w:r>
            <w:r w:rsidRPr="00D97CD7">
              <w:rPr>
                <w:rFonts w:eastAsiaTheme="minorEastAsia"/>
                <w:color w:val="000000" w:themeColor="text1"/>
                <w:kern w:val="0"/>
                <w:szCs w:val="21"/>
              </w:rPr>
              <w:t>×95%</w:t>
            </w:r>
            <w:r w:rsidRPr="00D97CD7">
              <w:rPr>
                <w:rFonts w:eastAsiaTheme="minorEastAsia"/>
                <w:color w:val="000000" w:themeColor="text1"/>
                <w:kern w:val="0"/>
                <w:szCs w:val="21"/>
              </w:rPr>
              <w:t>＋活期存款利率（税后）</w:t>
            </w:r>
            <w:r w:rsidRPr="00D97CD7">
              <w:rPr>
                <w:rFonts w:eastAsiaTheme="minorEastAsia"/>
                <w:color w:val="000000" w:themeColor="text1"/>
                <w:kern w:val="0"/>
                <w:szCs w:val="21"/>
              </w:rPr>
              <w:t>×5%</w:t>
            </w:r>
            <w:r w:rsidRPr="00D97CD7">
              <w:rPr>
                <w:rFonts w:eastAsiaTheme="minorEastAsia"/>
                <w:color w:val="000000" w:themeColor="text1"/>
                <w:kern w:val="0"/>
                <w:szCs w:val="21"/>
              </w:rPr>
              <w:t>。</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风险收益特征</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本基金为</w:t>
            </w:r>
            <w:r w:rsidRPr="00D97CD7">
              <w:rPr>
                <w:rFonts w:eastAsiaTheme="minorEastAsia"/>
                <w:color w:val="000000" w:themeColor="text1"/>
                <w:kern w:val="0"/>
                <w:szCs w:val="21"/>
              </w:rPr>
              <w:t>ETF</w:t>
            </w:r>
            <w:r w:rsidRPr="00D97CD7">
              <w:rPr>
                <w:rFonts w:eastAsiaTheme="minorEastAsia"/>
                <w:color w:val="000000" w:themeColor="text1"/>
                <w:kern w:val="0"/>
                <w:szCs w:val="21"/>
              </w:rPr>
              <w:t>联接基金，具有与目标</w:t>
            </w:r>
            <w:r w:rsidRPr="00D97CD7">
              <w:rPr>
                <w:rFonts w:eastAsiaTheme="minorEastAsia"/>
                <w:color w:val="000000" w:themeColor="text1"/>
                <w:kern w:val="0"/>
                <w:szCs w:val="21"/>
              </w:rPr>
              <w:t>ETF</w:t>
            </w:r>
            <w:r w:rsidRPr="00D97CD7">
              <w:rPr>
                <w:rFonts w:eastAsiaTheme="minorEastAsia"/>
                <w:color w:val="000000" w:themeColor="text1"/>
                <w:kern w:val="0"/>
                <w:szCs w:val="21"/>
              </w:rPr>
              <w:t>相似的风险收益特征。目标</w:t>
            </w:r>
            <w:r w:rsidRPr="00D97CD7">
              <w:rPr>
                <w:rFonts w:eastAsiaTheme="minorEastAsia"/>
                <w:color w:val="000000" w:themeColor="text1"/>
                <w:kern w:val="0"/>
                <w:szCs w:val="21"/>
              </w:rPr>
              <w:t>ETF</w:t>
            </w:r>
            <w:r w:rsidRPr="00D97CD7">
              <w:rPr>
                <w:rFonts w:eastAsiaTheme="minorEastAsia"/>
                <w:color w:val="000000" w:themeColor="text1"/>
                <w:kern w:val="0"/>
                <w:szCs w:val="21"/>
              </w:rPr>
              <w:t>为股票型指数基金，因此本基金的预期风险和预期收益高于货币市场基金、债券型基金和混合型基金，且具有与标的指数以及标的指数所代表的股票市场相似的风险收益特征。</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基金管理人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上投摩根基金管理有限公司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基金托管人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平安银行股份有限公司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szCs w:val="21"/>
              </w:rPr>
              <w:t>下属分级基金的基金简称</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下属分级基金的交易代码</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008944</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008945</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报告期末下属分级基金的份额总额</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45,900,522.92</w:t>
            </w:r>
            <w:r w:rsidRPr="00D97CD7">
              <w:rPr>
                <w:rFonts w:eastAsiaTheme="minorEastAsia"/>
                <w:color w:val="000000" w:themeColor="text1"/>
                <w:kern w:val="0"/>
                <w:szCs w:val="21"/>
              </w:rPr>
              <w:t>份</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17,609,855.20</w:t>
            </w:r>
            <w:r w:rsidRPr="00D97CD7">
              <w:rPr>
                <w:rFonts w:eastAsiaTheme="minorEastAsia"/>
                <w:color w:val="000000" w:themeColor="text1"/>
                <w:kern w:val="0"/>
                <w:szCs w:val="21"/>
              </w:rPr>
              <w:t>份</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lastRenderedPageBreak/>
        <w:t>2.1.1</w:t>
      </w:r>
      <w:r w:rsidRPr="00D97CD7">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4A0" w:firstRow="1" w:lastRow="0" w:firstColumn="1" w:lastColumn="0" w:noHBand="0" w:noVBand="1"/>
      </w:tblPr>
      <w:tblGrid>
        <w:gridCol w:w="2724"/>
        <w:gridCol w:w="5736"/>
      </w:tblGrid>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515770</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交易型开放式</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5</w:t>
            </w:r>
            <w:r w:rsidRPr="00D97CD7">
              <w:rPr>
                <w:rFonts w:eastAsiaTheme="minorEastAsia"/>
                <w:color w:val="000000" w:themeColor="text1"/>
                <w:szCs w:val="21"/>
              </w:rPr>
              <w:t>月</w:t>
            </w:r>
            <w:r w:rsidRPr="00D97CD7">
              <w:rPr>
                <w:rFonts w:eastAsiaTheme="minorEastAsia"/>
                <w:color w:val="000000" w:themeColor="text1"/>
                <w:szCs w:val="21"/>
              </w:rPr>
              <w:t>13</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上海证券交易所</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19</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上投摩根基金管理有限公司</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平安银行股份有限公司</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2.1.2</w:t>
      </w:r>
      <w:r w:rsidRPr="00D97CD7">
        <w:rPr>
          <w:rFonts w:ascii="Times New Roman" w:eastAsiaTheme="minorEastAsia" w:hAnsi="Times New Roman" w:cs="Times New Roman"/>
          <w:color w:val="000000" w:themeColor="text1"/>
          <w:sz w:val="21"/>
          <w:szCs w:val="21"/>
        </w:rPr>
        <w:t>目标基金产品说明</w:t>
      </w:r>
    </w:p>
    <w:tbl>
      <w:tblPr>
        <w:tblW w:w="8460" w:type="dxa"/>
        <w:tblInd w:w="108" w:type="dxa"/>
        <w:tblLayout w:type="fixed"/>
        <w:tblLook w:val="04A0" w:firstRow="1" w:lastRow="0" w:firstColumn="1" w:lastColumn="0" w:noHBand="0" w:noVBand="1"/>
      </w:tblPr>
      <w:tblGrid>
        <w:gridCol w:w="2820"/>
        <w:gridCol w:w="5640"/>
      </w:tblGrid>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本基金进行被动式指数化投资，紧密跟踪标的指数，追求跟踪偏离度和跟踪误差最小化。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本基金的业绩比较基准为标的指数，即</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股人民币指数收益率。</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§3  </w:t>
      </w:r>
      <w:r w:rsidRPr="00D97CD7">
        <w:rPr>
          <w:rFonts w:eastAsiaTheme="minorEastAsia"/>
          <w:color w:val="000000" w:themeColor="text1"/>
          <w:kern w:val="0"/>
          <w:sz w:val="21"/>
          <w:szCs w:val="21"/>
        </w:rPr>
        <w:t>主要财务指标和基金净值表现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3.1 </w:t>
      </w:r>
      <w:r w:rsidRPr="00D97CD7">
        <w:rPr>
          <w:rFonts w:eastAsiaTheme="minorEastAsia"/>
          <w:b/>
          <w:color w:val="000000" w:themeColor="text1"/>
          <w:kern w:val="0"/>
          <w:szCs w:val="21"/>
        </w:rPr>
        <w:t>主要财务指标</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DB3887" w:rsidRPr="00D97CD7">
        <w:tc>
          <w:tcPr>
            <w:tcW w:w="3402" w:type="dxa"/>
            <w:vMerge w:val="restart"/>
            <w:vAlign w:val="center"/>
          </w:tcPr>
          <w:p w:rsidR="00DB3887" w:rsidRPr="00D97CD7" w:rsidRDefault="00FC6961">
            <w:pPr>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主要财务指标</w:t>
            </w:r>
          </w:p>
        </w:tc>
        <w:tc>
          <w:tcPr>
            <w:tcW w:w="4962" w:type="dxa"/>
            <w:gridSpan w:val="2"/>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报告期</w:t>
            </w:r>
          </w:p>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(2021</w:t>
            </w:r>
            <w:r w:rsidRPr="00D97CD7">
              <w:rPr>
                <w:rFonts w:eastAsiaTheme="minorEastAsia"/>
                <w:color w:val="000000" w:themeColor="text1"/>
                <w:szCs w:val="21"/>
              </w:rPr>
              <w:t>年</w:t>
            </w:r>
            <w:r w:rsidRPr="00D97CD7">
              <w:rPr>
                <w:rFonts w:eastAsiaTheme="minorEastAsia"/>
                <w:color w:val="000000" w:themeColor="text1"/>
                <w:szCs w:val="21"/>
              </w:rPr>
              <w:t>4</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w:t>
            </w:r>
            <w:r w:rsidRPr="00D97CD7">
              <w:rPr>
                <w:rFonts w:eastAsiaTheme="minorEastAsia"/>
                <w:color w:val="000000" w:themeColor="text1"/>
                <w:szCs w:val="21"/>
              </w:rPr>
              <w:t>-2021</w:t>
            </w:r>
            <w:r w:rsidRPr="00D97CD7">
              <w:rPr>
                <w:rFonts w:eastAsiaTheme="minorEastAsia"/>
                <w:color w:val="000000" w:themeColor="text1"/>
                <w:szCs w:val="21"/>
              </w:rPr>
              <w:t>年</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30</w:t>
            </w:r>
            <w:r w:rsidRPr="00D97CD7">
              <w:rPr>
                <w:rFonts w:eastAsiaTheme="minorEastAsia"/>
                <w:color w:val="000000" w:themeColor="text1"/>
                <w:szCs w:val="21"/>
              </w:rPr>
              <w:t>日</w:t>
            </w:r>
            <w:r w:rsidRPr="00D97CD7">
              <w:rPr>
                <w:rFonts w:eastAsiaTheme="minorEastAsia"/>
                <w:color w:val="000000" w:themeColor="text1"/>
                <w:szCs w:val="21"/>
              </w:rPr>
              <w:t>)</w:t>
            </w:r>
          </w:p>
        </w:tc>
      </w:tr>
      <w:tr w:rsidR="00DB3887" w:rsidRPr="00D97CD7">
        <w:tc>
          <w:tcPr>
            <w:tcW w:w="3402" w:type="dxa"/>
            <w:vMerge/>
            <w:vAlign w:val="center"/>
          </w:tcPr>
          <w:p w:rsidR="00DB3887" w:rsidRPr="00D97CD7" w:rsidRDefault="00DB3887">
            <w:pPr>
              <w:adjustRightInd w:val="0"/>
              <w:spacing w:before="29" w:line="360" w:lineRule="auto"/>
              <w:ind w:left="17"/>
              <w:jc w:val="center"/>
              <w:rPr>
                <w:rFonts w:eastAsiaTheme="minorEastAsia"/>
                <w:color w:val="000000" w:themeColor="text1"/>
                <w:kern w:val="0"/>
                <w:szCs w:val="21"/>
              </w:rPr>
            </w:pP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lastRenderedPageBreak/>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lastRenderedPageBreak/>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lastRenderedPageBreak/>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lastRenderedPageBreak/>
              <w:t>1.</w:t>
            </w:r>
            <w:r w:rsidRPr="00D97CD7">
              <w:rPr>
                <w:rFonts w:eastAsiaTheme="minorEastAsia"/>
                <w:color w:val="000000" w:themeColor="text1"/>
                <w:kern w:val="0"/>
                <w:szCs w:val="21"/>
              </w:rPr>
              <w:t>本期已实现收益</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1,182,828.17</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479,682.85</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2.</w:t>
            </w:r>
            <w:r w:rsidRPr="00D97CD7">
              <w:rPr>
                <w:rFonts w:eastAsiaTheme="minorEastAsia"/>
                <w:color w:val="000000" w:themeColor="text1"/>
                <w:kern w:val="0"/>
                <w:szCs w:val="21"/>
              </w:rPr>
              <w:t>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4,503,211.97</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1,945,148.80</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加权平均基金份额本期利润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0.0893</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0.0929</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4.</w:t>
            </w:r>
            <w:r w:rsidRPr="00D97CD7">
              <w:rPr>
                <w:rFonts w:eastAsiaTheme="minorEastAsia"/>
                <w:color w:val="000000" w:themeColor="text1"/>
                <w:kern w:val="0"/>
                <w:szCs w:val="21"/>
              </w:rPr>
              <w:t>期末基金资产净值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53,424,467.69</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20,477,332.82</w:t>
            </w:r>
          </w:p>
        </w:tc>
      </w:tr>
      <w:tr w:rsidR="00DB3887" w:rsidRPr="00D97CD7">
        <w:trPr>
          <w:trHeight w:val="158"/>
        </w:trPr>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5.</w:t>
            </w:r>
            <w:r w:rsidRPr="00D97CD7">
              <w:rPr>
                <w:rFonts w:eastAsiaTheme="minorEastAsia"/>
                <w:color w:val="000000" w:themeColor="text1"/>
                <w:kern w:val="0"/>
                <w:szCs w:val="21"/>
              </w:rPr>
              <w:t>期末基金份额净值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1.1639</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1.1628</w:t>
            </w:r>
          </w:p>
        </w:tc>
      </w:tr>
    </w:tbl>
    <w:p w:rsidR="001F79E3" w:rsidRDefault="00C846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3.2 </w:t>
      </w:r>
      <w:r w:rsidRPr="00D97CD7">
        <w:rPr>
          <w:rFonts w:eastAsiaTheme="minorEastAsia"/>
          <w:b/>
          <w:color w:val="000000" w:themeColor="text1"/>
          <w:kern w:val="0"/>
          <w:szCs w:val="21"/>
        </w:rPr>
        <w:t>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3.2.1</w:t>
      </w:r>
      <w:r w:rsidRPr="00D97CD7">
        <w:rPr>
          <w:rFonts w:eastAsiaTheme="minorEastAsia"/>
          <w:b/>
          <w:color w:val="000000" w:themeColor="text1"/>
          <w:kern w:val="0"/>
          <w:szCs w:val="21"/>
        </w:rPr>
        <w:t>本报告期基金份额净值增长率及其与同期业绩比较基准收益率的比较</w:t>
      </w:r>
    </w:p>
    <w:p w:rsidR="00DB3887" w:rsidRPr="00D97CD7" w:rsidRDefault="00FC6961">
      <w:pPr>
        <w:spacing w:line="360" w:lineRule="auto"/>
        <w:rPr>
          <w:rFonts w:eastAsiaTheme="minorEastAsia"/>
          <w:b/>
          <w:color w:val="000000" w:themeColor="text1"/>
          <w:szCs w:val="21"/>
        </w:rPr>
      </w:pPr>
      <w:r w:rsidRPr="00D97CD7">
        <w:rPr>
          <w:rFonts w:eastAsiaTheme="minorEastAsia"/>
          <w:b/>
          <w:color w:val="000000" w:themeColor="text1"/>
          <w:szCs w:val="21"/>
        </w:rPr>
        <w:t>1</w:t>
      </w:r>
      <w:r w:rsidRPr="00D97CD7">
        <w:rPr>
          <w:rFonts w:eastAsiaTheme="minorEastAsia"/>
          <w:b/>
          <w:color w:val="000000" w:themeColor="text1"/>
          <w:szCs w:val="21"/>
        </w:rPr>
        <w:t>、</w:t>
      </w:r>
      <w:r w:rsidRPr="00D97CD7">
        <w:rPr>
          <w:rFonts w:eastAsiaTheme="minorEastAsia"/>
          <w:b/>
          <w:color w:val="000000" w:themeColor="text1"/>
          <w:kern w:val="0"/>
          <w:szCs w:val="21"/>
        </w:rPr>
        <w:t>上投摩根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A</w:t>
      </w:r>
      <w:r w:rsidRPr="00D97CD7">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C846C5" w:rsidTr="000F087D">
        <w:tc>
          <w:tcPr>
            <w:tcW w:w="1290" w:type="dxa"/>
            <w:vAlign w:val="center"/>
          </w:tcPr>
          <w:p w:rsidR="00C846C5" w:rsidRDefault="00C846C5" w:rsidP="00C846C5">
            <w:pPr>
              <w:jc w:val="left"/>
            </w:pPr>
            <w:r>
              <w:rPr>
                <w:rFonts w:eastAsiaTheme="minorEastAsia"/>
                <w:color w:val="000000" w:themeColor="text1"/>
                <w:szCs w:val="21"/>
              </w:rPr>
              <w:t>过去三个月</w:t>
            </w:r>
          </w:p>
        </w:tc>
        <w:tc>
          <w:tcPr>
            <w:tcW w:w="1291" w:type="dxa"/>
            <w:vAlign w:val="center"/>
          </w:tcPr>
          <w:p w:rsidR="00C846C5" w:rsidRDefault="00C846C5" w:rsidP="00C846C5">
            <w:pPr>
              <w:jc w:val="right"/>
            </w:pPr>
            <w:r>
              <w:rPr>
                <w:rFonts w:eastAsiaTheme="minorEastAsia"/>
                <w:color w:val="000000" w:themeColor="text1"/>
                <w:szCs w:val="21"/>
              </w:rPr>
              <w:t>8.35%</w:t>
            </w:r>
          </w:p>
        </w:tc>
        <w:tc>
          <w:tcPr>
            <w:tcW w:w="1291" w:type="dxa"/>
            <w:vAlign w:val="center"/>
          </w:tcPr>
          <w:p w:rsidR="00C846C5" w:rsidRDefault="00C846C5" w:rsidP="00C846C5">
            <w:pPr>
              <w:jc w:val="right"/>
            </w:pPr>
            <w:r>
              <w:rPr>
                <w:rFonts w:eastAsiaTheme="minorEastAsia"/>
                <w:color w:val="000000" w:themeColor="text1"/>
                <w:szCs w:val="21"/>
              </w:rPr>
              <w:t>0.92%</w:t>
            </w:r>
          </w:p>
        </w:tc>
        <w:tc>
          <w:tcPr>
            <w:tcW w:w="1291" w:type="dxa"/>
          </w:tcPr>
          <w:p w:rsidR="00C846C5" w:rsidRPr="0089075D" w:rsidRDefault="00C846C5" w:rsidP="00C846C5">
            <w:pPr>
              <w:jc w:val="right"/>
            </w:pPr>
            <w:r w:rsidRPr="0089075D">
              <w:t>6.51%</w:t>
            </w:r>
          </w:p>
        </w:tc>
        <w:tc>
          <w:tcPr>
            <w:tcW w:w="1291" w:type="dxa"/>
          </w:tcPr>
          <w:p w:rsidR="00C846C5" w:rsidRPr="0089075D" w:rsidRDefault="00C846C5" w:rsidP="00C846C5">
            <w:pPr>
              <w:jc w:val="right"/>
            </w:pPr>
            <w:r w:rsidRPr="0089075D">
              <w:t>0.94%</w:t>
            </w:r>
          </w:p>
        </w:tc>
        <w:tc>
          <w:tcPr>
            <w:tcW w:w="1291" w:type="dxa"/>
          </w:tcPr>
          <w:p w:rsidR="00C846C5" w:rsidRPr="0089075D" w:rsidRDefault="00C846C5" w:rsidP="00C846C5">
            <w:pPr>
              <w:jc w:val="right"/>
            </w:pPr>
            <w:r w:rsidRPr="0089075D">
              <w:t>1.84%</w:t>
            </w:r>
          </w:p>
        </w:tc>
        <w:tc>
          <w:tcPr>
            <w:tcW w:w="1291" w:type="dxa"/>
          </w:tcPr>
          <w:p w:rsidR="00C846C5" w:rsidRPr="0089075D" w:rsidRDefault="00C846C5" w:rsidP="00C846C5">
            <w:pPr>
              <w:jc w:val="right"/>
            </w:pPr>
            <w:r w:rsidRPr="0089075D">
              <w:t>-0.02%</w:t>
            </w:r>
          </w:p>
        </w:tc>
      </w:tr>
      <w:tr w:rsidR="00C846C5" w:rsidTr="000F087D">
        <w:tc>
          <w:tcPr>
            <w:tcW w:w="1290" w:type="dxa"/>
            <w:vAlign w:val="center"/>
          </w:tcPr>
          <w:p w:rsidR="00C846C5" w:rsidRDefault="00C846C5" w:rsidP="00C846C5">
            <w:pPr>
              <w:jc w:val="left"/>
            </w:pPr>
            <w:r>
              <w:rPr>
                <w:rFonts w:eastAsiaTheme="minorEastAsia"/>
                <w:color w:val="000000" w:themeColor="text1"/>
                <w:szCs w:val="21"/>
              </w:rPr>
              <w:t>过去六个月</w:t>
            </w:r>
          </w:p>
        </w:tc>
        <w:tc>
          <w:tcPr>
            <w:tcW w:w="1291" w:type="dxa"/>
            <w:vAlign w:val="center"/>
          </w:tcPr>
          <w:p w:rsidR="00C846C5" w:rsidRDefault="00C846C5" w:rsidP="00C846C5">
            <w:pPr>
              <w:jc w:val="right"/>
            </w:pPr>
            <w:r>
              <w:rPr>
                <w:rFonts w:eastAsiaTheme="minorEastAsia"/>
                <w:color w:val="000000" w:themeColor="text1"/>
                <w:szCs w:val="21"/>
              </w:rPr>
              <w:t>5.51%</w:t>
            </w:r>
          </w:p>
        </w:tc>
        <w:tc>
          <w:tcPr>
            <w:tcW w:w="1291" w:type="dxa"/>
            <w:vAlign w:val="center"/>
          </w:tcPr>
          <w:p w:rsidR="00C846C5" w:rsidRDefault="00C846C5" w:rsidP="00C846C5">
            <w:pPr>
              <w:jc w:val="right"/>
            </w:pPr>
            <w:r>
              <w:rPr>
                <w:rFonts w:eastAsiaTheme="minorEastAsia"/>
                <w:color w:val="000000" w:themeColor="text1"/>
                <w:szCs w:val="21"/>
              </w:rPr>
              <w:t>1.25%</w:t>
            </w:r>
          </w:p>
        </w:tc>
        <w:tc>
          <w:tcPr>
            <w:tcW w:w="1291" w:type="dxa"/>
          </w:tcPr>
          <w:p w:rsidR="00C846C5" w:rsidRPr="0089075D" w:rsidRDefault="00C846C5" w:rsidP="00C846C5">
            <w:pPr>
              <w:jc w:val="right"/>
            </w:pPr>
            <w:r w:rsidRPr="0089075D">
              <w:t>3.22%</w:t>
            </w:r>
          </w:p>
        </w:tc>
        <w:tc>
          <w:tcPr>
            <w:tcW w:w="1291" w:type="dxa"/>
          </w:tcPr>
          <w:p w:rsidR="00C846C5" w:rsidRPr="0089075D" w:rsidRDefault="00C846C5" w:rsidP="00C846C5">
            <w:pPr>
              <w:jc w:val="right"/>
            </w:pPr>
            <w:r w:rsidRPr="0089075D">
              <w:t>1.26%</w:t>
            </w:r>
          </w:p>
        </w:tc>
        <w:tc>
          <w:tcPr>
            <w:tcW w:w="1291" w:type="dxa"/>
          </w:tcPr>
          <w:p w:rsidR="00C846C5" w:rsidRPr="0089075D" w:rsidRDefault="00C846C5" w:rsidP="00C846C5">
            <w:pPr>
              <w:jc w:val="right"/>
            </w:pPr>
            <w:r w:rsidRPr="0089075D">
              <w:t>2.29%</w:t>
            </w:r>
          </w:p>
        </w:tc>
        <w:tc>
          <w:tcPr>
            <w:tcW w:w="1291" w:type="dxa"/>
          </w:tcPr>
          <w:p w:rsidR="00C846C5" w:rsidRPr="0089075D" w:rsidRDefault="00C846C5" w:rsidP="00C846C5">
            <w:pPr>
              <w:jc w:val="right"/>
            </w:pPr>
            <w:r w:rsidRPr="0089075D">
              <w:t>-0.01%</w:t>
            </w:r>
          </w:p>
        </w:tc>
      </w:tr>
      <w:tr w:rsidR="00C846C5" w:rsidTr="000F087D">
        <w:tc>
          <w:tcPr>
            <w:tcW w:w="1290" w:type="dxa"/>
            <w:vAlign w:val="center"/>
          </w:tcPr>
          <w:p w:rsidR="00C846C5" w:rsidRDefault="00C846C5" w:rsidP="00C846C5">
            <w:pPr>
              <w:jc w:val="left"/>
            </w:pPr>
            <w:r>
              <w:rPr>
                <w:rFonts w:eastAsiaTheme="minorEastAsia"/>
                <w:color w:val="000000" w:themeColor="text1"/>
                <w:szCs w:val="21"/>
              </w:rPr>
              <w:t>过去一年</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tcPr>
          <w:p w:rsidR="00C846C5" w:rsidRPr="0089075D" w:rsidRDefault="00C846C5" w:rsidP="00C846C5">
            <w:pPr>
              <w:jc w:val="right"/>
            </w:pPr>
            <w:r w:rsidRPr="0089075D">
              <w:t>-</w:t>
            </w:r>
          </w:p>
        </w:tc>
        <w:tc>
          <w:tcPr>
            <w:tcW w:w="1291" w:type="dxa"/>
          </w:tcPr>
          <w:p w:rsidR="00C846C5" w:rsidRPr="0089075D" w:rsidRDefault="00C846C5" w:rsidP="00C846C5">
            <w:pPr>
              <w:jc w:val="right"/>
            </w:pPr>
            <w:r w:rsidRPr="0089075D">
              <w:t>-</w:t>
            </w:r>
          </w:p>
        </w:tc>
        <w:tc>
          <w:tcPr>
            <w:tcW w:w="1291" w:type="dxa"/>
          </w:tcPr>
          <w:p w:rsidR="00C846C5" w:rsidRPr="0089075D" w:rsidRDefault="00C846C5" w:rsidP="00C846C5">
            <w:pPr>
              <w:jc w:val="right"/>
            </w:pPr>
            <w:r w:rsidRPr="0089075D">
              <w:t>-</w:t>
            </w:r>
          </w:p>
        </w:tc>
        <w:tc>
          <w:tcPr>
            <w:tcW w:w="1291" w:type="dxa"/>
          </w:tcPr>
          <w:p w:rsidR="00C846C5" w:rsidRPr="0089075D" w:rsidRDefault="00C846C5" w:rsidP="00C846C5">
            <w:pPr>
              <w:jc w:val="right"/>
            </w:pPr>
            <w:r w:rsidRPr="0089075D">
              <w:t>-</w:t>
            </w:r>
          </w:p>
        </w:tc>
      </w:tr>
      <w:tr w:rsidR="00C846C5" w:rsidTr="000F087D">
        <w:tc>
          <w:tcPr>
            <w:tcW w:w="1290" w:type="dxa"/>
            <w:vAlign w:val="center"/>
          </w:tcPr>
          <w:p w:rsidR="00C846C5" w:rsidRDefault="00C846C5" w:rsidP="00C846C5">
            <w:pPr>
              <w:jc w:val="left"/>
            </w:pPr>
            <w:r>
              <w:rPr>
                <w:rFonts w:eastAsiaTheme="minorEastAsia"/>
                <w:color w:val="000000" w:themeColor="text1"/>
                <w:szCs w:val="21"/>
              </w:rPr>
              <w:t>过去三年</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tcPr>
          <w:p w:rsidR="00C846C5" w:rsidRPr="0089075D" w:rsidRDefault="00C846C5" w:rsidP="00C846C5">
            <w:pPr>
              <w:jc w:val="right"/>
            </w:pPr>
            <w:r w:rsidRPr="0089075D">
              <w:t>-</w:t>
            </w:r>
          </w:p>
        </w:tc>
        <w:tc>
          <w:tcPr>
            <w:tcW w:w="1291" w:type="dxa"/>
          </w:tcPr>
          <w:p w:rsidR="00C846C5" w:rsidRPr="0089075D" w:rsidRDefault="00C846C5" w:rsidP="00C846C5">
            <w:pPr>
              <w:jc w:val="right"/>
            </w:pPr>
            <w:r w:rsidRPr="0089075D">
              <w:t>-</w:t>
            </w:r>
          </w:p>
        </w:tc>
        <w:tc>
          <w:tcPr>
            <w:tcW w:w="1291" w:type="dxa"/>
          </w:tcPr>
          <w:p w:rsidR="00C846C5" w:rsidRPr="0089075D" w:rsidRDefault="00C846C5" w:rsidP="00C846C5">
            <w:pPr>
              <w:jc w:val="right"/>
            </w:pPr>
            <w:r w:rsidRPr="0089075D">
              <w:t>-</w:t>
            </w:r>
          </w:p>
        </w:tc>
        <w:tc>
          <w:tcPr>
            <w:tcW w:w="1291" w:type="dxa"/>
          </w:tcPr>
          <w:p w:rsidR="00C846C5" w:rsidRPr="0089075D" w:rsidRDefault="00C846C5" w:rsidP="00C846C5">
            <w:pPr>
              <w:jc w:val="right"/>
            </w:pPr>
            <w:r w:rsidRPr="0089075D">
              <w:t>-</w:t>
            </w:r>
          </w:p>
        </w:tc>
      </w:tr>
      <w:tr w:rsidR="00C846C5" w:rsidTr="000F087D">
        <w:tc>
          <w:tcPr>
            <w:tcW w:w="1290" w:type="dxa"/>
            <w:vAlign w:val="center"/>
          </w:tcPr>
          <w:p w:rsidR="00C846C5" w:rsidRDefault="00C846C5" w:rsidP="00C846C5">
            <w:pPr>
              <w:jc w:val="left"/>
            </w:pPr>
            <w:r>
              <w:rPr>
                <w:rFonts w:eastAsiaTheme="minorEastAsia"/>
                <w:color w:val="000000" w:themeColor="text1"/>
                <w:szCs w:val="21"/>
              </w:rPr>
              <w:t>过去五年</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tcPr>
          <w:p w:rsidR="00C846C5" w:rsidRPr="0089075D" w:rsidRDefault="00C846C5" w:rsidP="00C846C5">
            <w:pPr>
              <w:jc w:val="right"/>
            </w:pPr>
            <w:r w:rsidRPr="0089075D">
              <w:t>-</w:t>
            </w:r>
          </w:p>
        </w:tc>
        <w:tc>
          <w:tcPr>
            <w:tcW w:w="1291" w:type="dxa"/>
          </w:tcPr>
          <w:p w:rsidR="00C846C5" w:rsidRPr="0089075D" w:rsidRDefault="00C846C5" w:rsidP="00C846C5">
            <w:pPr>
              <w:jc w:val="right"/>
            </w:pPr>
            <w:r w:rsidRPr="0089075D">
              <w:t>-</w:t>
            </w:r>
          </w:p>
        </w:tc>
        <w:tc>
          <w:tcPr>
            <w:tcW w:w="1291" w:type="dxa"/>
          </w:tcPr>
          <w:p w:rsidR="00C846C5" w:rsidRPr="0089075D" w:rsidRDefault="00C846C5" w:rsidP="00C846C5">
            <w:pPr>
              <w:jc w:val="right"/>
            </w:pPr>
            <w:r w:rsidRPr="0089075D">
              <w:t>-</w:t>
            </w:r>
          </w:p>
        </w:tc>
        <w:tc>
          <w:tcPr>
            <w:tcW w:w="1291" w:type="dxa"/>
          </w:tcPr>
          <w:p w:rsidR="00C846C5" w:rsidRPr="0089075D" w:rsidRDefault="00C846C5" w:rsidP="00C846C5">
            <w:pPr>
              <w:jc w:val="right"/>
            </w:pPr>
            <w:r w:rsidRPr="0089075D">
              <w:t>-</w:t>
            </w:r>
          </w:p>
        </w:tc>
      </w:tr>
      <w:tr w:rsidR="00C846C5" w:rsidTr="000F087D">
        <w:tc>
          <w:tcPr>
            <w:tcW w:w="1290" w:type="dxa"/>
            <w:vAlign w:val="center"/>
          </w:tcPr>
          <w:p w:rsidR="00C846C5" w:rsidRDefault="00C846C5" w:rsidP="00C846C5">
            <w:pPr>
              <w:jc w:val="left"/>
            </w:pPr>
            <w:r>
              <w:rPr>
                <w:rFonts w:eastAsiaTheme="minorEastAsia"/>
                <w:color w:val="000000" w:themeColor="text1"/>
                <w:szCs w:val="21"/>
              </w:rPr>
              <w:t>自基金合同生效起至今</w:t>
            </w:r>
          </w:p>
        </w:tc>
        <w:tc>
          <w:tcPr>
            <w:tcW w:w="1291" w:type="dxa"/>
            <w:vAlign w:val="center"/>
          </w:tcPr>
          <w:p w:rsidR="00C846C5" w:rsidRDefault="00C846C5" w:rsidP="00C846C5">
            <w:pPr>
              <w:jc w:val="right"/>
            </w:pPr>
            <w:r>
              <w:rPr>
                <w:rFonts w:eastAsiaTheme="minorEastAsia"/>
                <w:color w:val="000000" w:themeColor="text1"/>
                <w:szCs w:val="21"/>
              </w:rPr>
              <w:t>16.39%</w:t>
            </w:r>
          </w:p>
        </w:tc>
        <w:tc>
          <w:tcPr>
            <w:tcW w:w="1291" w:type="dxa"/>
            <w:vAlign w:val="center"/>
          </w:tcPr>
          <w:p w:rsidR="00C846C5" w:rsidRDefault="00C846C5" w:rsidP="00C846C5">
            <w:pPr>
              <w:jc w:val="right"/>
            </w:pPr>
            <w:r>
              <w:rPr>
                <w:rFonts w:eastAsiaTheme="minorEastAsia"/>
                <w:color w:val="000000" w:themeColor="text1"/>
                <w:szCs w:val="21"/>
              </w:rPr>
              <w:t>1.10%</w:t>
            </w:r>
          </w:p>
        </w:tc>
        <w:tc>
          <w:tcPr>
            <w:tcW w:w="1291" w:type="dxa"/>
          </w:tcPr>
          <w:p w:rsidR="00C846C5" w:rsidRPr="0089075D" w:rsidRDefault="00C846C5" w:rsidP="00C846C5">
            <w:pPr>
              <w:jc w:val="right"/>
            </w:pPr>
            <w:r w:rsidRPr="0089075D">
              <w:t>13.43%</w:t>
            </w:r>
          </w:p>
        </w:tc>
        <w:tc>
          <w:tcPr>
            <w:tcW w:w="1291" w:type="dxa"/>
          </w:tcPr>
          <w:p w:rsidR="00C846C5" w:rsidRPr="0089075D" w:rsidRDefault="00C846C5" w:rsidP="00C846C5">
            <w:pPr>
              <w:jc w:val="right"/>
            </w:pPr>
            <w:r w:rsidRPr="0089075D">
              <w:t>1.18%</w:t>
            </w:r>
          </w:p>
        </w:tc>
        <w:tc>
          <w:tcPr>
            <w:tcW w:w="1291" w:type="dxa"/>
          </w:tcPr>
          <w:p w:rsidR="00C846C5" w:rsidRPr="0089075D" w:rsidRDefault="00C846C5" w:rsidP="00C846C5">
            <w:pPr>
              <w:jc w:val="right"/>
            </w:pPr>
            <w:r w:rsidRPr="0089075D">
              <w:t>2.96%</w:t>
            </w:r>
          </w:p>
        </w:tc>
        <w:tc>
          <w:tcPr>
            <w:tcW w:w="1291" w:type="dxa"/>
          </w:tcPr>
          <w:p w:rsidR="00C846C5" w:rsidRDefault="00C846C5" w:rsidP="00C846C5">
            <w:pPr>
              <w:jc w:val="right"/>
            </w:pPr>
            <w:r w:rsidRPr="0089075D">
              <w:t>-0.08%</w:t>
            </w:r>
          </w:p>
        </w:tc>
      </w:tr>
    </w:tbl>
    <w:p w:rsidR="00DB3887" w:rsidRPr="00D97CD7" w:rsidRDefault="00FC6961">
      <w:pPr>
        <w:adjustRightInd w:val="0"/>
        <w:spacing w:beforeLines="100" w:before="312" w:line="360" w:lineRule="auto"/>
        <w:rPr>
          <w:rFonts w:eastAsiaTheme="minorEastAsia"/>
          <w:b/>
          <w:color w:val="000000" w:themeColor="text1"/>
          <w:kern w:val="0"/>
          <w:szCs w:val="21"/>
        </w:rPr>
      </w:pPr>
      <w:r w:rsidRPr="00D97CD7">
        <w:rPr>
          <w:rFonts w:eastAsiaTheme="minorEastAsia"/>
          <w:b/>
          <w:color w:val="000000" w:themeColor="text1"/>
          <w:szCs w:val="21"/>
        </w:rPr>
        <w:t>2</w:t>
      </w:r>
      <w:r w:rsidRPr="00D97CD7">
        <w:rPr>
          <w:rFonts w:eastAsiaTheme="minorEastAsia"/>
          <w:b/>
          <w:color w:val="000000" w:themeColor="text1"/>
          <w:szCs w:val="21"/>
        </w:rPr>
        <w:t>、</w:t>
      </w:r>
      <w:r w:rsidRPr="00D97CD7">
        <w:rPr>
          <w:rFonts w:eastAsiaTheme="minorEastAsia"/>
          <w:b/>
          <w:color w:val="000000" w:themeColor="text1"/>
          <w:kern w:val="0"/>
          <w:szCs w:val="21"/>
        </w:rPr>
        <w:t>上投摩根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C</w:t>
      </w:r>
      <w:r w:rsidRPr="00D97CD7">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C846C5" w:rsidTr="0072551A">
        <w:tc>
          <w:tcPr>
            <w:tcW w:w="1290" w:type="dxa"/>
            <w:vAlign w:val="center"/>
          </w:tcPr>
          <w:p w:rsidR="00C846C5" w:rsidRDefault="00C846C5" w:rsidP="00C846C5">
            <w:pPr>
              <w:jc w:val="left"/>
            </w:pPr>
            <w:r>
              <w:rPr>
                <w:rFonts w:eastAsiaTheme="minorEastAsia"/>
                <w:color w:val="000000" w:themeColor="text1"/>
                <w:szCs w:val="21"/>
              </w:rPr>
              <w:t>过去三个月</w:t>
            </w:r>
          </w:p>
        </w:tc>
        <w:tc>
          <w:tcPr>
            <w:tcW w:w="1291" w:type="dxa"/>
            <w:vAlign w:val="center"/>
          </w:tcPr>
          <w:p w:rsidR="00C846C5" w:rsidRDefault="00C846C5" w:rsidP="00C846C5">
            <w:pPr>
              <w:jc w:val="right"/>
            </w:pPr>
            <w:r>
              <w:rPr>
                <w:rFonts w:eastAsiaTheme="minorEastAsia"/>
                <w:color w:val="000000" w:themeColor="text1"/>
                <w:szCs w:val="21"/>
              </w:rPr>
              <w:t>8.33%</w:t>
            </w:r>
          </w:p>
        </w:tc>
        <w:tc>
          <w:tcPr>
            <w:tcW w:w="1291" w:type="dxa"/>
            <w:vAlign w:val="center"/>
          </w:tcPr>
          <w:p w:rsidR="00C846C5" w:rsidRDefault="00C846C5" w:rsidP="00C846C5">
            <w:pPr>
              <w:jc w:val="right"/>
            </w:pPr>
            <w:r>
              <w:rPr>
                <w:rFonts w:eastAsiaTheme="minorEastAsia"/>
                <w:color w:val="000000" w:themeColor="text1"/>
                <w:szCs w:val="21"/>
              </w:rPr>
              <w:t>0.92%</w:t>
            </w:r>
          </w:p>
        </w:tc>
        <w:tc>
          <w:tcPr>
            <w:tcW w:w="1291" w:type="dxa"/>
          </w:tcPr>
          <w:p w:rsidR="00C846C5" w:rsidRPr="007105E4" w:rsidRDefault="00C846C5" w:rsidP="00C846C5">
            <w:pPr>
              <w:jc w:val="right"/>
            </w:pPr>
            <w:r w:rsidRPr="007105E4">
              <w:t>6.51%</w:t>
            </w:r>
          </w:p>
        </w:tc>
        <w:tc>
          <w:tcPr>
            <w:tcW w:w="1291" w:type="dxa"/>
          </w:tcPr>
          <w:p w:rsidR="00C846C5" w:rsidRPr="007105E4" w:rsidRDefault="00C846C5" w:rsidP="00C846C5">
            <w:pPr>
              <w:jc w:val="right"/>
            </w:pPr>
            <w:r w:rsidRPr="007105E4">
              <w:t>0.94%</w:t>
            </w:r>
          </w:p>
        </w:tc>
        <w:tc>
          <w:tcPr>
            <w:tcW w:w="1291" w:type="dxa"/>
          </w:tcPr>
          <w:p w:rsidR="00C846C5" w:rsidRPr="007105E4" w:rsidRDefault="00C846C5" w:rsidP="00C846C5">
            <w:pPr>
              <w:jc w:val="right"/>
            </w:pPr>
            <w:r w:rsidRPr="007105E4">
              <w:t>1.82%</w:t>
            </w:r>
          </w:p>
        </w:tc>
        <w:tc>
          <w:tcPr>
            <w:tcW w:w="1291" w:type="dxa"/>
          </w:tcPr>
          <w:p w:rsidR="00C846C5" w:rsidRPr="007105E4" w:rsidRDefault="00C846C5" w:rsidP="00C846C5">
            <w:pPr>
              <w:jc w:val="right"/>
            </w:pPr>
            <w:r w:rsidRPr="007105E4">
              <w:t>-0.02%</w:t>
            </w:r>
          </w:p>
        </w:tc>
      </w:tr>
      <w:tr w:rsidR="00C846C5" w:rsidTr="0072551A">
        <w:tc>
          <w:tcPr>
            <w:tcW w:w="1290" w:type="dxa"/>
            <w:vAlign w:val="center"/>
          </w:tcPr>
          <w:p w:rsidR="00C846C5" w:rsidRDefault="00C846C5" w:rsidP="00C846C5">
            <w:pPr>
              <w:jc w:val="left"/>
            </w:pPr>
            <w:r>
              <w:rPr>
                <w:rFonts w:eastAsiaTheme="minorEastAsia"/>
                <w:color w:val="000000" w:themeColor="text1"/>
                <w:szCs w:val="21"/>
              </w:rPr>
              <w:t>过去六个月</w:t>
            </w:r>
          </w:p>
        </w:tc>
        <w:tc>
          <w:tcPr>
            <w:tcW w:w="1291" w:type="dxa"/>
            <w:vAlign w:val="center"/>
          </w:tcPr>
          <w:p w:rsidR="00C846C5" w:rsidRDefault="00C846C5" w:rsidP="00C846C5">
            <w:pPr>
              <w:jc w:val="right"/>
            </w:pPr>
            <w:r>
              <w:rPr>
                <w:rFonts w:eastAsiaTheme="minorEastAsia"/>
                <w:color w:val="000000" w:themeColor="text1"/>
                <w:szCs w:val="21"/>
              </w:rPr>
              <w:t>5.46%</w:t>
            </w:r>
          </w:p>
        </w:tc>
        <w:tc>
          <w:tcPr>
            <w:tcW w:w="1291" w:type="dxa"/>
            <w:vAlign w:val="center"/>
          </w:tcPr>
          <w:p w:rsidR="00C846C5" w:rsidRDefault="00C846C5" w:rsidP="00C846C5">
            <w:pPr>
              <w:jc w:val="right"/>
            </w:pPr>
            <w:r>
              <w:rPr>
                <w:rFonts w:eastAsiaTheme="minorEastAsia"/>
                <w:color w:val="000000" w:themeColor="text1"/>
                <w:szCs w:val="21"/>
              </w:rPr>
              <w:t>1.25%</w:t>
            </w:r>
          </w:p>
        </w:tc>
        <w:tc>
          <w:tcPr>
            <w:tcW w:w="1291" w:type="dxa"/>
          </w:tcPr>
          <w:p w:rsidR="00C846C5" w:rsidRPr="007105E4" w:rsidRDefault="00C846C5" w:rsidP="00C846C5">
            <w:pPr>
              <w:jc w:val="right"/>
            </w:pPr>
            <w:r w:rsidRPr="007105E4">
              <w:t>3.22%</w:t>
            </w:r>
          </w:p>
        </w:tc>
        <w:tc>
          <w:tcPr>
            <w:tcW w:w="1291" w:type="dxa"/>
          </w:tcPr>
          <w:p w:rsidR="00C846C5" w:rsidRPr="007105E4" w:rsidRDefault="00C846C5" w:rsidP="00C846C5">
            <w:pPr>
              <w:jc w:val="right"/>
            </w:pPr>
            <w:r w:rsidRPr="007105E4">
              <w:t>1.26%</w:t>
            </w:r>
          </w:p>
        </w:tc>
        <w:tc>
          <w:tcPr>
            <w:tcW w:w="1291" w:type="dxa"/>
          </w:tcPr>
          <w:p w:rsidR="00C846C5" w:rsidRPr="007105E4" w:rsidRDefault="00C846C5" w:rsidP="00C846C5">
            <w:pPr>
              <w:jc w:val="right"/>
            </w:pPr>
            <w:r w:rsidRPr="007105E4">
              <w:t>2.24%</w:t>
            </w:r>
          </w:p>
        </w:tc>
        <w:tc>
          <w:tcPr>
            <w:tcW w:w="1291" w:type="dxa"/>
          </w:tcPr>
          <w:p w:rsidR="00C846C5" w:rsidRPr="007105E4" w:rsidRDefault="00C846C5" w:rsidP="00C846C5">
            <w:pPr>
              <w:jc w:val="right"/>
            </w:pPr>
            <w:r w:rsidRPr="007105E4">
              <w:t>-0.01%</w:t>
            </w:r>
          </w:p>
        </w:tc>
      </w:tr>
      <w:tr w:rsidR="00C846C5" w:rsidTr="0072551A">
        <w:tc>
          <w:tcPr>
            <w:tcW w:w="1290" w:type="dxa"/>
            <w:vAlign w:val="center"/>
          </w:tcPr>
          <w:p w:rsidR="00C846C5" w:rsidRDefault="00C846C5" w:rsidP="00C846C5">
            <w:pPr>
              <w:jc w:val="left"/>
            </w:pPr>
            <w:r>
              <w:rPr>
                <w:rFonts w:eastAsiaTheme="minorEastAsia"/>
                <w:color w:val="000000" w:themeColor="text1"/>
                <w:szCs w:val="21"/>
              </w:rPr>
              <w:t>过去一年</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tcPr>
          <w:p w:rsidR="00C846C5" w:rsidRPr="007105E4" w:rsidRDefault="00C846C5" w:rsidP="00C846C5">
            <w:pPr>
              <w:jc w:val="right"/>
            </w:pPr>
            <w:r w:rsidRPr="007105E4">
              <w:t>-</w:t>
            </w:r>
          </w:p>
        </w:tc>
        <w:tc>
          <w:tcPr>
            <w:tcW w:w="1291" w:type="dxa"/>
          </w:tcPr>
          <w:p w:rsidR="00C846C5" w:rsidRPr="007105E4" w:rsidRDefault="00C846C5" w:rsidP="00C846C5">
            <w:pPr>
              <w:jc w:val="right"/>
            </w:pPr>
            <w:r w:rsidRPr="007105E4">
              <w:t>-</w:t>
            </w:r>
          </w:p>
        </w:tc>
        <w:tc>
          <w:tcPr>
            <w:tcW w:w="1291" w:type="dxa"/>
          </w:tcPr>
          <w:p w:rsidR="00C846C5" w:rsidRPr="007105E4" w:rsidRDefault="00C846C5" w:rsidP="00C846C5">
            <w:pPr>
              <w:jc w:val="right"/>
            </w:pPr>
            <w:r w:rsidRPr="007105E4">
              <w:t>-</w:t>
            </w:r>
          </w:p>
        </w:tc>
        <w:tc>
          <w:tcPr>
            <w:tcW w:w="1291" w:type="dxa"/>
          </w:tcPr>
          <w:p w:rsidR="00C846C5" w:rsidRPr="007105E4" w:rsidRDefault="00C846C5" w:rsidP="00C846C5">
            <w:pPr>
              <w:jc w:val="right"/>
            </w:pPr>
            <w:r w:rsidRPr="007105E4">
              <w:t>-</w:t>
            </w:r>
          </w:p>
        </w:tc>
      </w:tr>
      <w:tr w:rsidR="00C846C5" w:rsidTr="0072551A">
        <w:tc>
          <w:tcPr>
            <w:tcW w:w="1290" w:type="dxa"/>
            <w:vAlign w:val="center"/>
          </w:tcPr>
          <w:p w:rsidR="00C846C5" w:rsidRDefault="00C846C5" w:rsidP="00C846C5">
            <w:pPr>
              <w:jc w:val="left"/>
            </w:pPr>
            <w:r>
              <w:rPr>
                <w:rFonts w:eastAsiaTheme="minorEastAsia"/>
                <w:color w:val="000000" w:themeColor="text1"/>
                <w:szCs w:val="21"/>
              </w:rPr>
              <w:t>过去三年</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tcPr>
          <w:p w:rsidR="00C846C5" w:rsidRPr="007105E4" w:rsidRDefault="00C846C5" w:rsidP="00C846C5">
            <w:pPr>
              <w:jc w:val="right"/>
            </w:pPr>
            <w:r w:rsidRPr="007105E4">
              <w:t>-</w:t>
            </w:r>
          </w:p>
        </w:tc>
        <w:tc>
          <w:tcPr>
            <w:tcW w:w="1291" w:type="dxa"/>
          </w:tcPr>
          <w:p w:rsidR="00C846C5" w:rsidRPr="007105E4" w:rsidRDefault="00C846C5" w:rsidP="00C846C5">
            <w:pPr>
              <w:jc w:val="right"/>
            </w:pPr>
            <w:r w:rsidRPr="007105E4">
              <w:t>-</w:t>
            </w:r>
          </w:p>
        </w:tc>
        <w:tc>
          <w:tcPr>
            <w:tcW w:w="1291" w:type="dxa"/>
          </w:tcPr>
          <w:p w:rsidR="00C846C5" w:rsidRPr="007105E4" w:rsidRDefault="00C846C5" w:rsidP="00C846C5">
            <w:pPr>
              <w:jc w:val="right"/>
            </w:pPr>
            <w:r w:rsidRPr="007105E4">
              <w:t>-</w:t>
            </w:r>
          </w:p>
        </w:tc>
        <w:tc>
          <w:tcPr>
            <w:tcW w:w="1291" w:type="dxa"/>
          </w:tcPr>
          <w:p w:rsidR="00C846C5" w:rsidRPr="007105E4" w:rsidRDefault="00C846C5" w:rsidP="00C846C5">
            <w:pPr>
              <w:jc w:val="right"/>
            </w:pPr>
            <w:r w:rsidRPr="007105E4">
              <w:t>-</w:t>
            </w:r>
          </w:p>
        </w:tc>
      </w:tr>
      <w:tr w:rsidR="00C846C5" w:rsidTr="0072551A">
        <w:tc>
          <w:tcPr>
            <w:tcW w:w="1290" w:type="dxa"/>
            <w:vAlign w:val="center"/>
          </w:tcPr>
          <w:p w:rsidR="00C846C5" w:rsidRDefault="00C846C5" w:rsidP="00C846C5">
            <w:pPr>
              <w:jc w:val="left"/>
            </w:pPr>
            <w:r>
              <w:rPr>
                <w:rFonts w:eastAsiaTheme="minorEastAsia"/>
                <w:color w:val="000000" w:themeColor="text1"/>
                <w:szCs w:val="21"/>
              </w:rPr>
              <w:t>过去五年</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vAlign w:val="center"/>
          </w:tcPr>
          <w:p w:rsidR="00C846C5" w:rsidRDefault="00C846C5" w:rsidP="00C846C5">
            <w:pPr>
              <w:jc w:val="right"/>
            </w:pPr>
            <w:r>
              <w:rPr>
                <w:rFonts w:eastAsiaTheme="minorEastAsia"/>
                <w:color w:val="000000" w:themeColor="text1"/>
                <w:szCs w:val="21"/>
              </w:rPr>
              <w:t>-</w:t>
            </w:r>
          </w:p>
        </w:tc>
        <w:tc>
          <w:tcPr>
            <w:tcW w:w="1291" w:type="dxa"/>
          </w:tcPr>
          <w:p w:rsidR="00C846C5" w:rsidRPr="007105E4" w:rsidRDefault="00C846C5" w:rsidP="00C846C5">
            <w:pPr>
              <w:jc w:val="right"/>
            </w:pPr>
            <w:r w:rsidRPr="007105E4">
              <w:t>-</w:t>
            </w:r>
          </w:p>
        </w:tc>
        <w:tc>
          <w:tcPr>
            <w:tcW w:w="1291" w:type="dxa"/>
          </w:tcPr>
          <w:p w:rsidR="00C846C5" w:rsidRPr="007105E4" w:rsidRDefault="00C846C5" w:rsidP="00C846C5">
            <w:pPr>
              <w:jc w:val="right"/>
            </w:pPr>
            <w:r w:rsidRPr="007105E4">
              <w:t>-</w:t>
            </w:r>
          </w:p>
        </w:tc>
        <w:tc>
          <w:tcPr>
            <w:tcW w:w="1291" w:type="dxa"/>
          </w:tcPr>
          <w:p w:rsidR="00C846C5" w:rsidRPr="007105E4" w:rsidRDefault="00C846C5" w:rsidP="00C846C5">
            <w:pPr>
              <w:jc w:val="right"/>
            </w:pPr>
            <w:r w:rsidRPr="007105E4">
              <w:t>-</w:t>
            </w:r>
          </w:p>
        </w:tc>
        <w:tc>
          <w:tcPr>
            <w:tcW w:w="1291" w:type="dxa"/>
          </w:tcPr>
          <w:p w:rsidR="00C846C5" w:rsidRPr="007105E4" w:rsidRDefault="00C846C5" w:rsidP="00C846C5">
            <w:pPr>
              <w:jc w:val="right"/>
            </w:pPr>
            <w:r w:rsidRPr="007105E4">
              <w:t>-</w:t>
            </w:r>
          </w:p>
        </w:tc>
      </w:tr>
      <w:tr w:rsidR="00C846C5" w:rsidTr="0072551A">
        <w:tc>
          <w:tcPr>
            <w:tcW w:w="1290" w:type="dxa"/>
            <w:vAlign w:val="center"/>
          </w:tcPr>
          <w:p w:rsidR="00C846C5" w:rsidRDefault="00C846C5" w:rsidP="00C846C5">
            <w:pPr>
              <w:jc w:val="left"/>
            </w:pPr>
            <w:r>
              <w:rPr>
                <w:rFonts w:eastAsiaTheme="minorEastAsia"/>
                <w:color w:val="000000" w:themeColor="text1"/>
                <w:szCs w:val="21"/>
              </w:rPr>
              <w:t>自基金合同生效起至今</w:t>
            </w:r>
          </w:p>
        </w:tc>
        <w:tc>
          <w:tcPr>
            <w:tcW w:w="1291" w:type="dxa"/>
            <w:vAlign w:val="center"/>
          </w:tcPr>
          <w:p w:rsidR="00C846C5" w:rsidRDefault="00C846C5" w:rsidP="00C846C5">
            <w:pPr>
              <w:jc w:val="right"/>
            </w:pPr>
            <w:r>
              <w:rPr>
                <w:rFonts w:eastAsiaTheme="minorEastAsia"/>
                <w:color w:val="000000" w:themeColor="text1"/>
                <w:szCs w:val="21"/>
              </w:rPr>
              <w:t>16.28%</w:t>
            </w:r>
          </w:p>
        </w:tc>
        <w:tc>
          <w:tcPr>
            <w:tcW w:w="1291" w:type="dxa"/>
            <w:vAlign w:val="center"/>
          </w:tcPr>
          <w:p w:rsidR="00C846C5" w:rsidRDefault="00C846C5" w:rsidP="00C846C5">
            <w:pPr>
              <w:jc w:val="right"/>
            </w:pPr>
            <w:r>
              <w:rPr>
                <w:rFonts w:eastAsiaTheme="minorEastAsia"/>
                <w:color w:val="000000" w:themeColor="text1"/>
                <w:szCs w:val="21"/>
              </w:rPr>
              <w:t>1.10%</w:t>
            </w:r>
          </w:p>
        </w:tc>
        <w:tc>
          <w:tcPr>
            <w:tcW w:w="1291" w:type="dxa"/>
          </w:tcPr>
          <w:p w:rsidR="00C846C5" w:rsidRPr="007105E4" w:rsidRDefault="00C846C5" w:rsidP="00C846C5">
            <w:pPr>
              <w:jc w:val="right"/>
            </w:pPr>
            <w:r w:rsidRPr="007105E4">
              <w:t>13.43%</w:t>
            </w:r>
          </w:p>
        </w:tc>
        <w:tc>
          <w:tcPr>
            <w:tcW w:w="1291" w:type="dxa"/>
          </w:tcPr>
          <w:p w:rsidR="00C846C5" w:rsidRPr="007105E4" w:rsidRDefault="00C846C5" w:rsidP="00C846C5">
            <w:pPr>
              <w:jc w:val="right"/>
            </w:pPr>
            <w:r w:rsidRPr="007105E4">
              <w:t>1.18%</w:t>
            </w:r>
          </w:p>
        </w:tc>
        <w:tc>
          <w:tcPr>
            <w:tcW w:w="1291" w:type="dxa"/>
          </w:tcPr>
          <w:p w:rsidR="00C846C5" w:rsidRPr="007105E4" w:rsidRDefault="00C846C5" w:rsidP="00C846C5">
            <w:pPr>
              <w:jc w:val="right"/>
            </w:pPr>
            <w:r w:rsidRPr="007105E4">
              <w:t>2.85%</w:t>
            </w:r>
          </w:p>
        </w:tc>
        <w:tc>
          <w:tcPr>
            <w:tcW w:w="1291" w:type="dxa"/>
          </w:tcPr>
          <w:p w:rsidR="00C846C5" w:rsidRDefault="00C846C5" w:rsidP="00C846C5">
            <w:pPr>
              <w:jc w:val="right"/>
            </w:pPr>
            <w:r w:rsidRPr="007105E4">
              <w:t>-0.08%</w:t>
            </w:r>
          </w:p>
        </w:tc>
      </w:tr>
    </w:tbl>
    <w:p w:rsidR="00DB3887" w:rsidRPr="00D97CD7" w:rsidRDefault="00FC6961">
      <w:pPr>
        <w:spacing w:beforeLines="100" w:before="312" w:line="360" w:lineRule="auto"/>
        <w:rPr>
          <w:rFonts w:eastAsiaTheme="minorEastAsia"/>
          <w:b/>
          <w:color w:val="000000" w:themeColor="text1"/>
          <w:kern w:val="0"/>
          <w:szCs w:val="21"/>
        </w:rPr>
      </w:pPr>
      <w:r w:rsidRPr="00D97CD7">
        <w:rPr>
          <w:rFonts w:eastAsiaTheme="minorEastAsia"/>
          <w:b/>
          <w:color w:val="000000" w:themeColor="text1"/>
          <w:kern w:val="0"/>
          <w:szCs w:val="21"/>
        </w:rPr>
        <w:lastRenderedPageBreak/>
        <w:t>3.2.2</w:t>
      </w:r>
      <w:r w:rsidRPr="00D97CD7">
        <w:rPr>
          <w:rFonts w:eastAsiaTheme="minorEastAsia"/>
          <w:b/>
          <w:color w:val="000000" w:themeColor="text1"/>
          <w:kern w:val="0"/>
          <w:szCs w:val="21"/>
        </w:rPr>
        <w:t xml:space="preserve">　</w:t>
      </w:r>
      <w:r w:rsidRPr="00D97CD7">
        <w:rPr>
          <w:rStyle w:val="af5"/>
          <w:rFonts w:eastAsiaTheme="minorEastAsia"/>
          <w:color w:val="000000" w:themeColor="text1"/>
          <w:szCs w:val="21"/>
          <w:shd w:val="clear" w:color="auto" w:fill="FFFFFF"/>
        </w:rPr>
        <w:t>自基金合同生效以来</w:t>
      </w:r>
      <w:r w:rsidRPr="00D97CD7">
        <w:rPr>
          <w:rFonts w:eastAsiaTheme="minorEastAsia"/>
          <w:b/>
          <w:color w:val="000000" w:themeColor="text1"/>
          <w:szCs w:val="21"/>
        </w:rPr>
        <w:t>基金累计净值增长率变动及其与同期业绩比较基准收益率变动的比较</w:t>
      </w:r>
    </w:p>
    <w:p w:rsidR="00DB3887" w:rsidRPr="00D97CD7" w:rsidRDefault="00FC6961">
      <w:pPr>
        <w:spacing w:line="360" w:lineRule="auto"/>
        <w:jc w:val="center"/>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w:t>
      </w:r>
    </w:p>
    <w:p w:rsidR="00DB3887" w:rsidRPr="00D97CD7" w:rsidRDefault="00FC6961">
      <w:pPr>
        <w:pStyle w:val="a9"/>
        <w:snapToGrid w:val="0"/>
        <w:spacing w:line="360" w:lineRule="auto"/>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累计净值增长率与业绩比较基准收益率的历史走势对比图</w:t>
      </w:r>
    </w:p>
    <w:p w:rsidR="00DB3887" w:rsidRPr="00D97CD7" w:rsidRDefault="00FC6961">
      <w:pPr>
        <w:pStyle w:val="a9"/>
        <w:snapToGrid w:val="0"/>
        <w:spacing w:line="360" w:lineRule="auto"/>
        <w:ind w:firstLine="480"/>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(2020</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7</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22</w:t>
      </w:r>
      <w:r w:rsidRPr="00D97CD7">
        <w:rPr>
          <w:rFonts w:ascii="Times New Roman" w:eastAsiaTheme="minorEastAsia" w:hAnsi="Times New Roman"/>
          <w:color w:val="000000" w:themeColor="text1"/>
        </w:rPr>
        <w:t>日至</w:t>
      </w:r>
      <w:r w:rsidRPr="00D97CD7">
        <w:rPr>
          <w:rFonts w:ascii="Times New Roman" w:eastAsiaTheme="minorEastAsia" w:hAnsi="Times New Roman"/>
          <w:color w:val="000000" w:themeColor="text1"/>
        </w:rPr>
        <w:t>2021</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6</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30</w:t>
      </w:r>
      <w:r w:rsidRPr="00D97CD7">
        <w:rPr>
          <w:rFonts w:ascii="Times New Roman" w:eastAsiaTheme="minorEastAsia" w:hAnsi="Times New Roman"/>
          <w:color w:val="000000" w:themeColor="text1"/>
        </w:rPr>
        <w:t>日</w:t>
      </w:r>
      <w:r w:rsidRPr="00D97CD7">
        <w:rPr>
          <w:rFonts w:ascii="Times New Roman" w:eastAsiaTheme="minorEastAsia" w:hAnsi="Times New Roman"/>
          <w:color w:val="000000" w:themeColor="text1"/>
        </w:rPr>
        <w:t>)</w:t>
      </w:r>
    </w:p>
    <w:p w:rsidR="00DB3887" w:rsidRPr="00D97CD7" w:rsidRDefault="00FC6961">
      <w:pPr>
        <w:snapToGrid w:val="0"/>
        <w:spacing w:line="360" w:lineRule="auto"/>
        <w:rPr>
          <w:rFonts w:eastAsiaTheme="minorEastAsia"/>
          <w:color w:val="000000" w:themeColor="text1"/>
          <w:szCs w:val="21"/>
        </w:rPr>
      </w:pPr>
      <w:r w:rsidRPr="00D97CD7">
        <w:rPr>
          <w:rFonts w:eastAsiaTheme="minorEastAsia"/>
          <w:color w:val="000000" w:themeColor="text1"/>
          <w:szCs w:val="21"/>
        </w:rPr>
        <w:t>1</w:t>
      </w: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r w:rsidRPr="00D97CD7">
        <w:rPr>
          <w:rFonts w:eastAsiaTheme="minorEastAsia"/>
          <w:color w:val="000000" w:themeColor="text1"/>
          <w:szCs w:val="21"/>
        </w:rPr>
        <w:t>：</w:t>
      </w:r>
    </w:p>
    <w:p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6740E604" wp14:editId="3FC51B1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日，截至本报告期末本基金合同生效未满一年。</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FC6961">
      <w:pPr>
        <w:snapToGrid w:val="0"/>
        <w:spacing w:beforeLines="100" w:before="312" w:line="360" w:lineRule="auto"/>
        <w:rPr>
          <w:rFonts w:eastAsiaTheme="minorEastAsia"/>
          <w:color w:val="000000" w:themeColor="text1"/>
          <w:szCs w:val="21"/>
        </w:rPr>
      </w:pPr>
      <w:r w:rsidRPr="00D97CD7">
        <w:rPr>
          <w:rFonts w:eastAsiaTheme="minorEastAsia"/>
          <w:color w:val="000000" w:themeColor="text1"/>
          <w:szCs w:val="21"/>
        </w:rPr>
        <w:t>2</w:t>
      </w: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w:t>
      </w:r>
    </w:p>
    <w:p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lastRenderedPageBreak/>
        <w:drawing>
          <wp:inline distT="0" distB="0" distL="0" distR="0" wp14:anchorId="07AC3F6F" wp14:editId="760A3A2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日，截至本报告期末本基金合同生效未满一年。</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DB3887">
      <w:pPr>
        <w:tabs>
          <w:tab w:val="left" w:pos="1800"/>
        </w:tabs>
        <w:spacing w:line="288" w:lineRule="auto"/>
        <w:rPr>
          <w:rFonts w:eastAsiaTheme="minorEastAsia"/>
          <w:color w:val="000000" w:themeColor="text1"/>
          <w:szCs w:val="21"/>
        </w:rPr>
      </w:pP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§4  </w:t>
      </w:r>
      <w:r w:rsidRPr="00D97CD7">
        <w:rPr>
          <w:rFonts w:eastAsiaTheme="minorEastAsia"/>
          <w:color w:val="000000" w:themeColor="text1"/>
          <w:kern w:val="0"/>
          <w:sz w:val="21"/>
          <w:szCs w:val="21"/>
        </w:rPr>
        <w:t>管理人报告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4.1 </w:t>
      </w:r>
      <w:r w:rsidRPr="00D97CD7">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B3887" w:rsidRPr="00D97CD7">
        <w:tc>
          <w:tcPr>
            <w:tcW w:w="952"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姓名</w:t>
            </w:r>
          </w:p>
        </w:tc>
        <w:tc>
          <w:tcPr>
            <w:tcW w:w="930"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职务</w:t>
            </w:r>
          </w:p>
        </w:tc>
        <w:tc>
          <w:tcPr>
            <w:tcW w:w="2519" w:type="dxa"/>
            <w:gridSpan w:val="2"/>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任本基金的基金经理期限</w:t>
            </w:r>
          </w:p>
        </w:tc>
        <w:tc>
          <w:tcPr>
            <w:tcW w:w="1254"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证券从业年限</w:t>
            </w:r>
          </w:p>
        </w:tc>
        <w:tc>
          <w:tcPr>
            <w:tcW w:w="3276"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说明</w:t>
            </w:r>
          </w:p>
        </w:tc>
      </w:tr>
      <w:tr w:rsidR="00DB3887" w:rsidRPr="00D97CD7">
        <w:tc>
          <w:tcPr>
            <w:tcW w:w="952"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任职日期</w:t>
            </w:r>
          </w:p>
        </w:tc>
        <w:tc>
          <w:tcPr>
            <w:tcW w:w="1309"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离任日期</w:t>
            </w:r>
          </w:p>
        </w:tc>
        <w:tc>
          <w:tcPr>
            <w:tcW w:w="1254"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r>
      <w:tr w:rsidR="001F79E3">
        <w:tc>
          <w:tcPr>
            <w:tcW w:w="952" w:type="dxa"/>
            <w:vAlign w:val="center"/>
          </w:tcPr>
          <w:p w:rsidR="001F79E3" w:rsidRDefault="00C846C5">
            <w:pPr>
              <w:jc w:val="center"/>
            </w:pPr>
            <w:r>
              <w:rPr>
                <w:rFonts w:eastAsiaTheme="minorEastAsia"/>
                <w:color w:val="000000" w:themeColor="text1"/>
                <w:szCs w:val="21"/>
              </w:rPr>
              <w:t>胡迪</w:t>
            </w:r>
          </w:p>
        </w:tc>
        <w:tc>
          <w:tcPr>
            <w:tcW w:w="930" w:type="dxa"/>
            <w:vAlign w:val="center"/>
          </w:tcPr>
          <w:p w:rsidR="001F79E3" w:rsidRDefault="00C846C5">
            <w:pPr>
              <w:jc w:val="center"/>
            </w:pPr>
            <w:r>
              <w:rPr>
                <w:rFonts w:eastAsiaTheme="minorEastAsia"/>
                <w:color w:val="000000" w:themeColor="text1"/>
                <w:szCs w:val="21"/>
              </w:rPr>
              <w:t>本基金基金经理、指数及量化投资部总监</w:t>
            </w:r>
          </w:p>
        </w:tc>
        <w:tc>
          <w:tcPr>
            <w:tcW w:w="1210" w:type="dxa"/>
            <w:vAlign w:val="center"/>
          </w:tcPr>
          <w:p w:rsidR="001F79E3" w:rsidRDefault="00C846C5">
            <w:pPr>
              <w:jc w:val="center"/>
            </w:pPr>
            <w:r>
              <w:rPr>
                <w:rFonts w:eastAsiaTheme="minorEastAsia"/>
                <w:color w:val="000000" w:themeColor="text1"/>
                <w:szCs w:val="21"/>
              </w:rPr>
              <w:t>2021-01-07</w:t>
            </w:r>
          </w:p>
        </w:tc>
        <w:tc>
          <w:tcPr>
            <w:tcW w:w="1309" w:type="dxa"/>
            <w:vAlign w:val="center"/>
          </w:tcPr>
          <w:p w:rsidR="001F79E3" w:rsidRDefault="00C846C5">
            <w:pPr>
              <w:jc w:val="center"/>
            </w:pPr>
            <w:r>
              <w:rPr>
                <w:rFonts w:eastAsiaTheme="minorEastAsia"/>
                <w:color w:val="000000" w:themeColor="text1"/>
                <w:szCs w:val="21"/>
              </w:rPr>
              <w:t>-</w:t>
            </w:r>
          </w:p>
        </w:tc>
        <w:tc>
          <w:tcPr>
            <w:tcW w:w="1254" w:type="dxa"/>
            <w:vAlign w:val="center"/>
          </w:tcPr>
          <w:p w:rsidR="001F79E3" w:rsidRDefault="00C846C5">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1F79E3" w:rsidRDefault="00C846C5">
            <w:r>
              <w:rPr>
                <w:rFonts w:eastAsiaTheme="minorEastAsia"/>
                <w:color w:val="000000" w:themeColor="text1"/>
                <w:szCs w:val="21"/>
              </w:rPr>
              <w:t>胡迪女士，</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FRM</w:t>
            </w:r>
            <w:r>
              <w:rPr>
                <w:rFonts w:eastAsiaTheme="minorEastAsia"/>
                <w:color w:val="000000" w:themeColor="text1"/>
                <w:szCs w:val="21"/>
              </w:rPr>
              <w:t>，美国哥伦比亚大学金融工程硕士，现任指数及量化投资部总监。胡迪女士自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月在纽约美林证券担任全球资产管理部高级经理；自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月在纽约标准普尔担任量化投资主管；自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月在中国国际金融股份有限公司担任资产管理部执行总经理；自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月加入上投摩根基金管理有限公司，现任指数及量化投资部总监，自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w:t>
            </w:r>
            <w:r>
              <w:rPr>
                <w:rFonts w:eastAsiaTheme="minorEastAsia"/>
                <w:color w:val="000000" w:themeColor="text1"/>
                <w:szCs w:val="21"/>
              </w:rPr>
              <w:lastRenderedPageBreak/>
              <w:t>担任上投摩根量化多因子灵活配置混合型证券投资基金、上投摩根优选多因子股票型证券投资基金、上投摩根动态多因子策略灵活配置混合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w:t>
            </w:r>
          </w:p>
        </w:tc>
      </w:tr>
      <w:tr w:rsidR="001F79E3">
        <w:tc>
          <w:tcPr>
            <w:tcW w:w="952" w:type="dxa"/>
            <w:vAlign w:val="center"/>
          </w:tcPr>
          <w:p w:rsidR="001F79E3" w:rsidRDefault="00C846C5">
            <w:pPr>
              <w:jc w:val="center"/>
            </w:pPr>
            <w:r>
              <w:rPr>
                <w:rFonts w:eastAsiaTheme="minorEastAsia"/>
                <w:color w:val="000000" w:themeColor="text1"/>
                <w:szCs w:val="21"/>
              </w:rPr>
              <w:lastRenderedPageBreak/>
              <w:t>何智豪</w:t>
            </w:r>
          </w:p>
        </w:tc>
        <w:tc>
          <w:tcPr>
            <w:tcW w:w="930" w:type="dxa"/>
            <w:vAlign w:val="center"/>
          </w:tcPr>
          <w:p w:rsidR="001F79E3" w:rsidRDefault="00C846C5">
            <w:pPr>
              <w:jc w:val="center"/>
            </w:pPr>
            <w:r>
              <w:rPr>
                <w:rFonts w:eastAsiaTheme="minorEastAsia"/>
                <w:color w:val="000000" w:themeColor="text1"/>
                <w:szCs w:val="21"/>
              </w:rPr>
              <w:t>本基金基金经理</w:t>
            </w:r>
          </w:p>
        </w:tc>
        <w:tc>
          <w:tcPr>
            <w:tcW w:w="1210" w:type="dxa"/>
            <w:vAlign w:val="center"/>
          </w:tcPr>
          <w:p w:rsidR="001F79E3" w:rsidRDefault="00C846C5">
            <w:pPr>
              <w:jc w:val="center"/>
            </w:pPr>
            <w:r>
              <w:rPr>
                <w:rFonts w:eastAsiaTheme="minorEastAsia"/>
                <w:color w:val="000000" w:themeColor="text1"/>
                <w:szCs w:val="21"/>
              </w:rPr>
              <w:t>2021-02-19</w:t>
            </w:r>
          </w:p>
        </w:tc>
        <w:tc>
          <w:tcPr>
            <w:tcW w:w="1309" w:type="dxa"/>
            <w:vAlign w:val="center"/>
          </w:tcPr>
          <w:p w:rsidR="001F79E3" w:rsidRDefault="00C846C5">
            <w:pPr>
              <w:jc w:val="center"/>
            </w:pPr>
            <w:r>
              <w:rPr>
                <w:rFonts w:eastAsiaTheme="minorEastAsia"/>
                <w:color w:val="000000" w:themeColor="text1"/>
                <w:szCs w:val="21"/>
              </w:rPr>
              <w:t>-</w:t>
            </w:r>
          </w:p>
        </w:tc>
        <w:tc>
          <w:tcPr>
            <w:tcW w:w="1254" w:type="dxa"/>
            <w:vAlign w:val="center"/>
          </w:tcPr>
          <w:p w:rsidR="001F79E3" w:rsidRDefault="00C846C5">
            <w:pPr>
              <w:jc w:val="center"/>
            </w:pPr>
            <w:r>
              <w:rPr>
                <w:rFonts w:eastAsiaTheme="minorEastAsia"/>
                <w:color w:val="000000" w:themeColor="text1"/>
                <w:szCs w:val="21"/>
              </w:rPr>
              <w:t>7</w:t>
            </w:r>
            <w:r>
              <w:rPr>
                <w:rFonts w:eastAsiaTheme="minorEastAsia"/>
                <w:color w:val="000000" w:themeColor="text1"/>
                <w:szCs w:val="21"/>
              </w:rPr>
              <w:t>年</w:t>
            </w:r>
          </w:p>
        </w:tc>
        <w:tc>
          <w:tcPr>
            <w:tcW w:w="3276" w:type="dxa"/>
            <w:vAlign w:val="center"/>
          </w:tcPr>
          <w:p w:rsidR="001F79E3" w:rsidRDefault="00C846C5">
            <w:r>
              <w:rPr>
                <w:rFonts w:eastAsiaTheme="minorEastAsia"/>
                <w:color w:val="000000" w:themeColor="text1"/>
                <w:szCs w:val="21"/>
              </w:rPr>
              <w:t>何智豪先生，复旦大学应用数学硕士，现任指数及量化投资部基金经理。何智豪先生自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月，在中国国际金融股份有限公司担任组合与量化策略研究员、资产管理部高级经理；自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月起同时担任上投摩根量化多因子灵活配置混合型证券投资基金、上投摩根优选多因子股票型证券投资基金、上投摩根中证消费服务领先指数证券投资基金、上投摩根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w:t>
            </w:r>
          </w:p>
        </w:tc>
      </w:tr>
    </w:tbl>
    <w:p w:rsidR="001F79E3" w:rsidRDefault="00C846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 xml:space="preserve">2. </w:t>
      </w:r>
      <w:r w:rsidRPr="00D97CD7">
        <w:rPr>
          <w:rFonts w:eastAsiaTheme="minorEastAsia"/>
          <w:color w:val="000000" w:themeColor="text1"/>
          <w:szCs w:val="21"/>
        </w:rPr>
        <w:t>证券从业的含义遵从行业协会《证券业从业人员资格管理办法》的相关规定。</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4.2</w:t>
      </w:r>
      <w:r w:rsidRPr="00D97CD7">
        <w:rPr>
          <w:rFonts w:eastAsiaTheme="minorEastAsia"/>
          <w:b/>
          <w:color w:val="000000" w:themeColor="text1"/>
          <w:kern w:val="0"/>
          <w:szCs w:val="21"/>
        </w:rPr>
        <w:t>管理人对报告期内本基金运作遵规守信情况的说明</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w:t>
      </w:r>
      <w:r w:rsidRPr="00D97CD7">
        <w:rPr>
          <w:rFonts w:eastAsiaTheme="minorEastAsia"/>
          <w:color w:val="000000" w:themeColor="text1"/>
          <w:szCs w:val="21"/>
        </w:rPr>
        <w:lastRenderedPageBreak/>
        <w:t>的情形，但已在规定时间内调整完毕。</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4.3 </w:t>
      </w:r>
      <w:r w:rsidRPr="00D97CD7">
        <w:rPr>
          <w:rFonts w:eastAsiaTheme="minorEastAsia"/>
          <w:b/>
          <w:color w:val="000000" w:themeColor="text1"/>
          <w:kern w:val="0"/>
          <w:szCs w:val="21"/>
        </w:rPr>
        <w:t>公平交易专项说明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4.3.1 </w:t>
      </w:r>
      <w:r w:rsidRPr="00D97CD7">
        <w:rPr>
          <w:rFonts w:eastAsiaTheme="minorEastAsia"/>
          <w:color w:val="000000" w:themeColor="text1"/>
          <w:szCs w:val="21"/>
        </w:rPr>
        <w:t>公平交易制度的执行情况</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4.3.2 </w:t>
      </w:r>
      <w:r w:rsidRPr="00D97CD7">
        <w:rPr>
          <w:rFonts w:eastAsiaTheme="minorEastAsia"/>
          <w:color w:val="000000" w:themeColor="text1"/>
          <w:szCs w:val="21"/>
        </w:rPr>
        <w:t>异常交易行为的专项说明</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所有投资组合参与的交易所公开竞价同日反向交易成交较少的单边交易量超过该证券当日成交量的</w:t>
      </w:r>
      <w:r w:rsidRPr="00D97CD7">
        <w:rPr>
          <w:rFonts w:eastAsiaTheme="minorEastAsia"/>
          <w:color w:val="000000" w:themeColor="text1"/>
          <w:szCs w:val="21"/>
        </w:rPr>
        <w:t>5%</w:t>
      </w:r>
      <w:r w:rsidRPr="00D97CD7">
        <w:rPr>
          <w:rFonts w:eastAsiaTheme="minorEastAsia"/>
          <w:color w:val="000000" w:themeColor="text1"/>
          <w:szCs w:val="21"/>
        </w:rPr>
        <w:t>的情形：无。</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4.4 </w:t>
      </w:r>
      <w:r w:rsidRPr="00D97CD7">
        <w:rPr>
          <w:rFonts w:eastAsiaTheme="minorEastAsia"/>
          <w:b/>
          <w:color w:val="000000" w:themeColor="text1"/>
          <w:kern w:val="0"/>
          <w:szCs w:val="21"/>
        </w:rPr>
        <w:t>报告期内基金的投资策略和业绩表现说明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4.4.1</w:t>
      </w:r>
      <w:r w:rsidRPr="00D97CD7">
        <w:rPr>
          <w:rFonts w:eastAsiaTheme="minorEastAsia"/>
          <w:color w:val="000000" w:themeColor="text1"/>
          <w:szCs w:val="21"/>
        </w:rPr>
        <w:t>报告期内基金投资策略和运作分析</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股指数整体波动向上，当季收涨</w:t>
      </w:r>
      <w:r>
        <w:rPr>
          <w:rFonts w:eastAsiaTheme="minorEastAsia"/>
          <w:color w:val="000000" w:themeColor="text1"/>
          <w:szCs w:val="21"/>
        </w:rPr>
        <w:t>5.78%</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3.48%</w:t>
      </w:r>
      <w:r>
        <w:rPr>
          <w:rFonts w:eastAsiaTheme="minorEastAsia"/>
          <w:color w:val="000000" w:themeColor="text1"/>
          <w:szCs w:val="21"/>
        </w:rPr>
        <w:t>。二季度内，海外通胀虽超出市场预期，但美联储受限于高政府债务率、进一步赤字化压力，货币政策易松难紧。国内经济逐步从强势反弹向新常态回归，内外需出现弱化迹象。整个二季度结构化行情仍在演绎，医药、电气设备、电子等板块表现突出，对应的申万一级行业指数涨幅分别为</w:t>
      </w:r>
      <w:r>
        <w:rPr>
          <w:rFonts w:eastAsiaTheme="minorEastAsia"/>
          <w:color w:val="000000" w:themeColor="text1"/>
          <w:szCs w:val="21"/>
        </w:rPr>
        <w:t>13.13%</w:t>
      </w:r>
      <w:r>
        <w:rPr>
          <w:rFonts w:eastAsiaTheme="minorEastAsia"/>
          <w:color w:val="000000" w:themeColor="text1"/>
          <w:szCs w:val="21"/>
        </w:rPr>
        <w:t>、</w:t>
      </w:r>
      <w:r>
        <w:rPr>
          <w:rFonts w:eastAsiaTheme="minorEastAsia"/>
          <w:color w:val="000000" w:themeColor="text1"/>
          <w:szCs w:val="21"/>
        </w:rPr>
        <w:t>30.43%</w:t>
      </w:r>
      <w:r>
        <w:rPr>
          <w:rFonts w:eastAsiaTheme="minorEastAsia"/>
          <w:color w:val="000000" w:themeColor="text1"/>
          <w:szCs w:val="21"/>
        </w:rPr>
        <w:t>、</w:t>
      </w:r>
      <w:r>
        <w:rPr>
          <w:rFonts w:eastAsiaTheme="minorEastAsia"/>
          <w:color w:val="000000" w:themeColor="text1"/>
          <w:szCs w:val="21"/>
        </w:rPr>
        <w:t>21.40%</w:t>
      </w:r>
      <w:r>
        <w:rPr>
          <w:rFonts w:eastAsiaTheme="minorEastAsia"/>
          <w:color w:val="000000" w:themeColor="text1"/>
          <w:szCs w:val="21"/>
        </w:rPr>
        <w:t>。本基金继续采用抽样复制的方法跟踪标的指数，跟踪误差保持在合理范围内。</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lastRenderedPageBreak/>
        <w:t>展望下半年，随着新冠疫苗在全球范围内的持续推进，全球经济持续复苏，但边际动能有所放缓，下半年的出口仍是国内经济的重要动能来源。以目前的市场预期来看，全球流动性仍大概率保持宽松，美联储货币政策转向受制于劳动率短缺、就业市场不及预期。下半年市场的主要风险来自于不断出现的变异病毒，这将使得疫情成为下半年经济复苏和流动性预期最大的不确定风险。</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4.4.2</w:t>
      </w:r>
      <w:r w:rsidRPr="00D97CD7">
        <w:rPr>
          <w:rFonts w:eastAsiaTheme="minorEastAsia"/>
          <w:color w:val="000000" w:themeColor="text1"/>
          <w:szCs w:val="21"/>
        </w:rPr>
        <w:t>报告期内基金的业绩表现</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:8.35%</w:t>
      </w:r>
      <w:r>
        <w:rPr>
          <w:rFonts w:eastAsiaTheme="minorEastAsia"/>
          <w:color w:val="000000" w:themeColor="text1"/>
          <w:szCs w:val="21"/>
        </w:rPr>
        <w:t>，同期业绩比较基准收益率为</w:t>
      </w:r>
      <w:r w:rsidR="000B3E3D">
        <w:rPr>
          <w:rFonts w:eastAsiaTheme="minorEastAsia"/>
          <w:color w:val="000000" w:themeColor="text1"/>
          <w:szCs w:val="21"/>
        </w:rPr>
        <w:t>:6.51</w:t>
      </w:r>
      <w:r>
        <w:rPr>
          <w:rFonts w:eastAsiaTheme="minorEastAsia"/>
          <w:color w:val="000000" w:themeColor="text1"/>
          <w:szCs w:val="21"/>
        </w:rPr>
        <w:t>%,</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份额净值增长率为</w:t>
      </w:r>
      <w:r w:rsidRPr="00D97CD7">
        <w:rPr>
          <w:rFonts w:eastAsiaTheme="minorEastAsia"/>
          <w:color w:val="000000" w:themeColor="text1"/>
          <w:szCs w:val="21"/>
        </w:rPr>
        <w:t>:8.33%</w:t>
      </w:r>
      <w:r w:rsidRPr="00D97CD7">
        <w:rPr>
          <w:rFonts w:eastAsiaTheme="minorEastAsia"/>
          <w:color w:val="000000" w:themeColor="text1"/>
          <w:szCs w:val="21"/>
        </w:rPr>
        <w:t>，同期业绩比较基准收益率为</w:t>
      </w:r>
      <w:r w:rsidR="000B3E3D">
        <w:rPr>
          <w:rFonts w:eastAsiaTheme="minorEastAsia"/>
          <w:color w:val="000000" w:themeColor="text1"/>
          <w:szCs w:val="21"/>
        </w:rPr>
        <w:t>:6.51</w:t>
      </w:r>
      <w:r w:rsidRPr="00D97CD7">
        <w:rPr>
          <w:rFonts w:eastAsiaTheme="minorEastAsia"/>
          <w:color w:val="000000" w:themeColor="text1"/>
          <w:szCs w:val="21"/>
        </w:rPr>
        <w:t>%</w:t>
      </w:r>
      <w:r w:rsidRPr="00D97CD7">
        <w:rPr>
          <w:rFonts w:eastAsiaTheme="minorEastAsia"/>
          <w:color w:val="000000" w:themeColor="text1"/>
          <w:szCs w:val="21"/>
        </w:rPr>
        <w:t>。</w:t>
      </w:r>
    </w:p>
    <w:p w:rsidR="00DB3887" w:rsidRPr="00D97CD7" w:rsidRDefault="00DB3887">
      <w:pPr>
        <w:spacing w:line="360" w:lineRule="auto"/>
        <w:ind w:firstLineChars="200" w:firstLine="420"/>
        <w:rPr>
          <w:rFonts w:eastAsiaTheme="minorEastAsia"/>
          <w:color w:val="000000" w:themeColor="text1"/>
          <w:szCs w:val="21"/>
        </w:rPr>
      </w:pPr>
    </w:p>
    <w:p w:rsidR="00DB3887" w:rsidRPr="00D97CD7" w:rsidRDefault="00FC6961">
      <w:pPr>
        <w:spacing w:line="360" w:lineRule="auto"/>
        <w:rPr>
          <w:rFonts w:eastAsiaTheme="minorEastAsia"/>
          <w:color w:val="000000" w:themeColor="text1"/>
          <w:szCs w:val="21"/>
        </w:rPr>
      </w:pPr>
      <w:r w:rsidRPr="00D97CD7">
        <w:rPr>
          <w:rFonts w:eastAsiaTheme="minorEastAsia"/>
          <w:b/>
          <w:color w:val="000000" w:themeColor="text1"/>
          <w:kern w:val="0"/>
          <w:szCs w:val="21"/>
        </w:rPr>
        <w:t>4.5</w:t>
      </w:r>
      <w:r w:rsidRPr="00D97CD7">
        <w:rPr>
          <w:rFonts w:eastAsiaTheme="minorEastAsia"/>
          <w:b/>
          <w:color w:val="000000" w:themeColor="text1"/>
          <w:kern w:val="0"/>
          <w:szCs w:val="21"/>
        </w:rPr>
        <w:t>报告期内基金持有人数或基金资产净值预警说明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kern w:val="0"/>
          <w:szCs w:val="21"/>
        </w:rPr>
        <w:t>无。</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§5  </w:t>
      </w:r>
      <w:r w:rsidRPr="00D97CD7">
        <w:rPr>
          <w:rFonts w:eastAsiaTheme="minorEastAsia"/>
          <w:color w:val="000000" w:themeColor="text1"/>
          <w:kern w:val="0"/>
          <w:sz w:val="21"/>
          <w:szCs w:val="21"/>
        </w:rPr>
        <w:t>投资组合报告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5.1 </w:t>
      </w:r>
      <w:r w:rsidRPr="00D97CD7">
        <w:rPr>
          <w:rFonts w:eastAsiaTheme="minorEastAsia"/>
          <w:b/>
          <w:color w:val="000000" w:themeColor="text1"/>
          <w:kern w:val="0"/>
          <w:szCs w:val="21"/>
        </w:rPr>
        <w:t>报告期末基金资产组合情况</w:t>
      </w:r>
    </w:p>
    <w:tbl>
      <w:tblPr>
        <w:tblStyle w:val="afa"/>
        <w:tblW w:w="8528" w:type="dxa"/>
        <w:tblInd w:w="108" w:type="dxa"/>
        <w:tblLayout w:type="fixed"/>
        <w:tblLook w:val="04A0" w:firstRow="1" w:lastRow="0" w:firstColumn="1" w:lastColumn="0" w:noHBand="0" w:noVBand="1"/>
      </w:tblPr>
      <w:tblGrid>
        <w:gridCol w:w="720"/>
        <w:gridCol w:w="3357"/>
        <w:gridCol w:w="2694"/>
        <w:gridCol w:w="1757"/>
      </w:tblGrid>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序号</w:t>
            </w:r>
          </w:p>
        </w:tc>
        <w:tc>
          <w:tcPr>
            <w:tcW w:w="33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项目</w:t>
            </w:r>
          </w:p>
        </w:tc>
        <w:tc>
          <w:tcPr>
            <w:tcW w:w="2694"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金额</w:t>
            </w:r>
            <w:r w:rsidRPr="00D97CD7">
              <w:rPr>
                <w:rFonts w:eastAsiaTheme="minorEastAsia"/>
                <w:color w:val="000000" w:themeColor="text1"/>
                <w:szCs w:val="21"/>
              </w:rPr>
              <w:t>(</w:t>
            </w:r>
            <w:r w:rsidRPr="00D97CD7">
              <w:rPr>
                <w:rFonts w:eastAsiaTheme="minorEastAsia"/>
                <w:color w:val="000000" w:themeColor="text1"/>
                <w:szCs w:val="21"/>
              </w:rPr>
              <w:t>元</w:t>
            </w: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占基金总资产的比例</w:t>
            </w: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1</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权益投资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其中：股票</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基金投资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69,901,665.00</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92.08</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3</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固定收益投资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其中：债券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97CD7">
              <w:rPr>
                <w:rFonts w:eastAsiaTheme="minorEastAsia"/>
                <w:color w:val="000000" w:themeColor="text1"/>
                <w:szCs w:val="21"/>
              </w:rPr>
              <w:t>资产支持证券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4</w:t>
            </w:r>
          </w:p>
        </w:tc>
        <w:tc>
          <w:tcPr>
            <w:tcW w:w="3357" w:type="dxa"/>
          </w:tcPr>
          <w:p w:rsidR="00DB3887" w:rsidRPr="00D97CD7" w:rsidRDefault="00FC6961">
            <w:pPr>
              <w:spacing w:before="29" w:line="360" w:lineRule="auto"/>
              <w:ind w:leftChars="50" w:left="105"/>
              <w:rPr>
                <w:rFonts w:eastAsiaTheme="minorEastAsia"/>
                <w:color w:val="000000" w:themeColor="text1"/>
                <w:szCs w:val="21"/>
              </w:rPr>
            </w:pPr>
            <w:r w:rsidRPr="00D97CD7">
              <w:rPr>
                <w:rFonts w:eastAsiaTheme="minorEastAsia"/>
                <w:color w:val="000000" w:themeColor="text1"/>
                <w:szCs w:val="21"/>
              </w:rPr>
              <w:t>贵金属投资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5</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金融衍生品投资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6</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其中：买断式回购的买入返售金融</w:t>
            </w:r>
            <w:r w:rsidRPr="00D97CD7">
              <w:rPr>
                <w:rFonts w:eastAsiaTheme="minorEastAsia"/>
                <w:color w:val="000000" w:themeColor="text1"/>
                <w:szCs w:val="21"/>
              </w:rPr>
              <w:lastRenderedPageBreak/>
              <w:t>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lastRenderedPageBreak/>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7</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银行存款和结算备付金合计</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4,849,198.01</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6.39</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8</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其他各项资产</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1,166,009.13</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1.54</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9</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合计</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75,916,872.14</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100.00</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5.2</w:t>
      </w:r>
      <w:r w:rsidRPr="00D97CD7">
        <w:rPr>
          <w:rFonts w:eastAsiaTheme="minorEastAsia"/>
          <w:b/>
          <w:color w:val="000000" w:themeColor="text1"/>
          <w:kern w:val="0"/>
          <w:szCs w:val="21"/>
        </w:rPr>
        <w:t>期末投资目标基金明细</w:t>
      </w:r>
    </w:p>
    <w:tbl>
      <w:tblPr>
        <w:tblStyle w:val="afa"/>
        <w:tblW w:w="8928" w:type="dxa"/>
        <w:tblInd w:w="108" w:type="dxa"/>
        <w:tblLayout w:type="fixed"/>
        <w:tblLook w:val="04A0" w:firstRow="1" w:lastRow="0" w:firstColumn="1" w:lastColumn="0" w:noHBand="0" w:noVBand="1"/>
      </w:tblPr>
      <w:tblGrid>
        <w:gridCol w:w="1238"/>
        <w:gridCol w:w="1239"/>
        <w:gridCol w:w="1240"/>
        <w:gridCol w:w="1240"/>
        <w:gridCol w:w="1240"/>
        <w:gridCol w:w="1241"/>
        <w:gridCol w:w="1490"/>
      </w:tblGrid>
      <w:tr w:rsidR="00DB3887" w:rsidRPr="00D97CD7">
        <w:tc>
          <w:tcPr>
            <w:tcW w:w="1238"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1239"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基金类型</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运作方式</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管理人</w:t>
            </w:r>
          </w:p>
        </w:tc>
        <w:tc>
          <w:tcPr>
            <w:tcW w:w="1241"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公允价值</w:t>
            </w:r>
          </w:p>
        </w:tc>
        <w:tc>
          <w:tcPr>
            <w:tcW w:w="149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占基金资产净值比例（</w:t>
            </w:r>
            <w:r w:rsidRPr="00D97CD7">
              <w:rPr>
                <w:rFonts w:eastAsiaTheme="minorEastAsia"/>
                <w:color w:val="000000" w:themeColor="text1"/>
                <w:kern w:val="0"/>
                <w:szCs w:val="21"/>
              </w:rPr>
              <w:t>%</w:t>
            </w:r>
            <w:r w:rsidRPr="00D97CD7">
              <w:rPr>
                <w:rFonts w:eastAsiaTheme="minorEastAsia"/>
                <w:color w:val="000000" w:themeColor="text1"/>
                <w:kern w:val="0"/>
                <w:szCs w:val="21"/>
              </w:rPr>
              <w:t>）</w:t>
            </w:r>
          </w:p>
        </w:tc>
      </w:tr>
      <w:tr w:rsidR="001F79E3">
        <w:tc>
          <w:tcPr>
            <w:tcW w:w="1238" w:type="dxa"/>
            <w:vAlign w:val="center"/>
          </w:tcPr>
          <w:p w:rsidR="001F79E3" w:rsidRDefault="00C846C5">
            <w:pPr>
              <w:jc w:val="center"/>
            </w:pPr>
            <w:r>
              <w:rPr>
                <w:rFonts w:eastAsiaTheme="minorEastAsia"/>
                <w:color w:val="000000" w:themeColor="text1"/>
                <w:szCs w:val="21"/>
              </w:rPr>
              <w:t>1</w:t>
            </w:r>
          </w:p>
        </w:tc>
        <w:tc>
          <w:tcPr>
            <w:tcW w:w="1239" w:type="dxa"/>
            <w:vAlign w:val="center"/>
          </w:tcPr>
          <w:p w:rsidR="001F79E3" w:rsidRDefault="00C846C5">
            <w:pPr>
              <w:jc w:val="center"/>
            </w:pP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240" w:type="dxa"/>
            <w:vAlign w:val="center"/>
          </w:tcPr>
          <w:p w:rsidR="001F79E3" w:rsidRDefault="00C846C5">
            <w:pPr>
              <w:jc w:val="center"/>
            </w:pPr>
            <w:r>
              <w:rPr>
                <w:rFonts w:eastAsiaTheme="minorEastAsia"/>
                <w:color w:val="000000" w:themeColor="text1"/>
                <w:szCs w:val="21"/>
              </w:rPr>
              <w:t>股票型</w:t>
            </w:r>
          </w:p>
        </w:tc>
        <w:tc>
          <w:tcPr>
            <w:tcW w:w="1240" w:type="dxa"/>
            <w:vAlign w:val="center"/>
          </w:tcPr>
          <w:p w:rsidR="001F79E3" w:rsidRDefault="00C846C5">
            <w:pPr>
              <w:jc w:val="center"/>
            </w:pPr>
            <w:r>
              <w:rPr>
                <w:rFonts w:eastAsiaTheme="minorEastAsia"/>
                <w:color w:val="000000" w:themeColor="text1"/>
                <w:szCs w:val="21"/>
              </w:rPr>
              <w:t>交易型开放式</w:t>
            </w:r>
          </w:p>
        </w:tc>
        <w:tc>
          <w:tcPr>
            <w:tcW w:w="1240" w:type="dxa"/>
            <w:vAlign w:val="center"/>
          </w:tcPr>
          <w:p w:rsidR="001F79E3" w:rsidRDefault="00C846C5">
            <w:pPr>
              <w:jc w:val="center"/>
            </w:pPr>
            <w:r>
              <w:rPr>
                <w:rFonts w:eastAsiaTheme="minorEastAsia"/>
                <w:color w:val="000000" w:themeColor="text1"/>
                <w:szCs w:val="21"/>
              </w:rPr>
              <w:t>上投摩根基金管理有限公司</w:t>
            </w:r>
          </w:p>
        </w:tc>
        <w:tc>
          <w:tcPr>
            <w:tcW w:w="1241" w:type="dxa"/>
            <w:vAlign w:val="center"/>
          </w:tcPr>
          <w:p w:rsidR="001F79E3" w:rsidRDefault="00C846C5">
            <w:pPr>
              <w:jc w:val="right"/>
            </w:pPr>
            <w:r>
              <w:rPr>
                <w:rFonts w:eastAsiaTheme="minorEastAsia"/>
                <w:color w:val="000000" w:themeColor="text1"/>
                <w:szCs w:val="21"/>
              </w:rPr>
              <w:t>69,901,665.00</w:t>
            </w:r>
          </w:p>
        </w:tc>
        <w:tc>
          <w:tcPr>
            <w:tcW w:w="1490" w:type="dxa"/>
            <w:vAlign w:val="center"/>
          </w:tcPr>
          <w:p w:rsidR="001F79E3" w:rsidRDefault="00C846C5">
            <w:pPr>
              <w:jc w:val="right"/>
            </w:pPr>
            <w:r>
              <w:rPr>
                <w:rFonts w:eastAsiaTheme="minorEastAsia"/>
                <w:color w:val="000000" w:themeColor="text1"/>
                <w:szCs w:val="21"/>
              </w:rPr>
              <w:t>94.59</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5.3 </w:t>
      </w:r>
      <w:r w:rsidRPr="00D97CD7">
        <w:rPr>
          <w:rFonts w:eastAsiaTheme="minorEastAsia"/>
          <w:b/>
          <w:color w:val="000000" w:themeColor="text1"/>
          <w:kern w:val="0"/>
          <w:szCs w:val="21"/>
        </w:rPr>
        <w:t>报告期末按行业分类的股票投资组合</w:t>
      </w:r>
    </w:p>
    <w:p w:rsidR="00DB3887" w:rsidRPr="00D97CD7" w:rsidRDefault="00FC6961">
      <w:pPr>
        <w:rPr>
          <w:b/>
        </w:rPr>
      </w:pPr>
      <w:r w:rsidRPr="00D97CD7">
        <w:rPr>
          <w:rFonts w:eastAsiaTheme="minorEastAsia"/>
          <w:b/>
          <w:color w:val="000000" w:themeColor="text1"/>
          <w:kern w:val="0"/>
          <w:szCs w:val="21"/>
        </w:rPr>
        <w:t>5.3.1</w:t>
      </w:r>
      <w:r w:rsidRPr="00D97CD7">
        <w:rPr>
          <w:rFonts w:eastAsiaTheme="minorEastAsia"/>
          <w:b/>
          <w:color w:val="000000" w:themeColor="text1"/>
          <w:kern w:val="0"/>
          <w:szCs w:val="21"/>
        </w:rPr>
        <w:t>报告期末按行业分类的境内股票投资组合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本基金本报告期末未持有股票。</w:t>
      </w:r>
    </w:p>
    <w:p w:rsidR="00DB3887" w:rsidRPr="00D97CD7" w:rsidRDefault="00DB3887">
      <w:pPr>
        <w:autoSpaceDE w:val="0"/>
        <w:autoSpaceDN w:val="0"/>
        <w:adjustRightInd w:val="0"/>
        <w:spacing w:line="360" w:lineRule="auto"/>
        <w:ind w:firstLineChars="200" w:firstLine="420"/>
        <w:jc w:val="left"/>
        <w:rPr>
          <w:rFonts w:eastAsiaTheme="minorEastAsia"/>
          <w:color w:val="000000" w:themeColor="text1"/>
          <w:szCs w:val="21"/>
        </w:rPr>
      </w:pPr>
    </w:p>
    <w:p w:rsidR="00D97CD7" w:rsidRPr="007A4E67" w:rsidRDefault="00D97CD7" w:rsidP="00D97CD7">
      <w:pPr>
        <w:spacing w:line="360" w:lineRule="auto"/>
        <w:rPr>
          <w:rFonts w:eastAsiaTheme="minorEastAsia"/>
          <w:szCs w:val="21"/>
        </w:rPr>
      </w:pPr>
      <w:bookmarkStart w:id="2" w:name="_Hlk73460790"/>
      <w:r w:rsidRPr="007A4E67">
        <w:rPr>
          <w:rFonts w:eastAsiaTheme="minorEastAsia"/>
          <w:b/>
          <w:bCs/>
          <w:kern w:val="0"/>
          <w:szCs w:val="21"/>
        </w:rPr>
        <w:t>5.4</w:t>
      </w:r>
      <w:r w:rsidRPr="007A4E67">
        <w:rPr>
          <w:rFonts w:asciiTheme="minorEastAsia" w:eastAsiaTheme="minorEastAsia" w:hAnsiTheme="minorEastAsia" w:hint="eastAsia"/>
          <w:b/>
          <w:bCs/>
          <w:kern w:val="0"/>
          <w:szCs w:val="21"/>
        </w:rPr>
        <w:t>期末按公允价值占基金资产净值比例大小排序的股票投资明细</w:t>
      </w:r>
      <w:r w:rsidRPr="007A4E67">
        <w:rPr>
          <w:rFonts w:asciiTheme="minorEastAsia" w:eastAsiaTheme="minorEastAsia" w:hAnsiTheme="minorEastAsia" w:hint="eastAsia"/>
          <w:b/>
          <w:bCs/>
          <w:kern w:val="0"/>
          <w:szCs w:val="21"/>
        </w:rPr>
        <w:cr/>
      </w:r>
      <w:r w:rsidRPr="007A4E67">
        <w:rPr>
          <w:rFonts w:eastAsiaTheme="minorEastAsia"/>
          <w:b/>
          <w:bCs/>
          <w:kern w:val="0"/>
          <w:szCs w:val="21"/>
        </w:rPr>
        <w:t>5.4.1</w:t>
      </w:r>
      <w:r w:rsidRPr="007A4E67">
        <w:rPr>
          <w:rFonts w:asciiTheme="minorEastAsia" w:eastAsiaTheme="minorEastAsia" w:hAnsiTheme="minorEastAsia" w:hint="eastAsia"/>
          <w:b/>
          <w:bCs/>
          <w:kern w:val="0"/>
          <w:szCs w:val="21"/>
        </w:rPr>
        <w:t>报告期末按公允价值占基金资产净值比例大小排序的前十名股票投资明细</w:t>
      </w:r>
    </w:p>
    <w:p w:rsidR="00D97CD7" w:rsidRPr="007A4E67" w:rsidRDefault="00D97CD7" w:rsidP="00D97CD7">
      <w:pPr>
        <w:spacing w:line="360" w:lineRule="auto"/>
        <w:ind w:firstLineChars="200" w:firstLine="420"/>
        <w:rPr>
          <w:rFonts w:eastAsiaTheme="minorEastAsia"/>
          <w:szCs w:val="21"/>
        </w:rPr>
      </w:pPr>
      <w:r w:rsidRPr="007A4E67">
        <w:rPr>
          <w:rFonts w:eastAsiaTheme="minorEastAsia"/>
          <w:szCs w:val="21"/>
        </w:rPr>
        <w:t>本基金本报告期末未持有股票。</w:t>
      </w:r>
    </w:p>
    <w:bookmarkEnd w:id="2"/>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5.5 </w:t>
      </w:r>
      <w:r w:rsidRPr="00D97CD7">
        <w:rPr>
          <w:rFonts w:eastAsiaTheme="minorEastAsia"/>
          <w:b/>
          <w:color w:val="000000" w:themeColor="text1"/>
          <w:kern w:val="0"/>
          <w:szCs w:val="21"/>
        </w:rPr>
        <w:t>报告期末按债券品种分类的债券投资组合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5.6 </w:t>
      </w:r>
      <w:r w:rsidRPr="00D97CD7">
        <w:rPr>
          <w:rFonts w:eastAsiaTheme="minorEastAsia"/>
          <w:b/>
          <w:color w:val="000000" w:themeColor="text1"/>
          <w:kern w:val="0"/>
          <w:szCs w:val="21"/>
        </w:rPr>
        <w:t>报告期末按公允价值占基金资产净值比例大小排序的前五名债券投资明细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5.7</w:t>
      </w:r>
      <w:r w:rsidRPr="00D97CD7">
        <w:rPr>
          <w:rFonts w:eastAsiaTheme="minorEastAsia"/>
          <w:b/>
          <w:color w:val="000000" w:themeColor="text1"/>
          <w:kern w:val="0"/>
          <w:szCs w:val="21"/>
        </w:rPr>
        <w:t xml:space="preserve">　报告期末按公允价值占基金资产净值比例大小排序的前十名资产支持证券投资明细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本基金本报告期末未持有资产支持证券。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 xml:space="preserve">5.8 </w:t>
      </w:r>
      <w:r w:rsidRPr="00D97CD7">
        <w:rPr>
          <w:rFonts w:eastAsiaTheme="minorEastAsia"/>
          <w:b/>
          <w:bCs/>
          <w:color w:val="000000" w:themeColor="text1"/>
          <w:kern w:val="0"/>
          <w:szCs w:val="21"/>
        </w:rPr>
        <w:t>报告期末按公允价值占基金资产净值比例大小排序的前五名贵金属投资明细</w:t>
      </w:r>
    </w:p>
    <w:p w:rsidR="00DB3887" w:rsidRPr="00D97CD7" w:rsidRDefault="00FC6961">
      <w:pPr>
        <w:widowControl/>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本基金本报告期末未持有贵金属。</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5.9 </w:t>
      </w:r>
      <w:r w:rsidRPr="00D97CD7">
        <w:rPr>
          <w:rFonts w:eastAsiaTheme="minorEastAsia"/>
          <w:b/>
          <w:color w:val="000000" w:themeColor="text1"/>
          <w:kern w:val="0"/>
          <w:szCs w:val="21"/>
        </w:rPr>
        <w:t>报告</w:t>
      </w:r>
      <w:r w:rsidRPr="00D97CD7">
        <w:rPr>
          <w:rFonts w:eastAsiaTheme="minorEastAsia"/>
          <w:b/>
          <w:bCs/>
          <w:color w:val="000000" w:themeColor="text1"/>
          <w:kern w:val="0"/>
          <w:szCs w:val="21"/>
        </w:rPr>
        <w:t>期末</w:t>
      </w:r>
      <w:r w:rsidRPr="00D97CD7">
        <w:rPr>
          <w:rFonts w:eastAsiaTheme="minorEastAsia"/>
          <w:b/>
          <w:color w:val="000000" w:themeColor="text1"/>
          <w:kern w:val="0"/>
          <w:szCs w:val="21"/>
        </w:rPr>
        <w:t>按公允价值占基金资产净值比例大小排序的前五名权证投资明细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lastRenderedPageBreak/>
        <w:t>本基金本报告期末未持有权证。</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szCs w:val="21"/>
        </w:rPr>
      </w:pPr>
      <w:r w:rsidRPr="00D97CD7">
        <w:rPr>
          <w:rFonts w:eastAsiaTheme="minorEastAsia"/>
          <w:b/>
          <w:color w:val="000000" w:themeColor="text1"/>
          <w:szCs w:val="21"/>
        </w:rPr>
        <w:t xml:space="preserve">5.10 </w:t>
      </w:r>
      <w:r w:rsidRPr="00D97CD7">
        <w:rPr>
          <w:rFonts w:eastAsiaTheme="minorEastAsia"/>
          <w:b/>
          <w:color w:val="000000" w:themeColor="text1"/>
          <w:szCs w:val="21"/>
        </w:rPr>
        <w:t>报告期末本基金投资的股指期货交易情况说明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本基金本报告期末未持有股指期货。</w:t>
      </w:r>
    </w:p>
    <w:p w:rsidR="00DB3887" w:rsidRPr="00D97CD7" w:rsidRDefault="00FC6961">
      <w:pPr>
        <w:adjustRightInd w:val="0"/>
        <w:snapToGrid w:val="0"/>
        <w:spacing w:beforeLines="100" w:before="312" w:line="360" w:lineRule="auto"/>
        <w:rPr>
          <w:rFonts w:eastAsiaTheme="minorEastAsia"/>
          <w:b/>
          <w:color w:val="000000" w:themeColor="text1"/>
          <w:szCs w:val="21"/>
        </w:rPr>
      </w:pPr>
      <w:r w:rsidRPr="00D97CD7">
        <w:rPr>
          <w:rFonts w:eastAsiaTheme="minorEastAsia"/>
          <w:b/>
          <w:color w:val="000000" w:themeColor="text1"/>
          <w:szCs w:val="21"/>
        </w:rPr>
        <w:t>5.11</w:t>
      </w:r>
      <w:r w:rsidRPr="00D97CD7">
        <w:rPr>
          <w:rFonts w:eastAsiaTheme="minorEastAsia"/>
          <w:b/>
          <w:color w:val="000000" w:themeColor="text1"/>
          <w:szCs w:val="21"/>
        </w:rPr>
        <w:t>报告期末本基金投资的国债期货交易情况说明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本基金本报告期末未持有国债期货。</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w:t>
      </w:r>
      <w:r w:rsidRPr="00D97CD7">
        <w:rPr>
          <w:rFonts w:eastAsiaTheme="minorEastAsia"/>
          <w:b/>
          <w:color w:val="000000" w:themeColor="text1"/>
          <w:kern w:val="0"/>
          <w:szCs w:val="21"/>
        </w:rPr>
        <w:t>投资组合报告附注</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5.12.1</w:t>
      </w:r>
      <w:r w:rsidRPr="00D97CD7">
        <w:rPr>
          <w:rFonts w:eastAsiaTheme="minorEastAsia"/>
          <w:color w:val="000000" w:themeColor="text1"/>
          <w:szCs w:val="21"/>
        </w:rPr>
        <w:t>本基金投资的前十名证券的发行主体本期未出现被监管部门立案调查，或在报告编制日前一年内受到公开谴责、处罚的情形。</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5.12.2</w:t>
      </w:r>
      <w:r w:rsidRPr="00D97CD7">
        <w:rPr>
          <w:rFonts w:eastAsiaTheme="minorEastAsia"/>
          <w:color w:val="000000" w:themeColor="text1"/>
          <w:szCs w:val="21"/>
        </w:rPr>
        <w:t>报告期内本基金投资的前十名股票中没有在基金合同规定备选股票库之外的股票。</w:t>
      </w:r>
    </w:p>
    <w:p w:rsidR="00DB3887" w:rsidRPr="00D97CD7" w:rsidRDefault="00FC6961">
      <w:pPr>
        <w:autoSpaceDE w:val="0"/>
        <w:autoSpaceDN w:val="0"/>
        <w:adjustRightInd w:val="0"/>
        <w:spacing w:line="360" w:lineRule="auto"/>
        <w:rPr>
          <w:rFonts w:eastAsiaTheme="minorEastAsia"/>
          <w:b/>
          <w:color w:val="000000" w:themeColor="text1"/>
          <w:kern w:val="0"/>
          <w:szCs w:val="21"/>
        </w:rPr>
      </w:pPr>
      <w:r w:rsidRPr="00D97CD7">
        <w:rPr>
          <w:rFonts w:eastAsiaTheme="minorEastAsia"/>
          <w:b/>
          <w:color w:val="000000" w:themeColor="text1"/>
          <w:kern w:val="0"/>
          <w:szCs w:val="21"/>
        </w:rPr>
        <w:t>5.12.3</w:t>
      </w:r>
      <w:r w:rsidRPr="00D97CD7">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DB3887" w:rsidRPr="00D97CD7">
        <w:tc>
          <w:tcPr>
            <w:tcW w:w="1110"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2761"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名称</w:t>
            </w:r>
          </w:p>
        </w:tc>
        <w:tc>
          <w:tcPr>
            <w:tcW w:w="4808"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金额</w:t>
            </w:r>
            <w:r w:rsidRPr="00D97CD7">
              <w:rPr>
                <w:rFonts w:eastAsiaTheme="minorEastAsia"/>
                <w:color w:val="000000" w:themeColor="text1"/>
                <w:kern w:val="0"/>
                <w:szCs w:val="21"/>
              </w:rPr>
              <w:t>(</w:t>
            </w:r>
            <w:r w:rsidRPr="00D97CD7">
              <w:rPr>
                <w:rFonts w:eastAsiaTheme="minorEastAsia"/>
                <w:color w:val="000000" w:themeColor="text1"/>
                <w:kern w:val="0"/>
                <w:szCs w:val="21"/>
              </w:rPr>
              <w:t>元</w:t>
            </w: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szCs w:val="21"/>
              </w:rPr>
              <w:t>1</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存出保证金</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37,650.02</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2</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应收证券清算款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851,961.66</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3</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应收股利</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4</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应收利息</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435.72</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5</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应收申购款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275,961.73</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6</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其他应收款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7</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szCs w:val="21"/>
              </w:rPr>
            </w:pPr>
            <w:r w:rsidRPr="00D97CD7">
              <w:rPr>
                <w:rFonts w:eastAsiaTheme="minorEastAsia"/>
                <w:color w:val="000000" w:themeColor="text1"/>
                <w:szCs w:val="21"/>
              </w:rPr>
              <w:t>待摊费用</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8</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9</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合计</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1,166,009.13</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5.12.4</w:t>
      </w:r>
      <w:r w:rsidRPr="00D97CD7">
        <w:rPr>
          <w:rFonts w:eastAsiaTheme="minorEastAsia"/>
          <w:b/>
          <w:color w:val="000000" w:themeColor="text1"/>
          <w:kern w:val="0"/>
          <w:szCs w:val="21"/>
        </w:rPr>
        <w:t>报告期末持有的处于转股期的可转换债券明细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本基金本报告期末未持有处于转股期的可转换债券。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szCs w:val="21"/>
        </w:rPr>
      </w:pPr>
      <w:r w:rsidRPr="00D97CD7">
        <w:rPr>
          <w:rFonts w:eastAsiaTheme="minorEastAsia"/>
          <w:b/>
          <w:color w:val="000000" w:themeColor="text1"/>
          <w:kern w:val="0"/>
          <w:szCs w:val="21"/>
        </w:rPr>
        <w:t>5.12.5</w:t>
      </w:r>
      <w:r w:rsidRPr="00D97CD7">
        <w:rPr>
          <w:rFonts w:eastAsiaTheme="minorEastAsia"/>
          <w:b/>
          <w:bCs/>
          <w:color w:val="000000" w:themeColor="text1"/>
          <w:szCs w:val="21"/>
        </w:rPr>
        <w:t>报告期末前十名股票中存在流通受限情况的说明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本基金本报告期末前十名股票中不存在流通受限情况。</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5.12.6</w:t>
      </w:r>
      <w:r w:rsidRPr="00D97CD7">
        <w:rPr>
          <w:rFonts w:eastAsiaTheme="minorEastAsia"/>
          <w:b/>
          <w:color w:val="000000" w:themeColor="text1"/>
          <w:kern w:val="0"/>
          <w:szCs w:val="21"/>
        </w:rPr>
        <w:t>投资组合报告附注的其他文字描述部分</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lastRenderedPageBreak/>
        <w:t>因四舍五入的原因，投资组合报告中分项之和与合计数可能存在尾差。</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§6  </w:t>
      </w:r>
      <w:r w:rsidRPr="00D97CD7">
        <w:rPr>
          <w:rFonts w:eastAsiaTheme="minorEastAsia"/>
          <w:color w:val="000000" w:themeColor="text1"/>
          <w:kern w:val="0"/>
          <w:sz w:val="21"/>
          <w:szCs w:val="21"/>
        </w:rPr>
        <w:t>开放式基金份额变动</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54,769,338.04</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22,173,664.99</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1,010,419.28</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14,521,858.72</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9,879,234.40</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19,085,668.51</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45,900,522.92</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17,609,855.20</w:t>
            </w:r>
          </w:p>
        </w:tc>
      </w:tr>
    </w:tbl>
    <w:p w:rsidR="00DB3887" w:rsidRPr="00D97CD7" w:rsidRDefault="00FC6961">
      <w:pPr>
        <w:pStyle w:val="1"/>
        <w:tabs>
          <w:tab w:val="center" w:pos="4156"/>
          <w:tab w:val="right" w:pos="8312"/>
        </w:tabs>
        <w:spacing w:beforeLines="100" w:before="312" w:afterLines="100" w:after="312" w:line="360" w:lineRule="auto"/>
        <w:jc w:val="center"/>
        <w:rPr>
          <w:rFonts w:eastAsiaTheme="minorEastAsia"/>
          <w:color w:val="000000" w:themeColor="text1"/>
          <w:sz w:val="21"/>
          <w:szCs w:val="21"/>
        </w:rPr>
      </w:pPr>
      <w:r w:rsidRPr="00D97CD7">
        <w:rPr>
          <w:rFonts w:eastAsiaTheme="minorEastAsia"/>
          <w:color w:val="000000" w:themeColor="text1"/>
          <w:kern w:val="0"/>
          <w:sz w:val="21"/>
          <w:szCs w:val="21"/>
        </w:rPr>
        <w:t xml:space="preserve">§7  </w:t>
      </w:r>
      <w:r w:rsidRPr="00D97CD7">
        <w:rPr>
          <w:rFonts w:eastAsiaTheme="minorEastAsia"/>
          <w:color w:val="000000" w:themeColor="text1"/>
          <w:sz w:val="21"/>
          <w:szCs w:val="21"/>
        </w:rPr>
        <w:t>基金管理人运用固有资金投资本基金情况</w:t>
      </w:r>
    </w:p>
    <w:p w:rsidR="00DB3887" w:rsidRPr="00D97CD7" w:rsidRDefault="00FC6961">
      <w:pPr>
        <w:spacing w:line="360" w:lineRule="auto"/>
        <w:jc w:val="left"/>
        <w:rPr>
          <w:rFonts w:eastAsiaTheme="minorEastAsia"/>
          <w:color w:val="000000" w:themeColor="text1"/>
          <w:szCs w:val="21"/>
        </w:rPr>
      </w:pPr>
      <w:r w:rsidRPr="00D97CD7">
        <w:rPr>
          <w:rFonts w:eastAsiaTheme="minorEastAsia"/>
          <w:b/>
          <w:color w:val="000000" w:themeColor="text1"/>
          <w:szCs w:val="21"/>
        </w:rPr>
        <w:t xml:space="preserve">7.1 </w:t>
      </w:r>
      <w:r w:rsidRPr="00D97CD7">
        <w:rPr>
          <w:rFonts w:eastAsiaTheme="minorEastAsia"/>
          <w:b/>
          <w:bCs/>
          <w:color w:val="000000" w:themeColor="text1"/>
          <w:kern w:val="44"/>
          <w:szCs w:val="21"/>
        </w:rPr>
        <w:t>基金管理人持有本基金份额变动情况</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无。</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§8</w:t>
      </w:r>
      <w:r w:rsidRPr="00D97CD7">
        <w:rPr>
          <w:rFonts w:eastAsiaTheme="minorEastAsia"/>
          <w:color w:val="000000" w:themeColor="text1"/>
          <w:kern w:val="0"/>
          <w:sz w:val="21"/>
          <w:szCs w:val="21"/>
        </w:rPr>
        <w:t>备查文件目录</w:t>
      </w:r>
    </w:p>
    <w:p w:rsidR="00DB3887" w:rsidRPr="00D97CD7" w:rsidRDefault="00FC6961">
      <w:pPr>
        <w:autoSpaceDE w:val="0"/>
        <w:autoSpaceDN w:val="0"/>
        <w:adjustRightInd w:val="0"/>
        <w:spacing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8.1</w:t>
      </w:r>
      <w:r w:rsidRPr="00D97CD7">
        <w:rPr>
          <w:rFonts w:eastAsiaTheme="minorEastAsia"/>
          <w:b/>
          <w:bCs/>
          <w:color w:val="000000" w:themeColor="text1"/>
          <w:kern w:val="0"/>
          <w:szCs w:val="21"/>
        </w:rPr>
        <w:t>备查文件目录</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股交易型开放式指数证券投资基金联接基金募集注册的文件</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股交易型开放式指数证券投资基金联接基金基金合同</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股交易型开放式指数证券投资基金联接基金托管协议</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1F79E3" w:rsidRDefault="00C846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w:t>
      </w:r>
      <w:r w:rsidRPr="00D97CD7">
        <w:rPr>
          <w:rFonts w:eastAsiaTheme="minorEastAsia"/>
          <w:color w:val="000000" w:themeColor="text1"/>
          <w:szCs w:val="21"/>
        </w:rPr>
        <w:t>八</w:t>
      </w:r>
      <w:r w:rsidRPr="00D97CD7">
        <w:rPr>
          <w:rFonts w:eastAsiaTheme="minorEastAsia"/>
          <w:color w:val="000000" w:themeColor="text1"/>
          <w:szCs w:val="21"/>
        </w:rPr>
        <w:t>)</w:t>
      </w:r>
      <w:r w:rsidRPr="00D97CD7">
        <w:rPr>
          <w:rFonts w:eastAsiaTheme="minorEastAsia"/>
          <w:color w:val="000000" w:themeColor="text1"/>
          <w:szCs w:val="21"/>
        </w:rPr>
        <w:t>中国证监会要求的其他文件</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lastRenderedPageBreak/>
        <w:t>8.2</w:t>
      </w:r>
      <w:r w:rsidRPr="00D97CD7">
        <w:rPr>
          <w:rFonts w:eastAsiaTheme="minorEastAsia"/>
          <w:b/>
          <w:bCs/>
          <w:color w:val="000000" w:themeColor="text1"/>
          <w:kern w:val="0"/>
          <w:szCs w:val="21"/>
        </w:rPr>
        <w:t>存放地点</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基金管理人或基金托管人住所。</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8.3</w:t>
      </w:r>
      <w:r w:rsidRPr="00D97CD7">
        <w:rPr>
          <w:rFonts w:eastAsiaTheme="minorEastAsia"/>
          <w:b/>
          <w:bCs/>
          <w:color w:val="000000" w:themeColor="text1"/>
          <w:kern w:val="0"/>
          <w:szCs w:val="21"/>
        </w:rPr>
        <w:t>查阅方式</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投资者可在营业时间免费查阅，也可按工本费购买复印件。</w:t>
      </w:r>
    </w:p>
    <w:p w:rsidR="00DB3887" w:rsidRPr="00D97CD7" w:rsidRDefault="00DB3887">
      <w:pPr>
        <w:spacing w:line="360" w:lineRule="auto"/>
        <w:ind w:left="840"/>
        <w:jc w:val="right"/>
        <w:rPr>
          <w:rFonts w:eastAsiaTheme="minorEastAsia"/>
          <w:color w:val="000000" w:themeColor="text1"/>
          <w:szCs w:val="21"/>
        </w:rPr>
      </w:pPr>
    </w:p>
    <w:p w:rsidR="00DB3887" w:rsidRPr="00D97CD7" w:rsidRDefault="00DB3887">
      <w:pPr>
        <w:spacing w:line="360" w:lineRule="auto"/>
        <w:ind w:left="840"/>
        <w:jc w:val="center"/>
        <w:rPr>
          <w:rFonts w:eastAsiaTheme="minorEastAsia"/>
          <w:b/>
          <w:color w:val="000000" w:themeColor="text1"/>
          <w:szCs w:val="21"/>
        </w:rPr>
      </w:pP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上投摩根基金管理有限公司</w:t>
      </w: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二〇二一年七月二十一日</w:t>
      </w:r>
    </w:p>
    <w:sectPr w:rsidR="00DB3887" w:rsidRPr="00D97CD7">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CA1" w:rsidRDefault="008B6CA1">
      <w:r>
        <w:separator/>
      </w:r>
    </w:p>
  </w:endnote>
  <w:endnote w:type="continuationSeparator" w:id="0">
    <w:p w:rsidR="008B6CA1" w:rsidRDefault="008B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410D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410DB">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C6961" w:rsidRDefault="00FC69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410DB">
      <w:rPr>
        <w:rStyle w:val="af6"/>
        <w:noProof/>
      </w:rPr>
      <w:t>15</w:t>
    </w:r>
    <w:r>
      <w:rPr>
        <w:rStyle w:val="af6"/>
      </w:rPr>
      <w:fldChar w:fldCharType="end"/>
    </w:r>
  </w:p>
  <w:p w:rsidR="00FC6961" w:rsidRDefault="00FC69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CA1" w:rsidRDefault="008B6CA1">
      <w:r>
        <w:separator/>
      </w:r>
    </w:p>
  </w:footnote>
  <w:footnote w:type="continuationSeparator" w:id="0">
    <w:p w:rsidR="008B6CA1" w:rsidRDefault="008B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f"/>
      <w:pBdr>
        <w:bottom w:val="single" w:sz="6" w:space="0" w:color="auto"/>
      </w:pBdr>
      <w:jc w:val="right"/>
    </w:pPr>
    <w:r>
      <w:rPr>
        <w:sz w:val="21"/>
        <w:szCs w:val="21"/>
      </w:rPr>
      <w:t>上投摩根</w:t>
    </w:r>
    <w:r>
      <w:rPr>
        <w:sz w:val="21"/>
        <w:szCs w:val="21"/>
      </w:rPr>
      <w:t>MSCI</w:t>
    </w:r>
    <w:r>
      <w:rPr>
        <w:sz w:val="21"/>
        <w:szCs w:val="21"/>
      </w:rPr>
      <w:t>中国</w:t>
    </w:r>
    <w:r>
      <w:rPr>
        <w:sz w:val="21"/>
        <w:szCs w:val="21"/>
      </w:rPr>
      <w:t>A</w:t>
    </w:r>
    <w:r>
      <w:rPr>
        <w:sz w:val="21"/>
        <w:szCs w:val="21"/>
      </w:rPr>
      <w:t>股交易型开放式指数证券投资基金联接基金</w:t>
    </w:r>
    <w:r>
      <w:rPr>
        <w:sz w:val="21"/>
        <w:szCs w:val="21"/>
      </w:rPr>
      <w:t>2021</w:t>
    </w:r>
    <w:r>
      <w:rPr>
        <w:sz w:val="21"/>
        <w:szCs w:val="21"/>
      </w:rPr>
      <w:t>年第</w:t>
    </w:r>
    <w:r>
      <w:rPr>
        <w:sz w:val="21"/>
        <w:szCs w:val="21"/>
      </w:rPr>
      <w:t>2</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10DB"/>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3D"/>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1F79E3"/>
    <w:rsid w:val="00205064"/>
    <w:rsid w:val="0020548A"/>
    <w:rsid w:val="00206EC3"/>
    <w:rsid w:val="00211668"/>
    <w:rsid w:val="002118A6"/>
    <w:rsid w:val="002122FF"/>
    <w:rsid w:val="002125F7"/>
    <w:rsid w:val="0021288A"/>
    <w:rsid w:val="002150AC"/>
    <w:rsid w:val="00221938"/>
    <w:rsid w:val="00222262"/>
    <w:rsid w:val="002230A8"/>
    <w:rsid w:val="00227D20"/>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ED"/>
    <w:rsid w:val="0037768B"/>
    <w:rsid w:val="00382E6F"/>
    <w:rsid w:val="00387C00"/>
    <w:rsid w:val="00397960"/>
    <w:rsid w:val="00397F75"/>
    <w:rsid w:val="003A2008"/>
    <w:rsid w:val="003A3BC4"/>
    <w:rsid w:val="003A4AA3"/>
    <w:rsid w:val="003B405E"/>
    <w:rsid w:val="003B4843"/>
    <w:rsid w:val="003B494E"/>
    <w:rsid w:val="003B560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4009"/>
    <w:rsid w:val="00C7016D"/>
    <w:rsid w:val="00C767B3"/>
    <w:rsid w:val="00C76C07"/>
    <w:rsid w:val="00C80F23"/>
    <w:rsid w:val="00C817E5"/>
    <w:rsid w:val="00C846C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0789"/>
    <w:rsid w:val="00E02DEB"/>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Normal Indent" w:uiPriority="99"/>
    <w:lsdException w:name="footnote text" w:qFormat="1"/>
    <w:lsdException w:name="annotation text" w:semiHidden="1" w:qFormat="1"/>
    <w:lsdException w:name="head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uiPriority="22"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
    <w:name w:val="Body Text Indent 3"/>
    <w:basedOn w:val="a"/>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5">
    <w:name w:val="Strong"/>
    <w:basedOn w:val="a1"/>
    <w:uiPriority w:val="22"/>
    <w:qFormat/>
    <w:rPr>
      <w:b/>
      <w:bCs/>
    </w:rPr>
  </w:style>
  <w:style w:type="character" w:styleId="af6">
    <w:name w:val="page number"/>
    <w:basedOn w:val="a1"/>
  </w:style>
  <w:style w:type="character" w:styleId="af7">
    <w:name w:val="Hyperlink"/>
    <w:basedOn w:val="a1"/>
    <w:rPr>
      <w:color w:val="0000FF"/>
      <w:u w:val="single"/>
    </w:rPr>
  </w:style>
  <w:style w:type="character" w:styleId="af8">
    <w:name w:val="annotation reference"/>
    <w:basedOn w:val="a1"/>
    <w:semiHidden/>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rPr>
      <w:color w:val="800080"/>
      <w:u w:val="single"/>
    </w:r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qFormat/>
    <w:rPr>
      <w:color w:val="990000"/>
    </w:rPr>
  </w:style>
  <w:style w:type="character" w:customStyle="1" w:styleId="aa">
    <w:name w:val="纯文本 字符"/>
    <w:basedOn w:val="a1"/>
    <w:link w:val="a9"/>
    <w:uiPriority w:val="99"/>
    <w:qFormat/>
    <w:rPr>
      <w:rFonts w:ascii="宋体" w:hAnsi="Courier New"/>
      <w:kern w:val="2"/>
      <w:sz w:val="21"/>
      <w:szCs w:val="21"/>
    </w:rPr>
  </w:style>
  <w:style w:type="character" w:customStyle="1" w:styleId="af3">
    <w:name w:val="脚注文本 字符"/>
    <w:basedOn w:val="a1"/>
    <w:link w:val="af2"/>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5EED0-6B5E-48B0-A74E-3D17006E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28</TotalTime>
  <Pages>15</Pages>
  <Words>1210</Words>
  <Characters>6902</Characters>
  <Application>Microsoft Office Word</Application>
  <DocSecurity>0</DocSecurity>
  <Lines>57</Lines>
  <Paragraphs>16</Paragraphs>
  <ScaleCrop>false</ScaleCrop>
  <Company>TRT. Ltd. Co.</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24</cp:revision>
  <cp:lastPrinted>2007-07-19T00:46:00Z</cp:lastPrinted>
  <dcterms:created xsi:type="dcterms:W3CDTF">2014-12-16T08:49:00Z</dcterms:created>
  <dcterms:modified xsi:type="dcterms:W3CDTF">2021-07-20T03:04:00Z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