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0089A" w:rsidRDefault="00E0089A">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E0089A" w:rsidRDefault="00E0089A">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E0089A" w:rsidRDefault="00E0089A">
      <w:pPr>
        <w:spacing w:line="360" w:lineRule="auto"/>
        <w:jc w:val="center"/>
        <w:rPr>
          <w:rFonts w:hint="eastAsia"/>
        </w:rPr>
      </w:pPr>
      <w:r>
        <w:rPr>
          <w:rFonts w:ascii="宋体" w:hAnsi="宋体" w:hint="eastAsia"/>
          <w:b/>
          <w:bCs/>
          <w:color w:val="000000" w:themeColor="text1"/>
          <w:sz w:val="48"/>
          <w:szCs w:val="30"/>
        </w:rPr>
        <w:t>摩根中债</w:t>
      </w:r>
      <w:r>
        <w:rPr>
          <w:rFonts w:ascii="宋体" w:hAnsi="宋体" w:hint="eastAsia"/>
          <w:b/>
          <w:bCs/>
          <w:color w:val="000000" w:themeColor="text1"/>
          <w:sz w:val="48"/>
          <w:szCs w:val="30"/>
        </w:rPr>
        <w:t>1-3</w:t>
      </w:r>
      <w:r>
        <w:rPr>
          <w:rFonts w:ascii="宋体" w:hAnsi="宋体" w:hint="eastAsia"/>
          <w:b/>
          <w:bCs/>
          <w:color w:val="000000" w:themeColor="text1"/>
          <w:sz w:val="48"/>
          <w:szCs w:val="30"/>
        </w:rPr>
        <w:t>年国开行债券指数证券投资基金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E0089A" w:rsidRDefault="00E0089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E0089A" w:rsidRDefault="00E0089A">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0089A" w:rsidRDefault="00E0089A">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E0089A" w:rsidRDefault="00E0089A">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E0089A" w:rsidRDefault="00E0089A">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E0089A" w:rsidRDefault="00E0089A">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E0089A" w:rsidRDefault="00E0089A">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E0089A" w:rsidRDefault="00E0089A">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04802009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E0089A" w:rsidRDefault="00E0089A">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szCs w:val="24"/>
                <w:lang w:eastAsia="zh-Hans"/>
              </w:rPr>
              <w:t>摩根中债</w:t>
            </w:r>
            <w:r>
              <w:rPr>
                <w:rFonts w:ascii="宋体" w:hAnsi="宋体" w:hint="eastAsia"/>
                <w:szCs w:val="24"/>
                <w:lang w:eastAsia="zh-Hans"/>
              </w:rPr>
              <w:t>1-3</w:t>
            </w:r>
            <w:r>
              <w:rPr>
                <w:rFonts w:ascii="宋体" w:hAnsi="宋体" w:hint="eastAsia"/>
                <w:szCs w:val="24"/>
                <w:lang w:eastAsia="zh-Hans"/>
              </w:rPr>
              <w:t>年国开行债券指</w:t>
            </w:r>
            <w:r>
              <w:rPr>
                <w:rFonts w:ascii="宋体" w:hAnsi="宋体" w:hint="eastAsia"/>
                <w:szCs w:val="24"/>
                <w:lang w:eastAsia="zh-Hans"/>
              </w:rPr>
              <w:t>数</w:t>
            </w:r>
            <w:r>
              <w:rPr>
                <w:rFonts w:ascii="宋体" w:hAnsi="宋体" w:hint="eastAsia"/>
                <w:lang w:eastAsia="zh-Hans"/>
              </w:rPr>
              <w:t xml:space="preserve"> </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00884</w:t>
            </w:r>
            <w:r>
              <w:rPr>
                <w:rFonts w:ascii="宋体" w:hAnsi="宋体" w:hint="eastAsia"/>
                <w:lang w:eastAsia="zh-Hans"/>
              </w:rPr>
              <w:t>4</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契约型开放</w:t>
            </w:r>
            <w:r>
              <w:rPr>
                <w:rFonts w:ascii="宋体" w:hAnsi="宋体" w:hint="eastAsia"/>
                <w:lang w:eastAsia="zh-Hans"/>
              </w:rPr>
              <w:t>式</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2021</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9</w:t>
            </w:r>
            <w:r>
              <w:rPr>
                <w:rFonts w:ascii="宋体" w:hAnsi="宋体" w:hint="eastAsia"/>
                <w:lang w:eastAsia="zh-Hans"/>
              </w:rPr>
              <w:t>日</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118,402,795.7</w:t>
            </w:r>
            <w:r>
              <w:rPr>
                <w:rFonts w:ascii="宋体" w:hAnsi="宋体" w:hint="eastAsia"/>
                <w:lang w:eastAsia="zh-Hans"/>
              </w:rPr>
              <w:t>7</w:t>
            </w:r>
            <w:r>
              <w:rPr>
                <w:rFonts w:hint="eastAsia"/>
              </w:rPr>
              <w:t>份</w:t>
            </w:r>
            <w:r>
              <w:rPr>
                <w:rFonts w:ascii="宋体" w:hAnsi="宋体" w:hint="eastAsia"/>
                <w:lang w:eastAsia="zh-Hans"/>
              </w:rPr>
              <w:t xml:space="preserve"> </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本基金通过指数化投资，争取在扣除各项费用之前获得与标的指数相似的总回报，追求跟踪偏离度及跟踪误差的最小化</w:t>
            </w:r>
            <w:r>
              <w:rPr>
                <w:rFonts w:ascii="宋体" w:hAnsi="宋体" w:hint="eastAsia"/>
                <w:lang w:eastAsia="zh-Hans"/>
              </w:rPr>
              <w:t>。</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本基金将在降低跟踪误差和控制流动性风险的前提下构建指数化的投资组合。本基金投资于待偿期</w:t>
            </w:r>
            <w:r>
              <w:rPr>
                <w:rFonts w:ascii="宋体" w:hAnsi="宋体" w:hint="eastAsia"/>
                <w:lang w:eastAsia="zh-Hans"/>
              </w:rPr>
              <w:t>1</w:t>
            </w:r>
            <w:r>
              <w:rPr>
                <w:rFonts w:ascii="宋体" w:hAnsi="宋体" w:hint="eastAsia"/>
                <w:lang w:eastAsia="zh-Hans"/>
              </w:rPr>
              <w:t>年到</w:t>
            </w:r>
            <w:r>
              <w:rPr>
                <w:rFonts w:ascii="宋体" w:hAnsi="宋体" w:hint="eastAsia"/>
                <w:lang w:eastAsia="zh-Hans"/>
              </w:rPr>
              <w:t>3</w:t>
            </w:r>
            <w:r>
              <w:rPr>
                <w:rFonts w:ascii="宋体" w:hAnsi="宋体" w:hint="eastAsia"/>
                <w:lang w:eastAsia="zh-Hans"/>
              </w:rPr>
              <w:t>年的标的指数成份券和备选成份券的比例不低于本基金非现金基金资产的</w:t>
            </w:r>
            <w:r>
              <w:rPr>
                <w:rFonts w:ascii="宋体" w:hAnsi="宋体" w:hint="eastAsia"/>
                <w:lang w:eastAsia="zh-Hans"/>
              </w:rPr>
              <w:t>80%</w:t>
            </w:r>
            <w:r>
              <w:rPr>
                <w:rFonts w:ascii="宋体" w:hAnsi="宋体" w:hint="eastAsia"/>
                <w:lang w:eastAsia="zh-Hans"/>
              </w:rPr>
              <w:t>。</w:t>
            </w:r>
            <w:r>
              <w:rPr>
                <w:rFonts w:ascii="宋体" w:hAnsi="宋体" w:hint="eastAsia"/>
                <w:lang w:eastAsia="zh-Hans"/>
              </w:rPr>
              <w:br/>
              <w:t>2</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w:t>
            </w:r>
            <w:r>
              <w:rPr>
                <w:rFonts w:ascii="宋体" w:hAnsi="宋体" w:hint="eastAsia"/>
                <w:lang w:eastAsia="zh-Hans"/>
              </w:rPr>
              <w:t>1</w:t>
            </w:r>
            <w:r>
              <w:rPr>
                <w:rFonts w:ascii="宋体" w:hAnsi="宋体" w:hint="eastAsia"/>
                <w:lang w:eastAsia="zh-Hans"/>
              </w:rPr>
              <w:t>）抽样复制策略</w:t>
            </w:r>
            <w:r>
              <w:rPr>
                <w:rFonts w:ascii="宋体" w:hAnsi="宋体" w:hint="eastAsia"/>
                <w:lang w:eastAsia="zh-Hans"/>
              </w:rPr>
              <w:br/>
            </w:r>
            <w:r>
              <w:rPr>
                <w:rFonts w:ascii="宋体" w:hAnsi="宋体" w:hint="eastAsia"/>
                <w:lang w:eastAsia="zh-Hans"/>
              </w:rPr>
              <w:t>本基金通过抽样复制方法跟踪标的指数的业绩表现。本基金将综合考虑债券流动性、收益性、久期等因素，选择流动性较好的成份债券构建投资组合。本基金可采取适当方法，如“久期盯住”等优化策略对基金资产进行调整，降低交易成本，以期尽量缩小跟踪误差。</w:t>
            </w:r>
            <w:r>
              <w:rPr>
                <w:rFonts w:ascii="宋体" w:hAnsi="宋体" w:hint="eastAsia"/>
                <w:lang w:eastAsia="zh-Hans"/>
              </w:rPr>
              <w:br/>
            </w:r>
            <w:r>
              <w:rPr>
                <w:rFonts w:ascii="宋体" w:hAnsi="宋体" w:hint="eastAsia"/>
                <w:lang w:eastAsia="zh-Hans"/>
              </w:rPr>
              <w:t>（</w:t>
            </w:r>
            <w:r>
              <w:rPr>
                <w:rFonts w:ascii="宋体" w:hAnsi="宋体" w:hint="eastAsia"/>
                <w:lang w:eastAsia="zh-Hans"/>
              </w:rPr>
              <w:t>2</w:t>
            </w:r>
            <w:r>
              <w:rPr>
                <w:rFonts w:ascii="宋体" w:hAnsi="宋体" w:hint="eastAsia"/>
                <w:lang w:eastAsia="zh-Hans"/>
              </w:rPr>
              <w:t>）替代性策略</w:t>
            </w:r>
            <w:r>
              <w:rPr>
                <w:rFonts w:ascii="宋体" w:hAnsi="宋体" w:hint="eastAsia"/>
                <w:lang w:eastAsia="zh-Hans"/>
              </w:rPr>
              <w:br/>
            </w:r>
            <w:r>
              <w:rPr>
                <w:rFonts w:ascii="宋体" w:hAnsi="宋体" w:hint="eastAsia"/>
                <w:lang w:eastAsia="zh-Hans"/>
              </w:rPr>
              <w:t>当由于市场流动性不足或因法规规定等其他原因，导致标的指数成份债券和备选成份债券无法满足投资需求时，基金管理人可以在成份债券和备选成份债券外寻找其他债券构建替代组合，本基金将选取与成份券久期相近、到期收益率及剩余期限基本匹配的债券进行替代。</w:t>
            </w:r>
            <w:r>
              <w:rPr>
                <w:rFonts w:ascii="宋体" w:hAnsi="宋体" w:hint="eastAsia"/>
                <w:lang w:eastAsia="zh-Hans"/>
              </w:rPr>
              <w:br/>
              <w:t>3</w:t>
            </w:r>
            <w:r>
              <w:rPr>
                <w:rFonts w:ascii="宋体" w:hAnsi="宋体" w:hint="eastAsia"/>
                <w:lang w:eastAsia="zh-Hans"/>
              </w:rPr>
              <w:t>、其他投资策略</w:t>
            </w:r>
            <w:r>
              <w:rPr>
                <w:rFonts w:ascii="宋体" w:hAnsi="宋体" w:hint="eastAsia"/>
                <w:lang w:eastAsia="zh-Hans"/>
              </w:rPr>
              <w:br/>
            </w:r>
            <w:r>
              <w:rPr>
                <w:rFonts w:ascii="宋体" w:hAnsi="宋体" w:hint="eastAsia"/>
                <w:lang w:eastAsia="zh-Hans"/>
              </w:rPr>
              <w:t>国债期货投资策略：基金管理人将按照相关法律法规的规定，根据风险管理原则，以套期保值为目的，主要选择流动性好、交易活跃的国债期货合约进行交易，以降低债券仓位调整的交易成本，提高投资效率，从而更好地跟踪标的指数，实现投资目标</w:t>
            </w:r>
            <w:r>
              <w:rPr>
                <w:rFonts w:ascii="宋体" w:hAnsi="宋体" w:hint="eastAsia"/>
                <w:lang w:eastAsia="zh-Hans"/>
              </w:rPr>
              <w:t>。</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中债</w:t>
            </w:r>
            <w:r>
              <w:rPr>
                <w:rFonts w:ascii="宋体" w:hAnsi="宋体" w:hint="eastAsia"/>
                <w:lang w:eastAsia="zh-Hans"/>
              </w:rPr>
              <w:t>-1-3</w:t>
            </w:r>
            <w:r>
              <w:rPr>
                <w:rFonts w:ascii="宋体" w:hAnsi="宋体" w:hint="eastAsia"/>
                <w:lang w:eastAsia="zh-Hans"/>
              </w:rPr>
              <w:t>年国开行债券指数收益率×</w:t>
            </w:r>
            <w:r>
              <w:rPr>
                <w:rFonts w:ascii="宋体" w:hAnsi="宋体" w:hint="eastAsia"/>
                <w:lang w:eastAsia="zh-Hans"/>
              </w:rPr>
              <w:t>95%+</w:t>
            </w:r>
            <w:r>
              <w:rPr>
                <w:rFonts w:ascii="宋体" w:hAnsi="宋体" w:hint="eastAsia"/>
                <w:lang w:eastAsia="zh-Hans"/>
              </w:rPr>
              <w:t>银行活期存款利率</w:t>
            </w:r>
            <w:r>
              <w:rPr>
                <w:rFonts w:ascii="宋体" w:hAnsi="宋体" w:hint="eastAsia"/>
                <w:lang w:eastAsia="zh-Hans"/>
              </w:rPr>
              <w:t>(</w:t>
            </w:r>
            <w:r>
              <w:rPr>
                <w:rFonts w:ascii="宋体" w:hAnsi="宋体" w:hint="eastAsia"/>
                <w:lang w:eastAsia="zh-Hans"/>
              </w:rPr>
              <w:t>税后</w:t>
            </w:r>
            <w:r>
              <w:rPr>
                <w:rFonts w:ascii="宋体" w:hAnsi="宋体" w:hint="eastAsia"/>
                <w:lang w:eastAsia="zh-Hans"/>
              </w:rPr>
              <w:t>)</w:t>
            </w:r>
            <w:r>
              <w:rPr>
                <w:rFonts w:ascii="宋体" w:hAnsi="宋体" w:hint="eastAsia"/>
                <w:lang w:eastAsia="zh-Hans"/>
              </w:rPr>
              <w:t>×</w:t>
            </w:r>
            <w:r>
              <w:rPr>
                <w:rFonts w:ascii="宋体" w:hAnsi="宋体" w:hint="eastAsia"/>
                <w:lang w:eastAsia="zh-Hans"/>
              </w:rPr>
              <w:t>5</w:t>
            </w:r>
            <w:r>
              <w:rPr>
                <w:rFonts w:ascii="宋体" w:hAnsi="宋体" w:hint="eastAsia"/>
                <w:lang w:eastAsia="zh-Hans"/>
              </w:rPr>
              <w:t>%</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本基金为债券型基金，其预期风险与预期收益高于货币市场基金，低于混合型基金和股票型基金</w:t>
            </w:r>
            <w:r>
              <w:rPr>
                <w:rFonts w:ascii="宋体" w:hAnsi="宋体" w:hint="eastAsia"/>
                <w:lang w:eastAsia="zh-Hans"/>
              </w:rPr>
              <w:t>。</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04802009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204802009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lang w:eastAsia="zh-Hans"/>
              </w:rPr>
              <w:t>摩根中债</w:t>
            </w:r>
            <w:r>
              <w:rPr>
                <w:rFonts w:ascii="宋体" w:hAnsi="宋体" w:hint="eastAsia"/>
                <w:lang w:eastAsia="zh-Hans"/>
              </w:rPr>
              <w:t>1-3</w:t>
            </w:r>
            <w:r>
              <w:rPr>
                <w:rFonts w:ascii="宋体" w:hAnsi="宋体" w:hint="eastAsia"/>
                <w:lang w:eastAsia="zh-Hans"/>
              </w:rPr>
              <w:t>年国开行债券指数</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lang w:eastAsia="zh-Hans"/>
              </w:rPr>
              <w:t>摩根中债</w:t>
            </w:r>
            <w:r>
              <w:rPr>
                <w:rFonts w:ascii="宋体" w:hAnsi="宋体" w:hint="eastAsia"/>
                <w:lang w:eastAsia="zh-Hans"/>
              </w:rPr>
              <w:t>1-3</w:t>
            </w:r>
            <w:r>
              <w:rPr>
                <w:rFonts w:ascii="宋体" w:hAnsi="宋体" w:hint="eastAsia"/>
                <w:lang w:eastAsia="zh-Hans"/>
              </w:rPr>
              <w:t>年国开行债券指数</w:t>
            </w:r>
            <w:r>
              <w:rPr>
                <w:rFonts w:ascii="宋体" w:hAnsi="宋体" w:hint="eastAsia"/>
                <w:lang w:eastAsia="zh-Hans"/>
              </w:rPr>
              <w:t>C</w:t>
            </w:r>
            <w:r>
              <w:rPr>
                <w:rFonts w:ascii="宋体" w:hAnsi="宋体" w:hint="eastAsia"/>
                <w:kern w:val="0"/>
                <w:sz w:val="20"/>
                <w:lang w:eastAsia="zh-Hans"/>
              </w:rPr>
              <w:t xml:space="preserve"> </w:t>
            </w:r>
          </w:p>
        </w:tc>
      </w:tr>
      <w:tr w:rsidR="00000000">
        <w:trPr>
          <w:divId w:val="204802009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lang w:eastAsia="zh-Hans"/>
              </w:rPr>
              <w:t>00884</w:t>
            </w:r>
            <w:r>
              <w:rPr>
                <w:rFonts w:ascii="宋体" w:hAnsi="宋体" w:hint="eastAsia"/>
                <w:lang w:eastAsia="zh-Hans"/>
              </w:rPr>
              <w:t>4</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lang w:eastAsia="zh-Hans"/>
              </w:rPr>
              <w:t>00884</w:t>
            </w:r>
            <w:r>
              <w:rPr>
                <w:rFonts w:ascii="宋体" w:hAnsi="宋体" w:hint="eastAsia"/>
                <w:lang w:eastAsia="zh-Hans"/>
              </w:rPr>
              <w:t>5</w:t>
            </w:r>
            <w:r>
              <w:rPr>
                <w:rFonts w:ascii="宋体" w:hAnsi="宋体" w:hint="eastAsia"/>
                <w:kern w:val="0"/>
                <w:sz w:val="20"/>
                <w:lang w:eastAsia="zh-Hans"/>
              </w:rPr>
              <w:t xml:space="preserve"> </w:t>
            </w:r>
          </w:p>
        </w:tc>
      </w:tr>
      <w:bookmarkEnd w:id="32"/>
      <w:bookmarkEnd w:id="33"/>
      <w:tr w:rsidR="00000000">
        <w:trPr>
          <w:divId w:val="204802009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0089A" w:rsidRDefault="00E0089A">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lang w:eastAsia="zh-Hans"/>
              </w:rPr>
              <w:t>115,716,367.7</w:t>
            </w:r>
            <w:r>
              <w:rPr>
                <w:rFonts w:ascii="宋体" w:hAnsi="宋体" w:hint="eastAsia"/>
                <w:lang w:eastAsia="zh-Hans"/>
              </w:rPr>
              <w:t>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lang w:eastAsia="zh-Hans"/>
              </w:rPr>
              <w:t>2,686,428.0</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E0089A" w:rsidRDefault="00E0089A">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E0089A" w:rsidRDefault="00E0089A">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E0089A" w:rsidRDefault="00E0089A">
      <w:pPr>
        <w:jc w:val="right"/>
        <w:divId w:val="704184434"/>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3075"/>
        <w:gridCol w:w="3071"/>
      </w:tblGrid>
      <w:tr w:rsidR="00000000">
        <w:trPr>
          <w:divId w:val="70418443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0089A" w:rsidRDefault="00E0089A">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0089A" w:rsidRDefault="00E0089A">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70418443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0089A" w:rsidRDefault="00E0089A">
            <w:pPr>
              <w:jc w:val="center"/>
              <w:rPr>
                <w:rFonts w:hint="eastAsia"/>
              </w:rPr>
            </w:pPr>
            <w:r>
              <w:rPr>
                <w:rFonts w:ascii="宋体" w:hAnsi="宋体" w:hint="eastAsia"/>
                <w:szCs w:val="24"/>
                <w:lang w:eastAsia="zh-Hans"/>
              </w:rPr>
              <w:t>摩根中债</w:t>
            </w:r>
            <w:r>
              <w:rPr>
                <w:rFonts w:ascii="宋体" w:hAnsi="宋体" w:hint="eastAsia"/>
                <w:szCs w:val="24"/>
                <w:lang w:eastAsia="zh-Hans"/>
              </w:rPr>
              <w:t>1-3</w:t>
            </w:r>
            <w:r>
              <w:rPr>
                <w:rFonts w:ascii="宋体" w:hAnsi="宋体" w:hint="eastAsia"/>
                <w:szCs w:val="24"/>
                <w:lang w:eastAsia="zh-Hans"/>
              </w:rPr>
              <w:t>年国开行债券指数</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0089A" w:rsidRDefault="00E0089A">
            <w:pPr>
              <w:jc w:val="center"/>
            </w:pPr>
            <w:r>
              <w:rPr>
                <w:rFonts w:ascii="宋体" w:hAnsi="宋体" w:hint="eastAsia"/>
                <w:szCs w:val="24"/>
                <w:lang w:eastAsia="zh-Hans"/>
              </w:rPr>
              <w:t>摩根中债</w:t>
            </w:r>
            <w:r>
              <w:rPr>
                <w:rFonts w:ascii="宋体" w:hAnsi="宋体" w:hint="eastAsia"/>
                <w:szCs w:val="24"/>
                <w:lang w:eastAsia="zh-Hans"/>
              </w:rPr>
              <w:t>1-3</w:t>
            </w:r>
            <w:r>
              <w:rPr>
                <w:rFonts w:ascii="宋体" w:hAnsi="宋体" w:hint="eastAsia"/>
                <w:szCs w:val="24"/>
                <w:lang w:eastAsia="zh-Hans"/>
              </w:rPr>
              <w:t>年国开行债券指数</w:t>
            </w:r>
            <w:r>
              <w:rPr>
                <w:rFonts w:ascii="宋体" w:hAnsi="宋体" w:hint="eastAsia"/>
                <w:szCs w:val="24"/>
                <w:lang w:eastAsia="zh-Hans"/>
              </w:rPr>
              <w:t>C</w:t>
            </w:r>
          </w:p>
        </w:tc>
      </w:tr>
      <w:tr w:rsidR="00000000">
        <w:trPr>
          <w:divId w:val="70418443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rPr>
                <w:rFonts w:hint="eastAsia"/>
              </w:rPr>
            </w:pPr>
            <w:r>
              <w:rPr>
                <w:rFonts w:ascii="宋体" w:hAnsi="宋体" w:hint="eastAsia"/>
                <w:szCs w:val="24"/>
                <w:lang w:eastAsia="zh-Hans"/>
              </w:rPr>
              <w:t>833,291.0</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pPr>
            <w:r>
              <w:rPr>
                <w:rFonts w:ascii="宋体" w:hAnsi="宋体" w:hint="eastAsia"/>
                <w:szCs w:val="24"/>
                <w:lang w:eastAsia="zh-Hans"/>
              </w:rPr>
              <w:t>45,202.2</w:t>
            </w:r>
            <w:r>
              <w:rPr>
                <w:rFonts w:ascii="宋体" w:hAnsi="宋体" w:hint="eastAsia"/>
                <w:szCs w:val="24"/>
                <w:lang w:eastAsia="zh-Hans"/>
              </w:rPr>
              <w:t>9</w:t>
            </w:r>
          </w:p>
        </w:tc>
      </w:tr>
      <w:tr w:rsidR="00000000">
        <w:trPr>
          <w:divId w:val="70418443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rPr>
                <w:rFonts w:hint="eastAsia"/>
              </w:rPr>
            </w:pPr>
            <w:r>
              <w:rPr>
                <w:rFonts w:ascii="宋体" w:hAnsi="宋体" w:hint="eastAsia"/>
                <w:szCs w:val="24"/>
                <w:lang w:eastAsia="zh-Hans"/>
              </w:rPr>
              <w:t>794,708.3</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pPr>
            <w:r>
              <w:rPr>
                <w:rFonts w:ascii="宋体" w:hAnsi="宋体" w:hint="eastAsia"/>
                <w:szCs w:val="24"/>
                <w:lang w:eastAsia="zh-Hans"/>
              </w:rPr>
              <w:t>46,659.6</w:t>
            </w:r>
            <w:r>
              <w:rPr>
                <w:rFonts w:ascii="宋体" w:hAnsi="宋体" w:hint="eastAsia"/>
                <w:szCs w:val="24"/>
                <w:lang w:eastAsia="zh-Hans"/>
              </w:rPr>
              <w:t>4</w:t>
            </w:r>
          </w:p>
        </w:tc>
      </w:tr>
      <w:tr w:rsidR="00000000">
        <w:trPr>
          <w:divId w:val="70418443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rPr>
                <w:rFonts w:hint="eastAsia"/>
              </w:rPr>
            </w:pPr>
            <w:r>
              <w:rPr>
                <w:rFonts w:ascii="宋体" w:hAnsi="宋体" w:hint="eastAsia"/>
                <w:szCs w:val="24"/>
                <w:lang w:eastAsia="zh-Hans"/>
              </w:rPr>
              <w:t>0.011</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pPr>
            <w:r>
              <w:rPr>
                <w:rFonts w:ascii="宋体" w:hAnsi="宋体" w:hint="eastAsia"/>
                <w:szCs w:val="24"/>
                <w:lang w:eastAsia="zh-Hans"/>
              </w:rPr>
              <w:t>0.008</w:t>
            </w:r>
            <w:r>
              <w:rPr>
                <w:rFonts w:ascii="宋体" w:hAnsi="宋体" w:hint="eastAsia"/>
                <w:szCs w:val="24"/>
                <w:lang w:eastAsia="zh-Hans"/>
              </w:rPr>
              <w:t>0</w:t>
            </w:r>
          </w:p>
        </w:tc>
      </w:tr>
      <w:tr w:rsidR="00000000">
        <w:trPr>
          <w:divId w:val="70418443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rPr>
                <w:rFonts w:hint="eastAsia"/>
              </w:rPr>
            </w:pPr>
            <w:r>
              <w:rPr>
                <w:rFonts w:ascii="宋体" w:hAnsi="宋体" w:hint="eastAsia"/>
                <w:szCs w:val="24"/>
                <w:lang w:eastAsia="zh-Hans"/>
              </w:rPr>
              <w:t>119,678,994.8</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pPr>
            <w:r>
              <w:rPr>
                <w:rFonts w:ascii="宋体" w:hAnsi="宋体" w:hint="eastAsia"/>
                <w:szCs w:val="24"/>
                <w:lang w:eastAsia="zh-Hans"/>
              </w:rPr>
              <w:t>2,779,719.6</w:t>
            </w:r>
            <w:r>
              <w:rPr>
                <w:rFonts w:ascii="宋体" w:hAnsi="宋体" w:hint="eastAsia"/>
                <w:szCs w:val="24"/>
                <w:lang w:eastAsia="zh-Hans"/>
              </w:rPr>
              <w:t>6</w:t>
            </w:r>
          </w:p>
        </w:tc>
      </w:tr>
      <w:tr w:rsidR="00000000">
        <w:trPr>
          <w:divId w:val="70418443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rPr>
                <w:rFonts w:hint="eastAsia"/>
              </w:rPr>
            </w:pPr>
            <w:r>
              <w:rPr>
                <w:rFonts w:ascii="宋体" w:hAnsi="宋体" w:hint="eastAsia"/>
                <w:szCs w:val="24"/>
                <w:lang w:eastAsia="zh-Hans"/>
              </w:rPr>
              <w:t>1.034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0089A" w:rsidRDefault="00E0089A">
            <w:pPr>
              <w:jc w:val="right"/>
            </w:pPr>
            <w:r>
              <w:rPr>
                <w:rFonts w:ascii="宋体" w:hAnsi="宋体" w:hint="eastAsia"/>
                <w:szCs w:val="24"/>
                <w:lang w:eastAsia="zh-Hans"/>
              </w:rPr>
              <w:t>1.034</w:t>
            </w:r>
            <w:r>
              <w:rPr>
                <w:rFonts w:ascii="宋体" w:hAnsi="宋体" w:hint="eastAsia"/>
                <w:szCs w:val="24"/>
                <w:lang w:eastAsia="zh-Hans"/>
              </w:rPr>
              <w:t>7</w:t>
            </w:r>
          </w:p>
        </w:tc>
      </w:tr>
    </w:tbl>
    <w:p w:rsidR="00E0089A" w:rsidRDefault="00E0089A">
      <w:pPr>
        <w:wordWrap w:val="0"/>
        <w:spacing w:line="360" w:lineRule="auto"/>
        <w:jc w:val="left"/>
        <w:divId w:val="425808068"/>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E0089A" w:rsidRDefault="00E0089A">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E0089A" w:rsidRDefault="00E0089A">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E0089A" w:rsidRDefault="00E0089A">
      <w:pPr>
        <w:spacing w:line="360" w:lineRule="auto"/>
        <w:jc w:val="center"/>
        <w:divId w:val="1221551112"/>
        <w:rPr>
          <w:rFonts w:hint="eastAsia"/>
        </w:rPr>
      </w:pPr>
      <w:r>
        <w:rPr>
          <w:rFonts w:ascii="宋体" w:hAnsi="宋体" w:hint="eastAsia"/>
        </w:rPr>
        <w:t>摩根中债</w:t>
      </w:r>
      <w:r>
        <w:rPr>
          <w:rFonts w:ascii="宋体" w:hAnsi="宋体" w:hint="eastAsia"/>
        </w:rPr>
        <w:t>1-3</w:t>
      </w:r>
      <w:r>
        <w:rPr>
          <w:rFonts w:ascii="宋体" w:hAnsi="宋体" w:hint="eastAsia"/>
        </w:rPr>
        <w:t>年国开行债券指数</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221551112"/>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②－④</w:t>
            </w:r>
            <w:r>
              <w:rPr>
                <w:rFonts w:ascii="宋体" w:hAnsi="宋体" w:hint="eastAsia"/>
              </w:rPr>
              <w:t xml:space="preserve"> </w:t>
            </w:r>
          </w:p>
        </w:tc>
      </w:tr>
      <w:tr w:rsidR="00000000">
        <w:trPr>
          <w:divId w:val="122155111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1.1</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-0.3</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1.4</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22155111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1.6</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2.5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3</w:t>
            </w:r>
            <w:r>
              <w:rPr>
                <w:rFonts w:ascii="宋体" w:hAnsi="宋体" w:hint="eastAsia"/>
              </w:rPr>
              <w:t xml:space="preserve">% </w:t>
            </w:r>
          </w:p>
        </w:tc>
      </w:tr>
      <w:tr w:rsidR="00000000">
        <w:trPr>
          <w:divId w:val="122155111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1.6</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2.8</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r w:rsidR="00000000">
        <w:trPr>
          <w:divId w:val="122155111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7.9</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-2.7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10.6</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0</w:t>
            </w:r>
            <w:r>
              <w:rPr>
                <w:rFonts w:ascii="宋体" w:hAnsi="宋体" w:hint="eastAsia"/>
              </w:rPr>
              <w:t xml:space="preserve">% </w:t>
            </w:r>
          </w:p>
        </w:tc>
      </w:tr>
      <w:tr w:rsidR="00000000">
        <w:trPr>
          <w:divId w:val="1221551112"/>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13.7</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-4.2</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17.9</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1</w:t>
            </w:r>
            <w:r>
              <w:rPr>
                <w:rFonts w:ascii="宋体" w:hAnsi="宋体" w:hint="eastAsia"/>
              </w:rPr>
              <w:t xml:space="preserve">% </w:t>
            </w:r>
          </w:p>
        </w:tc>
      </w:tr>
    </w:tbl>
    <w:p w:rsidR="00E0089A" w:rsidRDefault="00E0089A">
      <w:pPr>
        <w:spacing w:line="360" w:lineRule="auto"/>
        <w:jc w:val="center"/>
        <w:divId w:val="1558201003"/>
      </w:pPr>
      <w:r>
        <w:rPr>
          <w:rFonts w:ascii="宋体" w:hAnsi="宋体" w:hint="eastAsia"/>
        </w:rPr>
        <w:t>摩根中债</w:t>
      </w:r>
      <w:r>
        <w:rPr>
          <w:rFonts w:ascii="宋体" w:hAnsi="宋体" w:hint="eastAsia"/>
        </w:rPr>
        <w:t>1-3</w:t>
      </w:r>
      <w:r>
        <w:rPr>
          <w:rFonts w:ascii="宋体" w:hAnsi="宋体" w:hint="eastAsia"/>
        </w:rPr>
        <w:t>年国开行债券指数</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5820100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582010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1.1</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1.4</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5582010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1.5</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2.5</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5582010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1.5</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2.6</w:t>
            </w:r>
            <w:r>
              <w:rPr>
                <w:rFonts w:ascii="宋体" w:hAnsi="宋体" w:hint="eastAsia"/>
              </w:rPr>
              <w:t>9</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5582010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7.6</w:t>
            </w:r>
            <w:r>
              <w:rPr>
                <w:rFonts w:ascii="宋体" w:hAnsi="宋体" w:hint="eastAsia"/>
              </w:rPr>
              <w:t>8</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-2.7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10.4</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5582010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13.0</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-4.2</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0089A" w:rsidRDefault="00E0089A">
            <w:pPr>
              <w:spacing w:line="360" w:lineRule="auto"/>
              <w:jc w:val="right"/>
            </w:pPr>
            <w:r>
              <w:rPr>
                <w:rFonts w:ascii="宋体" w:hAnsi="宋体" w:hint="eastAsia"/>
              </w:rPr>
              <w:t>17.3</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spacing w:line="360" w:lineRule="auto"/>
              <w:jc w:val="right"/>
            </w:pPr>
            <w:r>
              <w:rPr>
                <w:rFonts w:ascii="宋体" w:hAnsi="宋体" w:hint="eastAsia"/>
              </w:rPr>
              <w:t>-0.0</w:t>
            </w:r>
            <w:r>
              <w:rPr>
                <w:rFonts w:ascii="宋体" w:hAnsi="宋体" w:hint="eastAsia"/>
              </w:rPr>
              <w:t>1</w:t>
            </w:r>
            <w:r>
              <w:rPr>
                <w:rFonts w:ascii="宋体" w:hAnsi="宋体" w:hint="eastAsia"/>
              </w:rPr>
              <w:t>%</w:t>
            </w:r>
            <w:r>
              <w:rPr>
                <w:rFonts w:ascii="宋体" w:hAnsi="宋体" w:hint="eastAsia"/>
              </w:rPr>
              <w:t xml:space="preserve"> </w:t>
            </w:r>
          </w:p>
        </w:tc>
      </w:tr>
    </w:tbl>
    <w:p w:rsidR="00E0089A" w:rsidRDefault="00E0089A">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E0089A" w:rsidRDefault="00E0089A">
      <w:pPr>
        <w:spacing w:line="360" w:lineRule="auto"/>
        <w:jc w:val="left"/>
        <w:divId w:val="3620337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0089A" w:rsidRDefault="00E0089A">
      <w:pPr>
        <w:spacing w:line="360" w:lineRule="auto"/>
        <w:jc w:val="left"/>
        <w:divId w:val="756247636"/>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0089A" w:rsidRDefault="00E0089A">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2021</w:t>
      </w:r>
      <w:r>
        <w:rPr>
          <w:rFonts w:ascii="宋体" w:hAnsi="宋体" w:hint="eastAsia"/>
          <w:lang w:eastAsia="zh-Hans"/>
        </w:rPr>
        <w:t>年</w:t>
      </w:r>
      <w:r>
        <w:rPr>
          <w:rFonts w:ascii="宋体" w:hAnsi="宋体" w:hint="eastAsia"/>
          <w:lang w:eastAsia="zh-Hans"/>
        </w:rPr>
        <w:t>8</w:t>
      </w:r>
      <w:r>
        <w:rPr>
          <w:rFonts w:ascii="宋体" w:hAnsi="宋体" w:hint="eastAsia"/>
          <w:lang w:eastAsia="zh-Hans"/>
        </w:rPr>
        <w:t>月</w:t>
      </w:r>
      <w:r>
        <w:rPr>
          <w:rFonts w:ascii="宋体" w:hAnsi="宋体" w:hint="eastAsia"/>
          <w:lang w:eastAsia="zh-Hans"/>
        </w:rPr>
        <w:t>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E0089A" w:rsidRDefault="00E0089A">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E0089A" w:rsidRDefault="00E0089A">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60980656"/>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60980656"/>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r>
      <w:tr w:rsidR="00000000">
        <w:trPr>
          <w:divId w:val="6098065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田</w:t>
            </w:r>
            <w:r>
              <w:rPr>
                <w:rFonts w:ascii="宋体" w:hAnsi="宋体" w:hint="eastAsia"/>
                <w:szCs w:val="24"/>
                <w:lang w:eastAsia="zh-Hans"/>
              </w:rPr>
              <w:t>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w:t>
            </w:r>
            <w:r>
              <w:rPr>
                <w:rFonts w:ascii="宋体" w:hAnsi="宋体" w:hint="eastAsia"/>
                <w:szCs w:val="24"/>
                <w:lang w:eastAsia="zh-Hans"/>
              </w:rPr>
              <w:t>25</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14</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szCs w:val="24"/>
                <w:lang w:eastAsia="zh-Hans"/>
              </w:rPr>
              <w:t>田原先生曾任中银基金管理有限公司固定收益研究员、专户投资经理、基金经理；自</w:t>
            </w: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月加入摩根基金管理（中国）有限公司（原上投摩根基金管理有限公司），现任债券投资部副总监兼基金经理</w:t>
            </w:r>
            <w:r>
              <w:rPr>
                <w:rFonts w:ascii="宋体" w:hAnsi="宋体" w:hint="eastAsia"/>
                <w:szCs w:val="24"/>
                <w:lang w:eastAsia="zh-Hans"/>
              </w:rPr>
              <w:t>。</w:t>
            </w:r>
          </w:p>
        </w:tc>
      </w:tr>
      <w:tr w:rsidR="00000000">
        <w:trPr>
          <w:divId w:val="60980656"/>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刘心</w:t>
            </w:r>
            <w:r>
              <w:rPr>
                <w:rFonts w:ascii="宋体" w:hAnsi="宋体" w:hint="eastAsia"/>
                <w:szCs w:val="24"/>
                <w:lang w:eastAsia="zh-Hans"/>
              </w:rPr>
              <w:t>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2025</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17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szCs w:val="24"/>
                <w:lang w:eastAsia="zh-Hans"/>
              </w:rPr>
              <w:t>刘心一女士曾任融通基金管理有限公司固定收益部固定收益研究员；自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月加入摩根基金管理（中国）有限公司（原上投摩根基金管理有限公司），历任基金经理助理，现任债券投资部基金经理</w:t>
            </w:r>
            <w:r>
              <w:rPr>
                <w:rFonts w:ascii="宋体" w:hAnsi="宋体" w:hint="eastAsia"/>
                <w:szCs w:val="24"/>
                <w:lang w:eastAsia="zh-Hans"/>
              </w:rPr>
              <w:t>。</w:t>
            </w:r>
          </w:p>
        </w:tc>
      </w:tr>
    </w:tbl>
    <w:p w:rsidR="00E0089A" w:rsidRDefault="00E0089A">
      <w:pPr>
        <w:wordWrap w:val="0"/>
        <w:spacing w:line="360" w:lineRule="auto"/>
        <w:jc w:val="left"/>
        <w:divId w:val="167957751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E0089A" w:rsidRDefault="00E0089A">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E0089A" w:rsidRDefault="00E0089A">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E0089A" w:rsidRDefault="00E0089A">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E0089A" w:rsidRDefault="00E0089A">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E0089A" w:rsidRDefault="00E0089A">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E0089A" w:rsidRDefault="00E0089A">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E0089A" w:rsidRDefault="00E0089A">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E0089A" w:rsidRDefault="00E0089A">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E0089A" w:rsidRDefault="00E0089A">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年第二季度，债券市场走出了强于预期的行情。四月份开始，资金面超预期宽松，资金成本降低到了</w:t>
      </w:r>
      <w:r>
        <w:rPr>
          <w:rFonts w:ascii="宋体" w:hAnsi="宋体" w:cs="宋体" w:hint="eastAsia"/>
          <w:color w:val="000000"/>
          <w:kern w:val="0"/>
        </w:rPr>
        <w:t>1.3%</w:t>
      </w:r>
      <w:r>
        <w:rPr>
          <w:rFonts w:ascii="宋体" w:hAnsi="宋体" w:cs="宋体" w:hint="eastAsia"/>
          <w:color w:val="000000"/>
          <w:kern w:val="0"/>
        </w:rPr>
        <w:t>以下，同时，基本面数据进一步走弱，银行信贷数据依然不振，在诸多利好因素的催化下，债券收益率曲线全面下行。从五月份开始，货币面开始逐步收紧，债券收益率下行的趋势遇到了阻力。进入六月份后，资金并没有按照市场期待的方向重新宽松，银行融出金额迅速收缩，短端资产收益率走高，一年期同业存单（</w:t>
      </w:r>
      <w:r>
        <w:rPr>
          <w:rFonts w:ascii="宋体" w:hAnsi="宋体" w:cs="宋体" w:hint="eastAsia"/>
          <w:color w:val="000000"/>
          <w:kern w:val="0"/>
        </w:rPr>
        <w:t>NCD</w:t>
      </w:r>
      <w:r>
        <w:rPr>
          <w:rFonts w:ascii="宋体" w:hAnsi="宋体" w:cs="宋体" w:hint="eastAsia"/>
          <w:color w:val="000000"/>
          <w:kern w:val="0"/>
        </w:rPr>
        <w:t>）发行价格突破</w:t>
      </w:r>
      <w:r>
        <w:rPr>
          <w:rFonts w:ascii="宋体" w:hAnsi="宋体" w:cs="宋体" w:hint="eastAsia"/>
          <w:color w:val="000000"/>
          <w:kern w:val="0"/>
        </w:rPr>
        <w:t>1.5%</w:t>
      </w:r>
      <w:r>
        <w:rPr>
          <w:rFonts w:ascii="宋体" w:hAnsi="宋体" w:cs="宋体" w:hint="eastAsia"/>
          <w:color w:val="000000"/>
          <w:kern w:val="0"/>
        </w:rPr>
        <w:t>。债券收益率在六月份窄幅波动，长债和超长债收益率下行后略有反弹，目前仍然处于相对低位。</w:t>
      </w:r>
      <w:r>
        <w:rPr>
          <w:rFonts w:ascii="宋体" w:hAnsi="宋体" w:cs="宋体" w:hint="eastAsia"/>
          <w:color w:val="000000"/>
          <w:kern w:val="0"/>
        </w:rPr>
        <w:br/>
      </w:r>
      <w:r>
        <w:rPr>
          <w:rFonts w:ascii="宋体" w:hAnsi="宋体" w:cs="宋体" w:hint="eastAsia"/>
          <w:color w:val="000000"/>
          <w:kern w:val="0"/>
        </w:rPr>
        <w:t xml:space="preserve">　　本基金在本季度围绕指数进行配置，维持了一定久期。在收益率下行的过程中，本基金抓住机会用一部分非成分券进行波段操作，效果较好。由于资金价格在本季度后半段走高，本基金卸掉了大部分杠杆仓位。</w:t>
      </w:r>
      <w:r>
        <w:rPr>
          <w:rFonts w:ascii="宋体" w:hAnsi="宋体" w:cs="宋体" w:hint="eastAsia"/>
          <w:color w:val="000000"/>
          <w:kern w:val="0"/>
        </w:rPr>
        <w:br/>
      </w:r>
      <w:r>
        <w:rPr>
          <w:rFonts w:ascii="宋体" w:hAnsi="宋体" w:cs="宋体" w:hint="eastAsia"/>
          <w:color w:val="000000"/>
          <w:kern w:val="0"/>
        </w:rPr>
        <w:t xml:space="preserve">　　展望三季度，我们认为这是今年非常关键的一个时间段。很多决定今年债券市场最终走势的不确定因素或将在三季度确定下来。上半年经济</w:t>
      </w:r>
      <w:r>
        <w:rPr>
          <w:rFonts w:ascii="宋体" w:hAnsi="宋体" w:cs="宋体" w:hint="eastAsia"/>
          <w:color w:val="000000"/>
          <w:kern w:val="0"/>
        </w:rPr>
        <w:t>K</w:t>
      </w:r>
      <w:r>
        <w:rPr>
          <w:rFonts w:ascii="宋体" w:hAnsi="宋体" w:cs="宋体" w:hint="eastAsia"/>
          <w:color w:val="000000"/>
          <w:kern w:val="0"/>
        </w:rPr>
        <w:t>型特征明显，一些行业的发展和出口数据都非常亮眼，但旧动能经济依然在筑底过程当中，银行信贷数据有待改善，国内消费仍有较大提升空间。从宏观数据来看，经济增长数据符合要求。在上述复杂情况下，政府对经济的认知一定程度上决定了后续政策的方向和力度。目前，债券收益率向下面临短端收益率底部的限制，向上空间也有限，因为年初以来部分机构因为各种原因存在欠配或者错过二季度行情的情况，因此配置力量较强。债券收益率向上或者向下的进一步发展均有赖新的因素出现，我们有望将在三季度看到这些因素。相对来说，我们认为乐观情形的可能性更大一些。随着政策预期的落定，市场将回归基本面逻辑，债券收益率曲线有望平坦化下行。从策略上讲，我们将采取更为稳健的持仓，利用好友好的货币环境，保持合理杠杆水平，通过短端债券追求相对确定的收益。同时，如果长端债券收益率上行幅度较大，在严格控制回撤和坚守止损纪律的前提下，我们仍然会考虑用一部分仓位参与长端的博弈。总之，我们将努力做到严格投资纪律，执行好投资决策，以逆向操作应对震荡格局</w:t>
      </w:r>
      <w:r>
        <w:rPr>
          <w:rFonts w:ascii="宋体" w:hAnsi="宋体" w:cs="宋体" w:hint="eastAsia"/>
          <w:color w:val="000000"/>
          <w:kern w:val="0"/>
        </w:rPr>
        <w:t>。</w:t>
      </w:r>
    </w:p>
    <w:p w:rsidR="00E0089A" w:rsidRDefault="00E0089A">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E0089A" w:rsidRDefault="00E0089A">
      <w:pPr>
        <w:spacing w:line="360" w:lineRule="auto"/>
        <w:ind w:firstLineChars="200" w:firstLine="420"/>
        <w:rPr>
          <w:rFonts w:hint="eastAsia"/>
        </w:rPr>
      </w:pPr>
      <w:r>
        <w:rPr>
          <w:rFonts w:ascii="宋体" w:hAnsi="宋体" w:hint="eastAsia"/>
        </w:rPr>
        <w:t>本报告期摩根中债</w:t>
      </w:r>
      <w:r>
        <w:rPr>
          <w:rFonts w:ascii="宋体" w:hAnsi="宋体" w:hint="eastAsia"/>
        </w:rPr>
        <w:t>1-3</w:t>
      </w:r>
      <w:r>
        <w:rPr>
          <w:rFonts w:ascii="宋体" w:hAnsi="宋体" w:hint="eastAsia"/>
        </w:rPr>
        <w:t>年国开行债券指数</w:t>
      </w:r>
      <w:r>
        <w:rPr>
          <w:rFonts w:ascii="宋体" w:hAnsi="宋体" w:hint="eastAsia"/>
        </w:rPr>
        <w:t>A</w:t>
      </w:r>
      <w:r>
        <w:rPr>
          <w:rFonts w:ascii="宋体" w:hAnsi="宋体" w:hint="eastAsia"/>
        </w:rPr>
        <w:t>份额净值增长率为：</w:t>
      </w:r>
      <w:r>
        <w:rPr>
          <w:rFonts w:ascii="宋体" w:hAnsi="宋体" w:hint="eastAsia"/>
        </w:rPr>
        <w:t>1.15%</w:t>
      </w:r>
      <w:r>
        <w:rPr>
          <w:rFonts w:ascii="宋体" w:hAnsi="宋体" w:hint="eastAsia"/>
        </w:rPr>
        <w:t>，同期业绩比较基准收益率为：</w:t>
      </w:r>
      <w:r>
        <w:rPr>
          <w:rFonts w:ascii="宋体" w:hAnsi="宋体" w:hint="eastAsia"/>
        </w:rPr>
        <w:t>-0.34%</w:t>
      </w:r>
      <w:r>
        <w:rPr>
          <w:rFonts w:ascii="宋体" w:hAnsi="宋体" w:hint="eastAsia"/>
        </w:rPr>
        <w:t>；</w:t>
      </w:r>
      <w:r>
        <w:rPr>
          <w:rFonts w:ascii="宋体" w:hAnsi="宋体" w:hint="eastAsia"/>
        </w:rPr>
        <w:br/>
      </w:r>
      <w:r>
        <w:rPr>
          <w:rFonts w:ascii="宋体" w:hAnsi="宋体" w:hint="eastAsia"/>
        </w:rPr>
        <w:t xml:space="preserve">　　摩根中债</w:t>
      </w:r>
      <w:r>
        <w:rPr>
          <w:rFonts w:ascii="宋体" w:hAnsi="宋体" w:hint="eastAsia"/>
        </w:rPr>
        <w:t>1-3</w:t>
      </w:r>
      <w:r>
        <w:rPr>
          <w:rFonts w:ascii="宋体" w:hAnsi="宋体" w:hint="eastAsia"/>
        </w:rPr>
        <w:t>年国开行债券指数</w:t>
      </w:r>
      <w:r>
        <w:rPr>
          <w:rFonts w:ascii="宋体" w:hAnsi="宋体" w:hint="eastAsia"/>
        </w:rPr>
        <w:t>C</w:t>
      </w:r>
      <w:r>
        <w:rPr>
          <w:rFonts w:ascii="宋体" w:hAnsi="宋体" w:hint="eastAsia"/>
        </w:rPr>
        <w:t>份额净值增长率为：</w:t>
      </w:r>
      <w:r>
        <w:rPr>
          <w:rFonts w:ascii="宋体" w:hAnsi="宋体" w:hint="eastAsia"/>
        </w:rPr>
        <w:t>1.13%</w:t>
      </w:r>
      <w:r>
        <w:rPr>
          <w:rFonts w:ascii="宋体" w:hAnsi="宋体" w:hint="eastAsia"/>
        </w:rPr>
        <w:t>，同期业绩比较基准收益率为：</w:t>
      </w:r>
      <w:r>
        <w:rPr>
          <w:rFonts w:ascii="宋体" w:hAnsi="宋体" w:hint="eastAsia"/>
        </w:rPr>
        <w:t>-0.34%</w:t>
      </w:r>
      <w:r>
        <w:rPr>
          <w:rFonts w:ascii="宋体" w:hAnsi="宋体" w:hint="eastAsia"/>
        </w:rPr>
        <w:t>。</w:t>
      </w:r>
    </w:p>
    <w:p w:rsidR="00E0089A" w:rsidRDefault="00E0089A">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E0089A" w:rsidRDefault="00E0089A">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E0089A" w:rsidRDefault="00E0089A">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E0089A" w:rsidRDefault="00E0089A">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111,244,511.7</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90.5</w:t>
            </w:r>
            <w:r>
              <w:rPr>
                <w:rFonts w:ascii="宋体" w:hAnsi="宋体" w:hint="eastAsia"/>
                <w:szCs w:val="24"/>
                <w:lang w:eastAsia="zh-Hans"/>
              </w:rPr>
              <w:t>7</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111,244,511.7</w:t>
            </w:r>
            <w:r>
              <w:rPr>
                <w:rFonts w:ascii="宋体" w:hAnsi="宋体" w:hint="eastAsia"/>
                <w:szCs w:val="24"/>
                <w:lang w:eastAsia="zh-Hans"/>
              </w:rPr>
              <w:t>8</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90.5</w:t>
            </w:r>
            <w:r>
              <w:rPr>
                <w:rFonts w:ascii="宋体" w:hAnsi="宋体" w:hint="eastAsia"/>
                <w:szCs w:val="24"/>
                <w:lang w:eastAsia="zh-Hans"/>
              </w:rPr>
              <w:t>7</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11,000,494.2</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8.9</w:t>
            </w:r>
            <w:r>
              <w:rPr>
                <w:rFonts w:ascii="宋体" w:hAnsi="宋体" w:hint="eastAsia"/>
                <w:szCs w:val="24"/>
                <w:lang w:eastAsia="zh-Hans"/>
              </w:rPr>
              <w:t>6</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552,878.5</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0.4</w:t>
            </w:r>
            <w:r>
              <w:rPr>
                <w:rFonts w:ascii="宋体" w:hAnsi="宋体" w:hint="eastAsia"/>
                <w:szCs w:val="24"/>
                <w:lang w:eastAsia="zh-Hans"/>
              </w:rPr>
              <w:t>5</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23,874.7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0.0</w:t>
            </w:r>
            <w:r>
              <w:rPr>
                <w:rFonts w:ascii="宋体" w:hAnsi="宋体" w:hint="eastAsia"/>
                <w:szCs w:val="24"/>
                <w:lang w:eastAsia="zh-Hans"/>
              </w:rPr>
              <w:t>2</w:t>
            </w:r>
          </w:p>
        </w:tc>
      </w:tr>
      <w:tr w:rsidR="00000000">
        <w:trPr>
          <w:divId w:val="2056811791"/>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E0089A" w:rsidRDefault="00E0089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122,821,759.2</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100.0</w:t>
            </w:r>
            <w:r>
              <w:rPr>
                <w:rFonts w:ascii="宋体" w:hAnsi="宋体" w:hint="eastAsia"/>
                <w:szCs w:val="24"/>
                <w:lang w:eastAsia="zh-Hans"/>
              </w:rPr>
              <w:t>0</w:t>
            </w:r>
          </w:p>
        </w:tc>
      </w:tr>
    </w:tbl>
    <w:p w:rsidR="00E0089A" w:rsidRDefault="00E0089A">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E0089A" w:rsidRDefault="00E0089A">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p w:rsidR="00E0089A" w:rsidRDefault="00E0089A">
      <w:pPr>
        <w:spacing w:line="360" w:lineRule="auto"/>
        <w:ind w:firstLineChars="200" w:firstLine="420"/>
        <w:divId w:val="1292127672"/>
        <w:rPr>
          <w:rFonts w:hint="eastAsia"/>
        </w:rPr>
      </w:pPr>
      <w:r>
        <w:rPr>
          <w:rFonts w:ascii="宋体" w:hAnsi="宋体" w:hint="eastAsia"/>
          <w:szCs w:val="21"/>
          <w:lang w:eastAsia="zh-Hans"/>
        </w:rPr>
        <w:t>本基金本报告期末未持有境内股票</w:t>
      </w:r>
      <w:r>
        <w:rPr>
          <w:rFonts w:ascii="宋体" w:hAnsi="宋体" w:hint="eastAsia"/>
          <w:szCs w:val="21"/>
          <w:lang w:eastAsia="zh-Hans"/>
        </w:rPr>
        <w:t>。</w:t>
      </w:r>
    </w:p>
    <w:p w:rsidR="00E0089A" w:rsidRDefault="00E0089A">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E0089A" w:rsidRDefault="00E0089A">
      <w:pPr>
        <w:spacing w:line="360" w:lineRule="auto"/>
        <w:ind w:firstLineChars="200" w:firstLine="420"/>
        <w:divId w:val="94739662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E0089A" w:rsidRDefault="00E0089A">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E0089A" w:rsidRDefault="00E0089A">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p w:rsidR="00E0089A" w:rsidRDefault="00E0089A">
      <w:pPr>
        <w:spacing w:line="360" w:lineRule="auto"/>
        <w:ind w:firstLineChars="200" w:firstLine="420"/>
        <w:jc w:val="left"/>
        <w:rPr>
          <w:rFonts w:hint="eastAsia"/>
        </w:rPr>
      </w:pPr>
      <w:r>
        <w:rPr>
          <w:rFonts w:ascii="宋体" w:hAnsi="宋体" w:hint="eastAsia"/>
          <w:color w:val="000000"/>
          <w:szCs w:val="21"/>
          <w:lang w:eastAsia="zh-Hans"/>
        </w:rPr>
        <w:t>本基金本报告期末未持有股票</w:t>
      </w:r>
      <w:r>
        <w:rPr>
          <w:rFonts w:ascii="宋体" w:hAnsi="宋体" w:hint="eastAsia"/>
          <w:color w:val="000000"/>
          <w:szCs w:val="21"/>
          <w:lang w:eastAsia="zh-Hans"/>
        </w:rPr>
        <w:t>。</w:t>
      </w:r>
    </w:p>
    <w:p w:rsidR="00E0089A" w:rsidRDefault="00E0089A">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111,244,511.7</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90.8</w:t>
            </w:r>
            <w:r>
              <w:rPr>
                <w:rFonts w:ascii="宋体" w:hAnsi="宋体" w:hint="eastAsia"/>
                <w:szCs w:val="24"/>
                <w:lang w:eastAsia="zh-Hans"/>
              </w:rPr>
              <w:t>4</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111,244,511.7</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90.8</w:t>
            </w:r>
            <w:r>
              <w:rPr>
                <w:rFonts w:ascii="宋体" w:hAnsi="宋体" w:hint="eastAsia"/>
                <w:szCs w:val="24"/>
                <w:lang w:eastAsia="zh-Hans"/>
              </w:rPr>
              <w:t>4</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w:t>
            </w:r>
          </w:p>
        </w:tc>
      </w:tr>
      <w:tr w:rsidR="00000000">
        <w:trPr>
          <w:divId w:val="925268518"/>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E0089A" w:rsidRDefault="00E0089A">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111,244,511.7</w:t>
            </w:r>
            <w:r>
              <w:rPr>
                <w:rFonts w:ascii="宋体" w:hAnsi="宋体" w:hint="eastAsia"/>
                <w:szCs w:val="24"/>
                <w:lang w:eastAsia="zh-Hans"/>
              </w:rPr>
              <w:t>8</w:t>
            </w:r>
          </w:p>
        </w:tc>
        <w:tc>
          <w:tcPr>
            <w:tcW w:w="1932" w:type="pct"/>
            <w:tcBorders>
              <w:top w:val="single" w:sz="4" w:space="0" w:color="auto"/>
              <w:left w:val="single" w:sz="4" w:space="0" w:color="auto"/>
              <w:bottom w:val="single" w:sz="4" w:space="0" w:color="auto"/>
              <w:right w:val="single" w:sz="4" w:space="0" w:color="auto"/>
            </w:tcBorders>
            <w:vAlign w:val="center"/>
            <w:hideMark/>
          </w:tcPr>
          <w:p w:rsidR="00E0089A" w:rsidRDefault="00E0089A">
            <w:pPr>
              <w:jc w:val="right"/>
            </w:pPr>
            <w:r>
              <w:rPr>
                <w:rFonts w:ascii="宋体" w:hAnsi="宋体" w:hint="eastAsia"/>
                <w:szCs w:val="24"/>
                <w:lang w:eastAsia="zh-Hans"/>
              </w:rPr>
              <w:t>90.8</w:t>
            </w:r>
            <w:r>
              <w:rPr>
                <w:rFonts w:ascii="宋体" w:hAnsi="宋体" w:hint="eastAsia"/>
                <w:szCs w:val="24"/>
                <w:lang w:eastAsia="zh-Hans"/>
              </w:rPr>
              <w:t>4</w:t>
            </w:r>
          </w:p>
        </w:tc>
      </w:tr>
    </w:tbl>
    <w:p w:rsidR="00E0089A" w:rsidRDefault="00E0089A">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07061995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0706199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23020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23</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szCs w:val="24"/>
                <w:lang w:eastAsia="zh-Hans"/>
              </w:rPr>
              <w:t>950,00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szCs w:val="24"/>
                <w:lang w:eastAsia="zh-Hans"/>
              </w:rPr>
              <w:t>98,162,536.9</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szCs w:val="24"/>
                <w:lang w:eastAsia="zh-Hans"/>
              </w:rPr>
              <w:t>80.1</w:t>
            </w:r>
            <w:r>
              <w:rPr>
                <w:rFonts w:ascii="宋体" w:hAnsi="宋体" w:hint="eastAsia"/>
                <w:szCs w:val="24"/>
                <w:lang w:eastAsia="zh-Hans"/>
              </w:rPr>
              <w:t>6</w:t>
            </w:r>
          </w:p>
        </w:tc>
      </w:tr>
      <w:tr w:rsidR="00000000">
        <w:trPr>
          <w:divId w:val="107061995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26020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szCs w:val="24"/>
                <w:lang w:eastAsia="zh-Hans"/>
              </w:rPr>
              <w:t>26</w:t>
            </w:r>
            <w:r>
              <w:rPr>
                <w:rFonts w:ascii="宋体" w:hAnsi="宋体" w:hint="eastAsia"/>
                <w:szCs w:val="24"/>
                <w:lang w:eastAsia="zh-Hans"/>
              </w:rPr>
              <w:t>国开</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szCs w:val="24"/>
                <w:lang w:eastAsia="zh-Hans"/>
              </w:rPr>
              <w:t>130,00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szCs w:val="24"/>
                <w:lang w:eastAsia="zh-Hans"/>
              </w:rPr>
              <w:t>13,081,974.7</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szCs w:val="24"/>
                <w:lang w:eastAsia="zh-Hans"/>
              </w:rPr>
              <w:t>10.6</w:t>
            </w:r>
            <w:r>
              <w:rPr>
                <w:rFonts w:ascii="宋体" w:hAnsi="宋体" w:hint="eastAsia"/>
                <w:szCs w:val="24"/>
                <w:lang w:eastAsia="zh-Hans"/>
              </w:rPr>
              <w:t>8</w:t>
            </w:r>
          </w:p>
        </w:tc>
      </w:tr>
    </w:tbl>
    <w:p w:rsidR="00E0089A" w:rsidRDefault="00E0089A">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E0089A" w:rsidRDefault="00E0089A">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E0089A" w:rsidRDefault="00E0089A">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E0089A" w:rsidRDefault="00E0089A">
      <w:pPr>
        <w:spacing w:line="360" w:lineRule="auto"/>
        <w:ind w:firstLineChars="200" w:firstLine="420"/>
        <w:divId w:val="1460873884"/>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E0089A" w:rsidRDefault="00E0089A">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E0089A" w:rsidRDefault="00E0089A">
      <w:pPr>
        <w:spacing w:line="360" w:lineRule="auto"/>
        <w:ind w:firstLineChars="200" w:firstLine="420"/>
        <w:divId w:val="654067709"/>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E0089A" w:rsidRDefault="00E0089A">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E0089A" w:rsidRDefault="00E0089A">
      <w:pPr>
        <w:spacing w:line="360" w:lineRule="auto"/>
        <w:ind w:firstLineChars="200" w:firstLine="420"/>
        <w:divId w:val="1115758632"/>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E0089A" w:rsidRDefault="00E0089A">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E0089A" w:rsidRDefault="00E0089A">
      <w:pPr>
        <w:spacing w:line="360" w:lineRule="auto"/>
        <w:ind w:firstLineChars="200" w:firstLine="420"/>
        <w:divId w:val="1111701846"/>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E0089A" w:rsidRDefault="00E0089A">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E0089A" w:rsidRDefault="00E0089A">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E0089A" w:rsidRDefault="00E0089A">
      <w:pPr>
        <w:spacing w:line="360" w:lineRule="auto"/>
        <w:ind w:firstLineChars="200" w:firstLine="420"/>
        <w:rPr>
          <w:rFonts w:hint="eastAsia"/>
        </w:rPr>
      </w:pPr>
      <w:r>
        <w:rPr>
          <w:rFonts w:ascii="宋体" w:hAnsi="宋体" w:hint="eastAsia"/>
        </w:rPr>
        <w:t>本基金投资的前十名证券的发行主体中，国家开发银行报告编制日前一年内曾受到央行、国家外汇管理局北京市分局的处罚。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E0089A" w:rsidRDefault="00E0089A">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E0089A" w:rsidRDefault="00E0089A">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E0089A" w:rsidRDefault="00E0089A">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88024138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jc w:val="center"/>
            </w:pPr>
            <w:r>
              <w:rPr>
                <w:rFonts w:ascii="宋体" w:hAnsi="宋体" w:hint="eastAsia"/>
              </w:rPr>
              <w:t>金额（元</w:t>
            </w:r>
            <w:r>
              <w:rPr>
                <w:rFonts w:ascii="宋体" w:hAnsi="宋体" w:hint="eastAsia"/>
              </w:rPr>
              <w:t>）</w:t>
            </w:r>
            <w:r>
              <w:t xml:space="preserve"> </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22,071.6</w:t>
            </w:r>
            <w:r>
              <w:rPr>
                <w:rFonts w:ascii="宋体" w:hAnsi="宋体" w:hint="eastAsia"/>
              </w:rPr>
              <w:t>3</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1,803.1</w:t>
            </w:r>
            <w:r>
              <w:rPr>
                <w:rFonts w:ascii="宋体" w:hAnsi="宋体" w:hint="eastAsia"/>
              </w:rPr>
              <w:t>0</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w:t>
            </w:r>
          </w:p>
        </w:tc>
      </w:tr>
      <w:tr w:rsidR="00000000">
        <w:trPr>
          <w:divId w:val="88024138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23,874.7</w:t>
            </w:r>
            <w:r>
              <w:rPr>
                <w:rFonts w:ascii="宋体" w:hAnsi="宋体" w:hint="eastAsia"/>
              </w:rPr>
              <w:t>3</w:t>
            </w:r>
          </w:p>
        </w:tc>
      </w:tr>
    </w:tbl>
    <w:p w:rsidR="00E0089A" w:rsidRDefault="00E0089A">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E0089A" w:rsidRDefault="00E0089A">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E0089A" w:rsidRDefault="00E0089A">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E0089A" w:rsidRDefault="00E0089A">
      <w:pPr>
        <w:spacing w:line="360" w:lineRule="auto"/>
        <w:ind w:firstLineChars="200" w:firstLine="420"/>
        <w:jc w:val="left"/>
        <w:divId w:val="645360401"/>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E0089A" w:rsidRDefault="00E0089A">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E0089A" w:rsidRDefault="00E0089A">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E0089A" w:rsidRDefault="00E0089A">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E0089A" w:rsidRDefault="00E0089A">
      <w:pPr>
        <w:wordWrap w:val="0"/>
        <w:spacing w:line="360" w:lineRule="auto"/>
        <w:jc w:val="right"/>
        <w:divId w:val="289483768"/>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49"/>
        <w:gridCol w:w="2572"/>
      </w:tblGrid>
      <w:tr w:rsidR="00000000">
        <w:trPr>
          <w:divId w:val="289483768"/>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0089A" w:rsidRDefault="00E0089A">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ind w:right="3"/>
              <w:jc w:val="center"/>
            </w:pPr>
            <w:r>
              <w:rPr>
                <w:rFonts w:ascii="宋体" w:hAnsi="宋体" w:hint="eastAsia"/>
                <w:lang w:eastAsia="zh-Hans"/>
              </w:rPr>
              <w:t>摩根中债</w:t>
            </w:r>
            <w:r>
              <w:rPr>
                <w:rFonts w:ascii="宋体" w:hAnsi="宋体" w:hint="eastAsia"/>
                <w:lang w:eastAsia="zh-Hans"/>
              </w:rPr>
              <w:t>1-3</w:t>
            </w:r>
            <w:r>
              <w:rPr>
                <w:rFonts w:ascii="宋体" w:hAnsi="宋体" w:hint="eastAsia"/>
                <w:lang w:eastAsia="zh-Hans"/>
              </w:rPr>
              <w:t>年国开行债券指数</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0089A" w:rsidRDefault="00E0089A">
            <w:pPr>
              <w:ind w:right="3"/>
              <w:jc w:val="center"/>
            </w:pPr>
            <w:r>
              <w:rPr>
                <w:rFonts w:ascii="宋体" w:hAnsi="宋体" w:hint="eastAsia"/>
                <w:lang w:eastAsia="zh-Hans"/>
              </w:rPr>
              <w:t>摩根中债</w:t>
            </w:r>
            <w:r>
              <w:rPr>
                <w:rFonts w:ascii="宋体" w:hAnsi="宋体" w:hint="eastAsia"/>
                <w:lang w:eastAsia="zh-Hans"/>
              </w:rPr>
              <w:t>1-3</w:t>
            </w:r>
            <w:r>
              <w:rPr>
                <w:rFonts w:ascii="宋体" w:hAnsi="宋体" w:hint="eastAsia"/>
                <w:lang w:eastAsia="zh-Hans"/>
              </w:rPr>
              <w:t>年国开行债券指数</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894837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103,324,727.8</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40,599,404.5</w:t>
            </w:r>
            <w:r>
              <w:rPr>
                <w:rFonts w:ascii="宋体" w:hAnsi="宋体" w:hint="eastAsia"/>
              </w:rPr>
              <w:t>1</w:t>
            </w:r>
          </w:p>
        </w:tc>
      </w:tr>
      <w:tr w:rsidR="00000000">
        <w:trPr>
          <w:divId w:val="2894837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81,092,194.2</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1,921,495.3</w:t>
            </w:r>
            <w:r>
              <w:rPr>
                <w:rFonts w:ascii="宋体" w:hAnsi="宋体" w:hint="eastAsia"/>
              </w:rPr>
              <w:t>7</w:t>
            </w:r>
          </w:p>
        </w:tc>
      </w:tr>
      <w:tr w:rsidR="00000000">
        <w:trPr>
          <w:divId w:val="2894837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68,700,554.3</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39,834,471.8</w:t>
            </w:r>
            <w:r>
              <w:rPr>
                <w:rFonts w:ascii="宋体" w:hAnsi="宋体" w:hint="eastAsia"/>
              </w:rPr>
              <w:t>4</w:t>
            </w:r>
          </w:p>
        </w:tc>
      </w:tr>
      <w:tr w:rsidR="00000000">
        <w:trPr>
          <w:divId w:val="2894837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w:t>
            </w:r>
          </w:p>
        </w:tc>
      </w:tr>
      <w:tr w:rsidR="00000000">
        <w:trPr>
          <w:divId w:val="28948376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115,716,367.7</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0089A" w:rsidRDefault="00E0089A">
            <w:pPr>
              <w:jc w:val="right"/>
            </w:pPr>
            <w:r>
              <w:rPr>
                <w:rFonts w:ascii="宋体" w:hAnsi="宋体" w:hint="eastAsia"/>
              </w:rPr>
              <w:t>2,686,428.0</w:t>
            </w:r>
            <w:r>
              <w:rPr>
                <w:rFonts w:ascii="宋体" w:hAnsi="宋体" w:hint="eastAsia"/>
              </w:rPr>
              <w:t>4</w:t>
            </w:r>
          </w:p>
        </w:tc>
      </w:tr>
    </w:tbl>
    <w:p w:rsidR="00E0089A" w:rsidRDefault="00E0089A">
      <w:pPr>
        <w:spacing w:line="360" w:lineRule="auto"/>
        <w:jc w:val="left"/>
        <w:divId w:val="289483768"/>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E0089A" w:rsidRDefault="00E0089A">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E0089A" w:rsidRDefault="00E0089A">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E0089A" w:rsidRDefault="00E0089A">
      <w:pPr>
        <w:wordWrap w:val="0"/>
        <w:spacing w:line="360" w:lineRule="auto"/>
        <w:jc w:val="right"/>
        <w:divId w:val="2127308498"/>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127308498"/>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lang w:eastAsia="zh-Hans"/>
              </w:rPr>
              <w:t>摩根中债</w:t>
            </w:r>
            <w:r>
              <w:rPr>
                <w:rFonts w:ascii="宋体" w:hAnsi="宋体" w:hint="eastAsia"/>
                <w:lang w:eastAsia="zh-Hans"/>
              </w:rPr>
              <w:t>1-3</w:t>
            </w:r>
            <w:r>
              <w:rPr>
                <w:rFonts w:ascii="宋体" w:hAnsi="宋体" w:hint="eastAsia"/>
                <w:lang w:eastAsia="zh-Hans"/>
              </w:rPr>
              <w:t>年国开行债券指数</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lang w:eastAsia="zh-Hans"/>
              </w:rPr>
              <w:t>摩根中债</w:t>
            </w:r>
            <w:r>
              <w:rPr>
                <w:rFonts w:ascii="宋体" w:hAnsi="宋体" w:hint="eastAsia"/>
                <w:lang w:eastAsia="zh-Hans"/>
              </w:rPr>
              <w:t>1-3</w:t>
            </w:r>
            <w:r>
              <w:rPr>
                <w:rFonts w:ascii="宋体" w:hAnsi="宋体" w:hint="eastAsia"/>
                <w:lang w:eastAsia="zh-Hans"/>
              </w:rPr>
              <w:t>年国开行债券指数</w:t>
            </w:r>
            <w:r>
              <w:rPr>
                <w:rFonts w:ascii="宋体" w:hAnsi="宋体" w:hint="eastAsia"/>
                <w:lang w:eastAsia="zh-Hans"/>
              </w:rPr>
              <w:t>C</w:t>
            </w:r>
            <w:r>
              <w:rPr>
                <w:rFonts w:ascii="宋体" w:hAnsi="宋体" w:hint="eastAsia"/>
                <w:color w:val="000000"/>
              </w:rPr>
              <w:t xml:space="preserve"> </w:t>
            </w:r>
          </w:p>
        </w:tc>
      </w:tr>
      <w:tr w:rsidR="00000000">
        <w:trPr>
          <w:divId w:val="2127308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rPr>
                <w:rFonts w:hint="eastAsia"/>
              </w:rPr>
            </w:pPr>
            <w:r>
              <w:rPr>
                <w:rFonts w:ascii="宋体" w:hAnsi="宋体" w:hint="eastAsia"/>
                <w:kern w:val="0"/>
                <w:szCs w:val="24"/>
                <w:lang w:eastAsia="zh-Hans"/>
              </w:rPr>
              <w:t>645,453.9</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kern w:val="0"/>
                <w:szCs w:val="24"/>
                <w:lang w:eastAsia="zh-Hans"/>
              </w:rPr>
              <w:t>-</w:t>
            </w:r>
          </w:p>
        </w:tc>
      </w:tr>
      <w:tr w:rsidR="00000000">
        <w:trPr>
          <w:divId w:val="2127308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szCs w:val="24"/>
                <w:lang w:eastAsia="zh-Hans"/>
              </w:rPr>
              <w:t>-</w:t>
            </w:r>
          </w:p>
        </w:tc>
      </w:tr>
      <w:tr w:rsidR="00000000">
        <w:trPr>
          <w:divId w:val="2127308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rPr>
                <w:rFonts w:hint="eastAsia"/>
              </w:rPr>
            </w:pPr>
            <w:r>
              <w:rPr>
                <w:rFonts w:ascii="宋体" w:hAnsi="宋体" w:hint="eastAsia"/>
                <w:lang w:eastAsia="zh-Hans"/>
              </w:rPr>
              <w:t>28,401.0</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lang w:eastAsia="zh-Hans"/>
              </w:rPr>
              <w:t>-</w:t>
            </w:r>
          </w:p>
        </w:tc>
      </w:tr>
      <w:tr w:rsidR="00000000">
        <w:trPr>
          <w:divId w:val="2127308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rPr>
                <w:rFonts w:hint="eastAsia"/>
              </w:rPr>
            </w:pPr>
            <w:r>
              <w:rPr>
                <w:rFonts w:ascii="宋体" w:hAnsi="宋体" w:hint="eastAsia"/>
                <w:lang w:eastAsia="zh-Hans"/>
              </w:rPr>
              <w:t>617,052.9</w:t>
            </w:r>
            <w:r>
              <w:rPr>
                <w:rFonts w:ascii="宋体" w:hAnsi="宋体" w:hint="eastAsia"/>
                <w:lang w:eastAsia="zh-Hans"/>
              </w:rPr>
              <w:t>5</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lang w:eastAsia="zh-Hans"/>
              </w:rPr>
              <w:t>-</w:t>
            </w:r>
          </w:p>
        </w:tc>
      </w:tr>
      <w:tr w:rsidR="00000000">
        <w:trPr>
          <w:divId w:val="2127308498"/>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rPr>
                <w:rFonts w:hint="eastAsia"/>
              </w:rPr>
            </w:pPr>
            <w:r>
              <w:rPr>
                <w:rFonts w:ascii="宋体" w:hAnsi="宋体" w:hint="eastAsia"/>
                <w:lang w:eastAsia="zh-Hans"/>
              </w:rPr>
              <w:t>0.5</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lang w:eastAsia="zh-Hans"/>
              </w:rPr>
              <w:t>-</w:t>
            </w:r>
          </w:p>
        </w:tc>
      </w:tr>
    </w:tbl>
    <w:p w:rsidR="00E0089A" w:rsidRDefault="00E0089A">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663437376"/>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0089A" w:rsidRDefault="00E0089A">
            <w:pPr>
              <w:jc w:val="center"/>
            </w:pPr>
            <w:r>
              <w:rPr>
                <w:rFonts w:ascii="宋体" w:hAnsi="宋体" w:hint="eastAsia"/>
              </w:rPr>
              <w:t>适用费率</w:t>
            </w:r>
            <w:r>
              <w:rPr>
                <w:rFonts w:ascii="宋体" w:hAnsi="宋体" w:hint="eastAsia"/>
              </w:rPr>
              <w:t xml:space="preserve"> </w:t>
            </w:r>
          </w:p>
        </w:tc>
      </w:tr>
      <w:tr w:rsidR="00000000">
        <w:trPr>
          <w:divId w:val="66343737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-28,401.0</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-29,165.0</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w:t>
            </w:r>
            <w:r>
              <w:t xml:space="preserve"> </w:t>
            </w:r>
          </w:p>
        </w:tc>
      </w:tr>
      <w:tr w:rsidR="00000000">
        <w:trPr>
          <w:divId w:val="663437376"/>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-28,401.0</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jc w:val="right"/>
            </w:pPr>
            <w:r>
              <w:rPr>
                <w:rFonts w:ascii="宋体" w:hAnsi="宋体" w:hint="eastAsia"/>
              </w:rPr>
              <w:t>-29,165.0</w:t>
            </w:r>
            <w:r>
              <w:rPr>
                <w:rFonts w:ascii="宋体" w:hAnsi="宋体" w:hint="eastAsia"/>
              </w:rPr>
              <w:t>1</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tc>
      </w:tr>
    </w:tbl>
    <w:p w:rsidR="00E0089A" w:rsidRDefault="00E0089A">
      <w:pPr>
        <w:spacing w:line="360" w:lineRule="auto"/>
        <w:jc w:val="left"/>
        <w:divId w:val="2016685937"/>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E0089A" w:rsidRDefault="00E0089A">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E0089A" w:rsidRDefault="00E0089A">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951"/>
        <w:gridCol w:w="1005"/>
        <w:gridCol w:w="1395"/>
        <w:gridCol w:w="1136"/>
        <w:gridCol w:w="1395"/>
        <w:gridCol w:w="1395"/>
        <w:gridCol w:w="1318"/>
      </w:tblGrid>
      <w:tr w:rsidR="00000000">
        <w:trPr>
          <w:divId w:val="97146716"/>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jc w:val="center"/>
              <w:rPr>
                <w:rFonts w:hint="eastAsia"/>
              </w:rPr>
            </w:pPr>
            <w:bookmarkStart w:id="346" w:name="OLE_LINK42"/>
            <w:bookmarkStart w:id="347" w:name="OLE_LINK41"/>
            <w:bookmarkStart w:id="348" w:name="m13_01"/>
            <w:bookmarkStart w:id="349" w:name="m13_01_01"/>
            <w:bookmarkStart w:id="350" w:name="_Toc433036733"/>
            <w:bookmarkStart w:id="351" w:name="m12_01"/>
            <w:bookmarkEnd w:id="22"/>
            <w:bookmarkEnd w:id="42"/>
            <w:bookmarkEnd w:id="43"/>
            <w:bookmarkEnd w:id="346"/>
            <w:bookmarkEnd w:id="347"/>
            <w:bookmarkEnd w:id="348"/>
            <w:bookmarkEnd w:id="349"/>
            <w:bookmarkEnd w:id="350"/>
            <w:bookmarkEnd w:id="351"/>
            <w:r>
              <w:rPr>
                <w:rFonts w:ascii="宋体" w:hAnsi="宋体" w:hint="eastAsia"/>
                <w:color w:val="000000"/>
                <w:kern w:val="0"/>
              </w:rPr>
              <w:t>投资者类别</w:t>
            </w:r>
            <w:r>
              <w:rPr>
                <w:rFonts w:ascii="宋体" w:hAnsi="宋体" w:hint="eastAsia"/>
                <w:color w:val="000000"/>
                <w:kern w:val="0"/>
              </w:rPr>
              <w:t xml:space="preserve">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报告期内持有基金份额变化情况</w:t>
            </w:r>
            <w:r>
              <w:rPr>
                <w:rFonts w:ascii="宋体" w:hAnsi="宋体" w:hint="eastAsia"/>
                <w:color w:val="000000"/>
                <w:kern w:val="0"/>
              </w:rPr>
              <w:t xml:space="preserve">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报告期末持有基金情况</w:t>
            </w:r>
            <w:r>
              <w:rPr>
                <w:rFonts w:ascii="宋体" w:hAnsi="宋体" w:hint="eastAsia"/>
                <w:color w:val="000000"/>
                <w:kern w:val="0"/>
              </w:rPr>
              <w:t xml:space="preserve"> </w:t>
            </w:r>
          </w:p>
        </w:tc>
      </w:tr>
      <w:tr w:rsidR="00000000">
        <w:trPr>
          <w:divId w:val="9714671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序号</w:t>
            </w:r>
            <w:r>
              <w:rPr>
                <w:rFonts w:ascii="宋体" w:hAnsi="宋体" w:hint="eastAsia"/>
                <w:color w:val="000000"/>
                <w:kern w:val="0"/>
              </w:rPr>
              <w:t xml:space="preserve">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持有基金份额比例达到或者超过</w:t>
            </w:r>
            <w:r>
              <w:rPr>
                <w:rFonts w:ascii="宋体" w:hAnsi="宋体" w:hint="eastAsia"/>
                <w:color w:val="000000"/>
                <w:kern w:val="0"/>
              </w:rPr>
              <w:t>20%</w:t>
            </w:r>
            <w:r>
              <w:rPr>
                <w:rFonts w:ascii="宋体" w:hAnsi="宋体" w:hint="eastAsia"/>
                <w:color w:val="000000"/>
                <w:kern w:val="0"/>
              </w:rPr>
              <w:t>的时间区间</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期初</w:t>
            </w:r>
            <w:r>
              <w:rPr>
                <w:rFonts w:ascii="宋体" w:hAnsi="宋体" w:hint="eastAsia"/>
                <w:color w:val="000000"/>
                <w:kern w:val="0"/>
              </w:rPr>
              <w:t xml:space="preserve"> </w:t>
            </w:r>
          </w:p>
          <w:p w:rsidR="00E0089A" w:rsidRDefault="00E0089A">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申购</w:t>
            </w:r>
            <w:r>
              <w:rPr>
                <w:rFonts w:ascii="宋体" w:hAnsi="宋体" w:hint="eastAsia"/>
                <w:color w:val="000000"/>
                <w:kern w:val="0"/>
              </w:rPr>
              <w:t xml:space="preserve"> </w:t>
            </w:r>
          </w:p>
          <w:p w:rsidR="00E0089A" w:rsidRDefault="00E0089A">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赎回</w:t>
            </w:r>
            <w:r>
              <w:rPr>
                <w:rFonts w:ascii="宋体" w:hAnsi="宋体" w:hint="eastAsia"/>
                <w:color w:val="000000"/>
                <w:kern w:val="0"/>
              </w:rPr>
              <w:t xml:space="preserve"> </w:t>
            </w:r>
          </w:p>
          <w:p w:rsidR="00E0089A" w:rsidRDefault="00E0089A">
            <w:pPr>
              <w:widowControl/>
              <w:jc w:val="center"/>
            </w:pPr>
            <w:r>
              <w:rPr>
                <w:rFonts w:ascii="宋体" w:hAnsi="宋体" w:hint="eastAsia"/>
                <w:color w:val="000000"/>
                <w:kern w:val="0"/>
              </w:rPr>
              <w:t>份额</w:t>
            </w:r>
            <w:r>
              <w:rPr>
                <w:rFonts w:ascii="宋体" w:hAnsi="宋体" w:hint="eastAsia"/>
                <w:color w:val="000000"/>
                <w:kern w:val="0"/>
              </w:rPr>
              <w:t xml:space="preserve">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持有份额</w:t>
            </w:r>
            <w:r>
              <w:rPr>
                <w:rFonts w:ascii="宋体" w:hAnsi="宋体" w:hint="eastAsia"/>
                <w:color w:val="000000"/>
                <w:kern w:val="0"/>
              </w:rPr>
              <w:t xml:space="preserve">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0089A" w:rsidRDefault="00E0089A">
            <w:pPr>
              <w:widowControl/>
              <w:jc w:val="center"/>
            </w:pPr>
            <w:r>
              <w:rPr>
                <w:rFonts w:ascii="宋体" w:hAnsi="宋体" w:hint="eastAsia"/>
                <w:color w:val="000000"/>
                <w:kern w:val="0"/>
              </w:rPr>
              <w:t>份额占比</w:t>
            </w:r>
            <w:r>
              <w:rPr>
                <w:rFonts w:ascii="宋体" w:hAnsi="宋体" w:hint="eastAsia"/>
                <w:color w:val="000000"/>
                <w:kern w:val="0"/>
              </w:rPr>
              <w:t xml:space="preserve"> </w:t>
            </w:r>
          </w:p>
        </w:tc>
      </w:tr>
      <w:tr w:rsidR="00000000">
        <w:trPr>
          <w:divId w:val="97146716"/>
          <w:trHeight w:val="285"/>
        </w:trPr>
        <w:tc>
          <w:tcPr>
            <w:tcW w:w="122" w:type="pct"/>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机</w:t>
            </w:r>
            <w:r>
              <w:rPr>
                <w:rFonts w:ascii="宋体" w:hAnsi="宋体" w:hint="eastAsia"/>
                <w:color w:val="000000"/>
                <w:szCs w:val="21"/>
              </w:rPr>
              <w:t>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20260401-2026063</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32,206,073.9</w:t>
            </w:r>
            <w:r>
              <w:rPr>
                <w:rFonts w:ascii="宋体" w:hAnsi="宋体" w:hint="eastAsia"/>
                <w:color w:val="000000"/>
                <w:szCs w:val="21"/>
              </w:rPr>
              <w:t>6</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32,206,073.9</w:t>
            </w:r>
            <w:r>
              <w:rPr>
                <w:rFonts w:ascii="宋体" w:hAnsi="宋体" w:hint="eastAsia"/>
                <w:color w:val="000000"/>
                <w:szCs w:val="21"/>
              </w:rPr>
              <w:t>6</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27.2</w:t>
            </w:r>
            <w:r>
              <w:rPr>
                <w:rFonts w:ascii="宋体" w:hAnsi="宋体" w:hint="eastAsia"/>
                <w:color w:val="000000"/>
                <w:szCs w:val="21"/>
              </w:rPr>
              <w:t>0</w:t>
            </w:r>
            <w:r>
              <w:rPr>
                <w:szCs w:val="21"/>
              </w:rPr>
              <w:t>%</w:t>
            </w:r>
            <w:r>
              <w:t xml:space="preserve"> </w:t>
            </w:r>
          </w:p>
        </w:tc>
      </w:tr>
      <w:tr w:rsidR="00000000">
        <w:trPr>
          <w:divId w:val="9714671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2</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20260414-2026051</w:t>
            </w:r>
            <w:r>
              <w:rPr>
                <w:rFonts w:ascii="宋体" w:hAnsi="宋体" w:hint="eastAsia"/>
                <w:color w:val="000000"/>
                <w:szCs w:val="21"/>
              </w:rPr>
              <w:t>1</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9,791,421.8</w:t>
            </w:r>
            <w:r>
              <w:rPr>
                <w:rFonts w:ascii="宋体" w:hAnsi="宋体" w:hint="eastAsia"/>
                <w:color w:val="000000"/>
                <w:szCs w:val="21"/>
              </w:rPr>
              <w:t>6</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9,791,421.8</w:t>
            </w:r>
            <w:r>
              <w:rPr>
                <w:rFonts w:ascii="宋体" w:hAnsi="宋体" w:hint="eastAsia"/>
                <w:color w:val="000000"/>
                <w:szCs w:val="21"/>
              </w:rPr>
              <w:t>6</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8.2</w:t>
            </w:r>
            <w:r>
              <w:rPr>
                <w:rFonts w:ascii="宋体" w:hAnsi="宋体" w:hint="eastAsia"/>
                <w:color w:val="000000"/>
                <w:szCs w:val="21"/>
              </w:rPr>
              <w:t>7</w:t>
            </w:r>
            <w:r>
              <w:rPr>
                <w:szCs w:val="21"/>
              </w:rPr>
              <w:t>%</w:t>
            </w:r>
            <w:r>
              <w:t xml:space="preserve"> </w:t>
            </w:r>
          </w:p>
        </w:tc>
      </w:tr>
      <w:tr w:rsidR="00000000">
        <w:trPr>
          <w:divId w:val="9714671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3</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20260409-2026041</w:t>
            </w:r>
            <w:r>
              <w:rPr>
                <w:rFonts w:ascii="宋体" w:hAnsi="宋体" w:hint="eastAsia"/>
                <w:color w:val="000000"/>
                <w:szCs w:val="21"/>
              </w:rPr>
              <w:t>3</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19,585,740.8</w:t>
            </w:r>
            <w:r>
              <w:rPr>
                <w:rFonts w:ascii="宋体" w:hAnsi="宋体" w:hint="eastAsia"/>
                <w:color w:val="000000"/>
                <w:szCs w:val="21"/>
              </w:rPr>
              <w:t>7</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19,585,740.8</w:t>
            </w:r>
            <w:r>
              <w:rPr>
                <w:rFonts w:ascii="宋体" w:hAnsi="宋体" w:hint="eastAsia"/>
                <w:color w:val="000000"/>
                <w:szCs w:val="21"/>
              </w:rPr>
              <w:t>7</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r>
              <w:rPr>
                <w:szCs w:val="21"/>
              </w:rPr>
              <w:t>%</w:t>
            </w:r>
            <w:r>
              <w:t xml:space="preserve"> </w:t>
            </w:r>
          </w:p>
        </w:tc>
      </w:tr>
      <w:tr w:rsidR="00000000">
        <w:trPr>
          <w:divId w:val="97146716"/>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089A" w:rsidRDefault="00E0089A">
            <w:pPr>
              <w:widowControl/>
              <w:jc w:val="left"/>
            </w:pP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4</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szCs w:val="21"/>
              </w:rPr>
              <w:t>20260409-2026041</w:t>
            </w:r>
            <w:r>
              <w:rPr>
                <w:rFonts w:ascii="宋体" w:hAnsi="宋体" w:hint="eastAsia"/>
                <w:color w:val="000000"/>
                <w:szCs w:val="21"/>
              </w:rPr>
              <w:t>3</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19,586,720.2</w:t>
            </w:r>
            <w:r>
              <w:rPr>
                <w:rFonts w:ascii="宋体" w:hAnsi="宋体" w:hint="eastAsia"/>
                <w:color w:val="000000"/>
                <w:szCs w:val="21"/>
              </w:rPr>
              <w:t>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19,586,720.2</w:t>
            </w:r>
            <w:r>
              <w:rPr>
                <w:rFonts w:ascii="宋体" w:hAnsi="宋体" w:hint="eastAsia"/>
                <w:color w:val="000000"/>
                <w:szCs w:val="21"/>
              </w:rPr>
              <w:t>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right"/>
            </w:pPr>
            <w:r>
              <w:rPr>
                <w:rFonts w:ascii="宋体" w:hAnsi="宋体" w:hint="eastAsia"/>
                <w:color w:val="000000"/>
                <w:szCs w:val="21"/>
              </w:rPr>
              <w:t>0.0</w:t>
            </w:r>
            <w:r>
              <w:rPr>
                <w:rFonts w:ascii="宋体" w:hAnsi="宋体" w:hint="eastAsia"/>
                <w:color w:val="000000"/>
                <w:szCs w:val="21"/>
              </w:rPr>
              <w:t>0</w:t>
            </w:r>
            <w:r>
              <w:rPr>
                <w:szCs w:val="21"/>
              </w:rPr>
              <w:t>%</w:t>
            </w:r>
            <w:r>
              <w:t xml:space="preserve"> </w:t>
            </w:r>
          </w:p>
        </w:tc>
      </w:tr>
      <w:tr w:rsidR="00000000">
        <w:trPr>
          <w:divId w:val="97146716"/>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center"/>
            </w:pPr>
            <w:r>
              <w:rPr>
                <w:rFonts w:ascii="宋体" w:hAnsi="宋体" w:hint="eastAsia"/>
                <w:color w:val="000000"/>
                <w:kern w:val="0"/>
              </w:rPr>
              <w:t>产品特有风险</w:t>
            </w:r>
            <w:r>
              <w:rPr>
                <w:rFonts w:ascii="宋体" w:hAnsi="宋体" w:hint="eastAsia"/>
                <w:color w:val="000000"/>
                <w:kern w:val="0"/>
              </w:rPr>
              <w:t xml:space="preserve"> </w:t>
            </w:r>
          </w:p>
        </w:tc>
      </w:tr>
      <w:tr w:rsidR="00000000">
        <w:trPr>
          <w:divId w:val="97146716"/>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0089A" w:rsidRDefault="00E0089A">
            <w:pPr>
              <w:widowControl/>
              <w:jc w:val="left"/>
            </w:pPr>
            <w:r>
              <w:rPr>
                <w:rFonts w:ascii="宋体" w:hAnsi="宋体" w:hint="eastAsia"/>
                <w:color w:val="000000"/>
                <w:szCs w:val="21"/>
              </w:rPr>
              <w:t>本基金的集中度风险主要体现在有单一投资者持有基金份额比例达到或者超过</w:t>
            </w:r>
            <w:r>
              <w:rPr>
                <w:rFonts w:ascii="宋体" w:hAnsi="宋体" w:hint="eastAsia"/>
                <w:color w:val="000000"/>
                <w:szCs w:val="21"/>
              </w:rPr>
              <w:t>20%</w:t>
            </w:r>
            <w:r>
              <w:rPr>
                <w:rFonts w:ascii="宋体" w:hAnsi="宋体" w:hint="eastAsia"/>
                <w:color w:val="000000"/>
                <w:szCs w:val="21"/>
              </w:rPr>
              <w:t>，如果投资者发生大额赎回，可能出现基金可变现资产无法满足投资者赎回需要以及因为资产变现成本过高导致投资者的利益受到损害的风险</w:t>
            </w:r>
            <w:r>
              <w:rPr>
                <w:rFonts w:ascii="宋体" w:hAnsi="宋体" w:hint="eastAsia"/>
                <w:color w:val="000000"/>
                <w:szCs w:val="21"/>
              </w:rPr>
              <w:t>。</w:t>
            </w:r>
            <w:r>
              <w:rPr>
                <w:rFonts w:ascii="宋体" w:hAnsi="宋体" w:hint="eastAsia"/>
                <w:color w:val="000000"/>
                <w:kern w:val="0"/>
                <w:sz w:val="22"/>
              </w:rPr>
              <w:t xml:space="preserve"> </w:t>
            </w:r>
          </w:p>
        </w:tc>
      </w:tr>
    </w:tbl>
    <w:p w:rsidR="00E0089A" w:rsidRDefault="00E0089A">
      <w:pPr>
        <w:pStyle w:val="XBRLTitle1"/>
        <w:spacing w:before="156" w:line="360" w:lineRule="auto"/>
        <w:ind w:left="425"/>
      </w:pPr>
      <w:bookmarkStart w:id="352" w:name="_Toc17898228"/>
      <w:bookmarkStart w:id="353" w:name="_Toc17897969"/>
      <w:bookmarkStart w:id="354" w:name="_Toc512519529"/>
      <w:bookmarkStart w:id="355" w:name="_Toc490050049"/>
      <w:bookmarkStart w:id="356" w:name="_Toc481075097"/>
      <w:bookmarkStart w:id="357" w:name="_Toc438646481"/>
      <w:bookmarkStart w:id="358" w:name="_Toc513295878"/>
      <w:bookmarkStart w:id="359" w:name="_Toc513295941"/>
      <w:bookmarkEnd w:id="338"/>
      <w:r>
        <w:rPr>
          <w:rFonts w:hAnsi="宋体" w:hint="eastAsia"/>
        </w:rPr>
        <w:t>备查文件目</w:t>
      </w:r>
      <w:r>
        <w:rPr>
          <w:rFonts w:hAnsi="宋体" w:hint="eastAsia"/>
        </w:rPr>
        <w:t>录</w:t>
      </w:r>
      <w:bookmarkEnd w:id="352"/>
      <w:bookmarkEnd w:id="353"/>
      <w:bookmarkEnd w:id="354"/>
      <w:bookmarkEnd w:id="355"/>
      <w:bookmarkEnd w:id="356"/>
      <w:bookmarkEnd w:id="357"/>
      <w:bookmarkEnd w:id="358"/>
      <w:bookmarkEnd w:id="359"/>
      <w:r>
        <w:rPr>
          <w:rFonts w:hAnsi="宋体" w:hint="eastAsia"/>
        </w:rPr>
        <w:t xml:space="preserve"> </w:t>
      </w:r>
    </w:p>
    <w:p w:rsidR="00E0089A" w:rsidRDefault="00E0089A">
      <w:pPr>
        <w:pStyle w:val="XBRLTitle2"/>
        <w:spacing w:before="156" w:line="360" w:lineRule="auto"/>
        <w:ind w:left="454"/>
        <w:rPr>
          <w:rFonts w:hint="eastAsia"/>
        </w:rPr>
      </w:pPr>
      <w:bookmarkStart w:id="360" w:name="_Toc438646482"/>
      <w:bookmarkStart w:id="361" w:name="_Toc17898229"/>
      <w:bookmarkStart w:id="362" w:name="_Toc17897970"/>
      <w:bookmarkStart w:id="363" w:name="_Toc512519530"/>
      <w:bookmarkStart w:id="364" w:name="_Toc481075098"/>
      <w:bookmarkStart w:id="365" w:name="_Toc490050050"/>
      <w:bookmarkStart w:id="366" w:name="_Toc513295879"/>
      <w:bookmarkStart w:id="367" w:name="_Toc513295942"/>
      <w:bookmarkStart w:id="368" w:name="m801_01_1733"/>
      <w:r>
        <w:rPr>
          <w:rFonts w:hAnsi="宋体" w:hint="eastAsia"/>
        </w:rPr>
        <w:t>备查文件目</w:t>
      </w:r>
      <w:r>
        <w:rPr>
          <w:rFonts w:hAnsi="宋体" w:hint="eastAsia"/>
        </w:rPr>
        <w:t>录</w:t>
      </w:r>
      <w:bookmarkEnd w:id="360"/>
      <w:bookmarkEnd w:id="361"/>
      <w:bookmarkEnd w:id="362"/>
      <w:bookmarkEnd w:id="363"/>
      <w:bookmarkEnd w:id="364"/>
      <w:bookmarkEnd w:id="365"/>
      <w:bookmarkEnd w:id="366"/>
      <w:bookmarkEnd w:id="367"/>
      <w:r>
        <w:rPr>
          <w:rFonts w:hAnsi="宋体" w:hint="eastAsia"/>
        </w:rPr>
        <w:t xml:space="preserve"> </w:t>
      </w:r>
    </w:p>
    <w:p w:rsidR="00E0089A" w:rsidRDefault="00E0089A">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摩根中债</w:t>
      </w:r>
      <w:r>
        <w:rPr>
          <w:rFonts w:ascii="宋体" w:hAnsi="宋体" w:cs="宋体" w:hint="eastAsia"/>
          <w:color w:val="000000"/>
          <w:kern w:val="0"/>
        </w:rPr>
        <w:t>1-3</w:t>
      </w:r>
      <w:r>
        <w:rPr>
          <w:rFonts w:ascii="宋体" w:hAnsi="宋体" w:cs="宋体" w:hint="eastAsia"/>
          <w:color w:val="000000"/>
          <w:kern w:val="0"/>
        </w:rPr>
        <w:t>年国开行债券指数证券投资基金基金合同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摩根中债</w:t>
      </w:r>
      <w:r>
        <w:rPr>
          <w:rFonts w:ascii="宋体" w:hAnsi="宋体" w:cs="宋体" w:hint="eastAsia"/>
          <w:color w:val="000000"/>
          <w:kern w:val="0"/>
        </w:rPr>
        <w:t>1-3</w:t>
      </w:r>
      <w:r>
        <w:rPr>
          <w:rFonts w:ascii="宋体" w:hAnsi="宋体" w:cs="宋体" w:hint="eastAsia"/>
          <w:color w:val="000000"/>
          <w:kern w:val="0"/>
        </w:rPr>
        <w:t>年国开行债券指数证券投资基金托管协议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E0089A" w:rsidRDefault="00E0089A">
      <w:pPr>
        <w:pStyle w:val="XBRLTitle2"/>
        <w:spacing w:before="156" w:line="360" w:lineRule="auto"/>
        <w:ind w:left="454"/>
      </w:pPr>
      <w:bookmarkStart w:id="369" w:name="_Toc438646483"/>
      <w:bookmarkStart w:id="370" w:name="_Toc17898230"/>
      <w:bookmarkStart w:id="371" w:name="_Toc17897971"/>
      <w:bookmarkStart w:id="372" w:name="_Toc512519531"/>
      <w:bookmarkStart w:id="373" w:name="_Toc481075099"/>
      <w:bookmarkStart w:id="374" w:name="_Toc490050051"/>
      <w:bookmarkStart w:id="375" w:name="_Toc513295880"/>
      <w:bookmarkStart w:id="376" w:name="_Toc513295943"/>
      <w:bookmarkStart w:id="377" w:name="m801_01_1734"/>
      <w:bookmarkEnd w:id="368"/>
      <w:r>
        <w:rPr>
          <w:rFonts w:hAnsi="宋体" w:hint="eastAsia"/>
        </w:rPr>
        <w:t>存放地</w:t>
      </w:r>
      <w:r>
        <w:rPr>
          <w:rFonts w:hAnsi="宋体" w:hint="eastAsia"/>
        </w:rPr>
        <w:t>点</w:t>
      </w:r>
      <w:bookmarkEnd w:id="369"/>
      <w:bookmarkEnd w:id="370"/>
      <w:bookmarkEnd w:id="371"/>
      <w:bookmarkEnd w:id="372"/>
      <w:bookmarkEnd w:id="373"/>
      <w:bookmarkEnd w:id="374"/>
      <w:bookmarkEnd w:id="375"/>
      <w:bookmarkEnd w:id="376"/>
      <w:r>
        <w:rPr>
          <w:rFonts w:hAnsi="宋体" w:hint="eastAsia"/>
        </w:rPr>
        <w:t xml:space="preserve"> </w:t>
      </w:r>
    </w:p>
    <w:p w:rsidR="00E0089A" w:rsidRDefault="00E0089A">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E0089A" w:rsidRDefault="00E0089A">
      <w:pPr>
        <w:pStyle w:val="XBRLTitle2"/>
        <w:spacing w:before="156" w:line="360" w:lineRule="auto"/>
        <w:ind w:left="454"/>
      </w:pPr>
      <w:bookmarkStart w:id="378" w:name="_Toc438646484"/>
      <w:bookmarkStart w:id="379" w:name="_Toc17898231"/>
      <w:bookmarkStart w:id="380" w:name="_Toc17897972"/>
      <w:bookmarkStart w:id="381" w:name="_Toc512519532"/>
      <w:bookmarkStart w:id="382" w:name="_Toc481075100"/>
      <w:bookmarkStart w:id="383" w:name="_Toc490050052"/>
      <w:bookmarkStart w:id="384" w:name="_Toc513295881"/>
      <w:bookmarkStart w:id="385" w:name="_Toc513295944"/>
      <w:bookmarkStart w:id="386" w:name="m801_01_1735"/>
      <w:bookmarkEnd w:id="377"/>
      <w:r>
        <w:rPr>
          <w:rFonts w:hAnsi="宋体" w:hint="eastAsia"/>
        </w:rPr>
        <w:t>查阅方</w:t>
      </w:r>
      <w:r>
        <w:rPr>
          <w:rFonts w:hAnsi="宋体" w:hint="eastAsia"/>
        </w:rPr>
        <w:t>式</w:t>
      </w:r>
      <w:bookmarkEnd w:id="378"/>
      <w:bookmarkEnd w:id="379"/>
      <w:bookmarkEnd w:id="380"/>
      <w:bookmarkEnd w:id="381"/>
      <w:bookmarkEnd w:id="382"/>
      <w:bookmarkEnd w:id="383"/>
      <w:bookmarkEnd w:id="384"/>
      <w:bookmarkEnd w:id="385"/>
      <w:r>
        <w:rPr>
          <w:rFonts w:hAnsi="宋体" w:hint="eastAsia"/>
        </w:rPr>
        <w:t xml:space="preserve"> </w:t>
      </w:r>
    </w:p>
    <w:p w:rsidR="00E0089A" w:rsidRDefault="00E0089A">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6"/>
    <w:p w:rsidR="00E0089A" w:rsidRDefault="00E0089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0089A" w:rsidRDefault="00E0089A">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0089A" w:rsidRDefault="00E0089A">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E0089A" w:rsidRDefault="00E0089A">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E0089A">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89A" w:rsidRDefault="00E0089A">
      <w:pPr>
        <w:rPr>
          <w:szCs w:val="21"/>
        </w:rPr>
      </w:pPr>
      <w:r>
        <w:rPr>
          <w:szCs w:val="21"/>
        </w:rPr>
        <w:separator/>
      </w:r>
      <w:r>
        <w:rPr>
          <w:szCs w:val="21"/>
        </w:rPr>
        <w:t xml:space="preserve"> </w:t>
      </w:r>
    </w:p>
  </w:endnote>
  <w:endnote w:type="continuationSeparator" w:id="0">
    <w:p w:rsidR="00E0089A" w:rsidRDefault="00E0089A">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9A" w:rsidRDefault="00E0089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89A" w:rsidRDefault="00E0089A">
      <w:pPr>
        <w:rPr>
          <w:szCs w:val="21"/>
        </w:rPr>
      </w:pPr>
      <w:r>
        <w:rPr>
          <w:szCs w:val="21"/>
        </w:rPr>
        <w:separator/>
      </w:r>
      <w:r>
        <w:rPr>
          <w:szCs w:val="21"/>
        </w:rPr>
        <w:t xml:space="preserve"> </w:t>
      </w:r>
    </w:p>
  </w:footnote>
  <w:footnote w:type="continuationSeparator" w:id="0">
    <w:p w:rsidR="00E0089A" w:rsidRDefault="00E0089A">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89A" w:rsidRDefault="00E0089A">
    <w:pPr>
      <w:pStyle w:val="a8"/>
      <w:jc w:val="right"/>
    </w:pPr>
    <w:r>
      <w:rPr>
        <w:rFonts w:ascii="宋体" w:hAnsi="宋体" w:hint="eastAsia"/>
      </w:rPr>
      <w:t>摩根中债</w:t>
    </w:r>
    <w:r>
      <w:rPr>
        <w:rFonts w:ascii="宋体" w:hAnsi="宋体" w:hint="eastAsia"/>
      </w:rPr>
      <w:t>1-3</w:t>
    </w:r>
    <w:r>
      <w:rPr>
        <w:rFonts w:ascii="宋体" w:hAnsi="宋体" w:hint="eastAsia"/>
      </w:rPr>
      <w:t>年国开行债券指数证券投资基金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91029350">
    <w:abstractNumId w:val="0"/>
  </w:num>
  <w:num w:numId="2" w16cid:durableId="491337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04E6A"/>
    <w:rsid w:val="003E0F21"/>
    <w:rsid w:val="00804E6A"/>
    <w:rsid w:val="00E00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67394-D4AE-4887-8B34-B9472CBD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3372">
      <w:marLeft w:val="0"/>
      <w:marRight w:val="0"/>
      <w:marTop w:val="0"/>
      <w:marBottom w:val="0"/>
      <w:divBdr>
        <w:top w:val="none" w:sz="0" w:space="0" w:color="auto"/>
        <w:left w:val="none" w:sz="0" w:space="0" w:color="auto"/>
        <w:bottom w:val="none" w:sz="0" w:space="0" w:color="auto"/>
        <w:right w:val="none" w:sz="0" w:space="0" w:color="auto"/>
      </w:divBdr>
    </w:div>
    <w:div w:id="289483768">
      <w:marLeft w:val="0"/>
      <w:marRight w:val="0"/>
      <w:marTop w:val="0"/>
      <w:marBottom w:val="0"/>
      <w:divBdr>
        <w:top w:val="none" w:sz="0" w:space="0" w:color="auto"/>
        <w:left w:val="none" w:sz="0" w:space="0" w:color="auto"/>
        <w:bottom w:val="none" w:sz="0" w:space="0" w:color="auto"/>
        <w:right w:val="none" w:sz="0" w:space="0" w:color="auto"/>
      </w:divBdr>
    </w:div>
    <w:div w:id="425808068">
      <w:marLeft w:val="0"/>
      <w:marRight w:val="0"/>
      <w:marTop w:val="0"/>
      <w:marBottom w:val="0"/>
      <w:divBdr>
        <w:top w:val="none" w:sz="0" w:space="0" w:color="auto"/>
        <w:left w:val="none" w:sz="0" w:space="0" w:color="auto"/>
        <w:bottom w:val="none" w:sz="0" w:space="0" w:color="auto"/>
        <w:right w:val="none" w:sz="0" w:space="0" w:color="auto"/>
      </w:divBdr>
      <w:divsChild>
        <w:div w:id="704184434">
          <w:marLeft w:val="0"/>
          <w:marRight w:val="0"/>
          <w:marTop w:val="0"/>
          <w:marBottom w:val="0"/>
          <w:divBdr>
            <w:top w:val="none" w:sz="0" w:space="0" w:color="auto"/>
            <w:left w:val="none" w:sz="0" w:space="0" w:color="auto"/>
            <w:bottom w:val="none" w:sz="0" w:space="0" w:color="auto"/>
            <w:right w:val="none" w:sz="0" w:space="0" w:color="auto"/>
          </w:divBdr>
        </w:div>
      </w:divsChild>
    </w:div>
    <w:div w:id="645360401">
      <w:marLeft w:val="0"/>
      <w:marRight w:val="0"/>
      <w:marTop w:val="0"/>
      <w:marBottom w:val="0"/>
      <w:divBdr>
        <w:top w:val="none" w:sz="0" w:space="0" w:color="auto"/>
        <w:left w:val="none" w:sz="0" w:space="0" w:color="auto"/>
        <w:bottom w:val="none" w:sz="0" w:space="0" w:color="auto"/>
        <w:right w:val="none" w:sz="0" w:space="0" w:color="auto"/>
      </w:divBdr>
    </w:div>
    <w:div w:id="654067709">
      <w:marLeft w:val="0"/>
      <w:marRight w:val="0"/>
      <w:marTop w:val="0"/>
      <w:marBottom w:val="0"/>
      <w:divBdr>
        <w:top w:val="none" w:sz="0" w:space="0" w:color="auto"/>
        <w:left w:val="none" w:sz="0" w:space="0" w:color="auto"/>
        <w:bottom w:val="none" w:sz="0" w:space="0" w:color="auto"/>
        <w:right w:val="none" w:sz="0" w:space="0" w:color="auto"/>
      </w:divBdr>
    </w:div>
    <w:div w:id="756247636">
      <w:marLeft w:val="0"/>
      <w:marRight w:val="0"/>
      <w:marTop w:val="0"/>
      <w:marBottom w:val="0"/>
      <w:divBdr>
        <w:top w:val="none" w:sz="0" w:space="0" w:color="auto"/>
        <w:left w:val="none" w:sz="0" w:space="0" w:color="auto"/>
        <w:bottom w:val="none" w:sz="0" w:space="0" w:color="auto"/>
        <w:right w:val="none" w:sz="0" w:space="0" w:color="auto"/>
      </w:divBdr>
    </w:div>
    <w:div w:id="803424278">
      <w:marLeft w:val="0"/>
      <w:marRight w:val="0"/>
      <w:marTop w:val="0"/>
      <w:marBottom w:val="0"/>
      <w:divBdr>
        <w:top w:val="none" w:sz="0" w:space="0" w:color="auto"/>
        <w:left w:val="none" w:sz="0" w:space="0" w:color="auto"/>
        <w:bottom w:val="none" w:sz="0" w:space="0" w:color="auto"/>
        <w:right w:val="none" w:sz="0" w:space="0" w:color="auto"/>
      </w:divBdr>
      <w:divsChild>
        <w:div w:id="1221551112">
          <w:marLeft w:val="0"/>
          <w:marRight w:val="0"/>
          <w:marTop w:val="0"/>
          <w:marBottom w:val="0"/>
          <w:divBdr>
            <w:top w:val="none" w:sz="0" w:space="0" w:color="auto"/>
            <w:left w:val="none" w:sz="0" w:space="0" w:color="auto"/>
            <w:bottom w:val="none" w:sz="0" w:space="0" w:color="auto"/>
            <w:right w:val="none" w:sz="0" w:space="0" w:color="auto"/>
          </w:divBdr>
        </w:div>
        <w:div w:id="1558201003">
          <w:marLeft w:val="0"/>
          <w:marRight w:val="0"/>
          <w:marTop w:val="0"/>
          <w:marBottom w:val="0"/>
          <w:divBdr>
            <w:top w:val="none" w:sz="0" w:space="0" w:color="auto"/>
            <w:left w:val="none" w:sz="0" w:space="0" w:color="auto"/>
            <w:bottom w:val="none" w:sz="0" w:space="0" w:color="auto"/>
            <w:right w:val="none" w:sz="0" w:space="0" w:color="auto"/>
          </w:divBdr>
        </w:div>
      </w:divsChild>
    </w:div>
    <w:div w:id="925268518">
      <w:marLeft w:val="0"/>
      <w:marRight w:val="0"/>
      <w:marTop w:val="0"/>
      <w:marBottom w:val="0"/>
      <w:divBdr>
        <w:top w:val="none" w:sz="0" w:space="0" w:color="auto"/>
        <w:left w:val="none" w:sz="0" w:space="0" w:color="auto"/>
        <w:bottom w:val="none" w:sz="0" w:space="0" w:color="auto"/>
        <w:right w:val="none" w:sz="0" w:space="0" w:color="auto"/>
      </w:divBdr>
    </w:div>
    <w:div w:id="947396629">
      <w:marLeft w:val="0"/>
      <w:marRight w:val="0"/>
      <w:marTop w:val="0"/>
      <w:marBottom w:val="0"/>
      <w:divBdr>
        <w:top w:val="none" w:sz="0" w:space="0" w:color="auto"/>
        <w:left w:val="none" w:sz="0" w:space="0" w:color="auto"/>
        <w:bottom w:val="none" w:sz="0" w:space="0" w:color="auto"/>
        <w:right w:val="none" w:sz="0" w:space="0" w:color="auto"/>
      </w:divBdr>
    </w:div>
    <w:div w:id="1070619953">
      <w:marLeft w:val="0"/>
      <w:marRight w:val="0"/>
      <w:marTop w:val="0"/>
      <w:marBottom w:val="0"/>
      <w:divBdr>
        <w:top w:val="none" w:sz="0" w:space="0" w:color="auto"/>
        <w:left w:val="none" w:sz="0" w:space="0" w:color="auto"/>
        <w:bottom w:val="none" w:sz="0" w:space="0" w:color="auto"/>
        <w:right w:val="none" w:sz="0" w:space="0" w:color="auto"/>
      </w:divBdr>
    </w:div>
    <w:div w:id="1111701846">
      <w:marLeft w:val="0"/>
      <w:marRight w:val="0"/>
      <w:marTop w:val="0"/>
      <w:marBottom w:val="0"/>
      <w:divBdr>
        <w:top w:val="none" w:sz="0" w:space="0" w:color="auto"/>
        <w:left w:val="none" w:sz="0" w:space="0" w:color="auto"/>
        <w:bottom w:val="none" w:sz="0" w:space="0" w:color="auto"/>
        <w:right w:val="none" w:sz="0" w:space="0" w:color="auto"/>
      </w:divBdr>
    </w:div>
    <w:div w:id="1115758632">
      <w:marLeft w:val="0"/>
      <w:marRight w:val="0"/>
      <w:marTop w:val="0"/>
      <w:marBottom w:val="0"/>
      <w:divBdr>
        <w:top w:val="none" w:sz="0" w:space="0" w:color="auto"/>
        <w:left w:val="none" w:sz="0" w:space="0" w:color="auto"/>
        <w:bottom w:val="none" w:sz="0" w:space="0" w:color="auto"/>
        <w:right w:val="none" w:sz="0" w:space="0" w:color="auto"/>
      </w:divBdr>
    </w:div>
    <w:div w:id="1292127672">
      <w:marLeft w:val="0"/>
      <w:marRight w:val="0"/>
      <w:marTop w:val="0"/>
      <w:marBottom w:val="0"/>
      <w:divBdr>
        <w:top w:val="none" w:sz="0" w:space="0" w:color="auto"/>
        <w:left w:val="none" w:sz="0" w:space="0" w:color="auto"/>
        <w:bottom w:val="none" w:sz="0" w:space="0" w:color="auto"/>
        <w:right w:val="none" w:sz="0" w:space="0" w:color="auto"/>
      </w:divBdr>
    </w:div>
    <w:div w:id="1460873884">
      <w:marLeft w:val="0"/>
      <w:marRight w:val="0"/>
      <w:marTop w:val="0"/>
      <w:marBottom w:val="0"/>
      <w:divBdr>
        <w:top w:val="none" w:sz="0" w:space="0" w:color="auto"/>
        <w:left w:val="none" w:sz="0" w:space="0" w:color="auto"/>
        <w:bottom w:val="none" w:sz="0" w:space="0" w:color="auto"/>
        <w:right w:val="none" w:sz="0" w:space="0" w:color="auto"/>
      </w:divBdr>
    </w:div>
    <w:div w:id="1506940864">
      <w:marLeft w:val="0"/>
      <w:marRight w:val="0"/>
      <w:marTop w:val="0"/>
      <w:marBottom w:val="0"/>
      <w:divBdr>
        <w:top w:val="none" w:sz="0" w:space="0" w:color="auto"/>
        <w:left w:val="none" w:sz="0" w:space="0" w:color="auto"/>
        <w:bottom w:val="none" w:sz="0" w:space="0" w:color="auto"/>
        <w:right w:val="none" w:sz="0" w:space="0" w:color="auto"/>
      </w:divBdr>
      <w:divsChild>
        <w:div w:id="880241383">
          <w:marLeft w:val="0"/>
          <w:marRight w:val="0"/>
          <w:marTop w:val="0"/>
          <w:marBottom w:val="0"/>
          <w:divBdr>
            <w:top w:val="none" w:sz="0" w:space="0" w:color="auto"/>
            <w:left w:val="none" w:sz="0" w:space="0" w:color="auto"/>
            <w:bottom w:val="none" w:sz="0" w:space="0" w:color="auto"/>
            <w:right w:val="none" w:sz="0" w:space="0" w:color="auto"/>
          </w:divBdr>
        </w:div>
      </w:divsChild>
    </w:div>
    <w:div w:id="1607427054">
      <w:marLeft w:val="0"/>
      <w:marRight w:val="0"/>
      <w:marTop w:val="0"/>
      <w:marBottom w:val="0"/>
      <w:divBdr>
        <w:top w:val="none" w:sz="0" w:space="0" w:color="auto"/>
        <w:left w:val="none" w:sz="0" w:space="0" w:color="auto"/>
        <w:bottom w:val="none" w:sz="0" w:space="0" w:color="auto"/>
        <w:right w:val="none" w:sz="0" w:space="0" w:color="auto"/>
      </w:divBdr>
      <w:divsChild>
        <w:div w:id="2056811791">
          <w:marLeft w:val="0"/>
          <w:marRight w:val="0"/>
          <w:marTop w:val="0"/>
          <w:marBottom w:val="0"/>
          <w:divBdr>
            <w:top w:val="none" w:sz="0" w:space="0" w:color="auto"/>
            <w:left w:val="none" w:sz="0" w:space="0" w:color="auto"/>
            <w:bottom w:val="none" w:sz="0" w:space="0" w:color="auto"/>
            <w:right w:val="none" w:sz="0" w:space="0" w:color="auto"/>
          </w:divBdr>
        </w:div>
      </w:divsChild>
    </w:div>
    <w:div w:id="1679577516">
      <w:marLeft w:val="0"/>
      <w:marRight w:val="0"/>
      <w:marTop w:val="0"/>
      <w:marBottom w:val="0"/>
      <w:divBdr>
        <w:top w:val="none" w:sz="0" w:space="0" w:color="auto"/>
        <w:left w:val="none" w:sz="0" w:space="0" w:color="auto"/>
        <w:bottom w:val="none" w:sz="0" w:space="0" w:color="auto"/>
        <w:right w:val="none" w:sz="0" w:space="0" w:color="auto"/>
      </w:divBdr>
      <w:divsChild>
        <w:div w:id="60980656">
          <w:marLeft w:val="0"/>
          <w:marRight w:val="0"/>
          <w:marTop w:val="0"/>
          <w:marBottom w:val="0"/>
          <w:divBdr>
            <w:top w:val="none" w:sz="0" w:space="0" w:color="auto"/>
            <w:left w:val="none" w:sz="0" w:space="0" w:color="auto"/>
            <w:bottom w:val="none" w:sz="0" w:space="0" w:color="auto"/>
            <w:right w:val="none" w:sz="0" w:space="0" w:color="auto"/>
          </w:divBdr>
        </w:div>
      </w:divsChild>
    </w:div>
    <w:div w:id="1790735757">
      <w:marLeft w:val="0"/>
      <w:marRight w:val="0"/>
      <w:marTop w:val="0"/>
      <w:marBottom w:val="0"/>
      <w:divBdr>
        <w:top w:val="none" w:sz="0" w:space="0" w:color="auto"/>
        <w:left w:val="none" w:sz="0" w:space="0" w:color="auto"/>
        <w:bottom w:val="none" w:sz="0" w:space="0" w:color="auto"/>
        <w:right w:val="none" w:sz="0" w:space="0" w:color="auto"/>
      </w:divBdr>
      <w:divsChild>
        <w:div w:id="2127308498">
          <w:marLeft w:val="0"/>
          <w:marRight w:val="0"/>
          <w:marTop w:val="0"/>
          <w:marBottom w:val="0"/>
          <w:divBdr>
            <w:top w:val="none" w:sz="0" w:space="0" w:color="auto"/>
            <w:left w:val="none" w:sz="0" w:space="0" w:color="auto"/>
            <w:bottom w:val="none" w:sz="0" w:space="0" w:color="auto"/>
            <w:right w:val="none" w:sz="0" w:space="0" w:color="auto"/>
          </w:divBdr>
        </w:div>
      </w:divsChild>
    </w:div>
    <w:div w:id="1985355239">
      <w:marLeft w:val="0"/>
      <w:marRight w:val="0"/>
      <w:marTop w:val="0"/>
      <w:marBottom w:val="0"/>
      <w:divBdr>
        <w:top w:val="none" w:sz="0" w:space="0" w:color="auto"/>
        <w:left w:val="none" w:sz="0" w:space="0" w:color="auto"/>
        <w:bottom w:val="none" w:sz="0" w:space="0" w:color="auto"/>
        <w:right w:val="none" w:sz="0" w:space="0" w:color="auto"/>
      </w:divBdr>
      <w:divsChild>
        <w:div w:id="97146716">
          <w:marLeft w:val="0"/>
          <w:marRight w:val="0"/>
          <w:marTop w:val="0"/>
          <w:marBottom w:val="0"/>
          <w:divBdr>
            <w:top w:val="none" w:sz="0" w:space="0" w:color="auto"/>
            <w:left w:val="none" w:sz="0" w:space="0" w:color="auto"/>
            <w:bottom w:val="none" w:sz="0" w:space="0" w:color="auto"/>
            <w:right w:val="none" w:sz="0" w:space="0" w:color="auto"/>
          </w:divBdr>
        </w:div>
      </w:divsChild>
    </w:div>
    <w:div w:id="2016685937">
      <w:marLeft w:val="0"/>
      <w:marRight w:val="0"/>
      <w:marTop w:val="0"/>
      <w:marBottom w:val="0"/>
      <w:divBdr>
        <w:top w:val="none" w:sz="0" w:space="0" w:color="auto"/>
        <w:left w:val="none" w:sz="0" w:space="0" w:color="auto"/>
        <w:bottom w:val="none" w:sz="0" w:space="0" w:color="auto"/>
        <w:right w:val="none" w:sz="0" w:space="0" w:color="auto"/>
      </w:divBdr>
      <w:divsChild>
        <w:div w:id="663437376">
          <w:marLeft w:val="0"/>
          <w:marRight w:val="0"/>
          <w:marTop w:val="0"/>
          <w:marBottom w:val="0"/>
          <w:divBdr>
            <w:top w:val="none" w:sz="0" w:space="0" w:color="auto"/>
            <w:left w:val="none" w:sz="0" w:space="0" w:color="auto"/>
            <w:bottom w:val="none" w:sz="0" w:space="0" w:color="auto"/>
            <w:right w:val="none" w:sz="0" w:space="0" w:color="auto"/>
          </w:divBdr>
        </w:div>
      </w:divsChild>
    </w:div>
    <w:div w:id="204802009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1200</Words>
  <Characters>6841</Characters>
  <Application>Microsoft Office Word</Application>
  <DocSecurity>4</DocSecurity>
  <Lines>57</Lines>
  <Paragraphs>16</Paragraphs>
  <ScaleCrop>false</ScaleCrop>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2026-07-13T13:31:00Z</dcterms:created>
  <dcterms:modified xsi:type="dcterms:W3CDTF">2026-07-13T13:31:00Z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