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3</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9</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报告送出日期：二〇二四年十月二十五日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7</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9</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160,629,661.20</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0C0AB5" w:rsidRDefault="00B948E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159,526,785.42</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1,102,875.78</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7</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9</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1,377,134.07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39,637.83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830,688.89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24,774.01</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0.0042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0.0035</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166,255,514.75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1,151,507.09</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1.0422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1.0441</w:t>
            </w:r>
          </w:p>
        </w:tc>
      </w:tr>
    </w:tbl>
    <w:p w:rsidR="000C0AB5" w:rsidRDefault="00B948E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0C0AB5">
        <w:tc>
          <w:tcPr>
            <w:tcW w:w="1290" w:type="dxa"/>
            <w:vAlign w:val="center"/>
          </w:tcPr>
          <w:p w:rsidR="000C0AB5" w:rsidRDefault="00B948E6">
            <w:pPr>
              <w:jc w:val="left"/>
            </w:pPr>
            <w:r>
              <w:rPr>
                <w:rFonts w:eastAsiaTheme="minorEastAsia"/>
                <w:color w:val="000000" w:themeColor="text1"/>
                <w:szCs w:val="21"/>
              </w:rPr>
              <w:t>过去三个月</w:t>
            </w:r>
          </w:p>
        </w:tc>
        <w:tc>
          <w:tcPr>
            <w:tcW w:w="1291" w:type="dxa"/>
            <w:vAlign w:val="center"/>
          </w:tcPr>
          <w:p w:rsidR="000C0AB5" w:rsidRDefault="00B948E6">
            <w:pPr>
              <w:jc w:val="right"/>
            </w:pPr>
            <w:r>
              <w:rPr>
                <w:rFonts w:eastAsiaTheme="minorEastAsia"/>
                <w:color w:val="000000" w:themeColor="text1"/>
                <w:szCs w:val="21"/>
              </w:rPr>
              <w:t>0.40%</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-0.50%</w:t>
            </w:r>
          </w:p>
        </w:tc>
        <w:tc>
          <w:tcPr>
            <w:tcW w:w="1291" w:type="dxa"/>
            <w:vAlign w:val="center"/>
          </w:tcPr>
          <w:p w:rsidR="000C0AB5" w:rsidRDefault="00B948E6">
            <w:pPr>
              <w:jc w:val="right"/>
            </w:pPr>
            <w:r>
              <w:rPr>
                <w:rFonts w:eastAsiaTheme="minorEastAsia"/>
                <w:color w:val="000000" w:themeColor="text1"/>
                <w:szCs w:val="21"/>
              </w:rPr>
              <w:t>0.07%</w:t>
            </w:r>
          </w:p>
        </w:tc>
        <w:tc>
          <w:tcPr>
            <w:tcW w:w="1291" w:type="dxa"/>
            <w:vAlign w:val="center"/>
          </w:tcPr>
          <w:p w:rsidR="000C0AB5" w:rsidRDefault="00B948E6">
            <w:pPr>
              <w:jc w:val="right"/>
            </w:pPr>
            <w:r>
              <w:rPr>
                <w:rFonts w:eastAsiaTheme="minorEastAsia"/>
                <w:color w:val="000000" w:themeColor="text1"/>
                <w:szCs w:val="21"/>
              </w:rPr>
              <w:t>0.90%</w:t>
            </w:r>
          </w:p>
        </w:tc>
        <w:tc>
          <w:tcPr>
            <w:tcW w:w="1291" w:type="dxa"/>
            <w:vAlign w:val="center"/>
          </w:tcPr>
          <w:p w:rsidR="000C0AB5" w:rsidRDefault="00B948E6">
            <w:pPr>
              <w:jc w:val="right"/>
            </w:pPr>
            <w:r>
              <w:rPr>
                <w:rFonts w:eastAsiaTheme="minorEastAsia"/>
                <w:color w:val="000000" w:themeColor="text1"/>
                <w:szCs w:val="21"/>
              </w:rPr>
              <w:t>-0.02%</w:t>
            </w:r>
          </w:p>
        </w:tc>
      </w:tr>
      <w:tr w:rsidR="000C0AB5">
        <w:tc>
          <w:tcPr>
            <w:tcW w:w="1290" w:type="dxa"/>
            <w:vAlign w:val="center"/>
          </w:tcPr>
          <w:p w:rsidR="000C0AB5" w:rsidRDefault="00B948E6">
            <w:pPr>
              <w:jc w:val="left"/>
            </w:pPr>
            <w:r>
              <w:rPr>
                <w:rFonts w:eastAsiaTheme="minorEastAsia"/>
                <w:color w:val="000000" w:themeColor="text1"/>
                <w:szCs w:val="21"/>
              </w:rPr>
              <w:t>过去六个月</w:t>
            </w:r>
          </w:p>
        </w:tc>
        <w:tc>
          <w:tcPr>
            <w:tcW w:w="1291" w:type="dxa"/>
            <w:vAlign w:val="center"/>
          </w:tcPr>
          <w:p w:rsidR="000C0AB5" w:rsidRDefault="00B948E6">
            <w:pPr>
              <w:jc w:val="right"/>
            </w:pPr>
            <w:r>
              <w:rPr>
                <w:rFonts w:eastAsiaTheme="minorEastAsia"/>
                <w:color w:val="000000" w:themeColor="text1"/>
                <w:szCs w:val="21"/>
              </w:rPr>
              <w:t>1.42%</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-0.63%</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2.05%</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过去一年</w:t>
            </w:r>
          </w:p>
        </w:tc>
        <w:tc>
          <w:tcPr>
            <w:tcW w:w="1291" w:type="dxa"/>
            <w:vAlign w:val="center"/>
          </w:tcPr>
          <w:p w:rsidR="000C0AB5" w:rsidRDefault="00B948E6">
            <w:pPr>
              <w:jc w:val="right"/>
            </w:pPr>
            <w:r>
              <w:rPr>
                <w:rFonts w:eastAsiaTheme="minorEastAsia"/>
                <w:color w:val="000000" w:themeColor="text1"/>
                <w:szCs w:val="21"/>
              </w:rPr>
              <w:t>3.33%</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-0.30%</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3.63%</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过去三年</w:t>
            </w:r>
          </w:p>
        </w:tc>
        <w:tc>
          <w:tcPr>
            <w:tcW w:w="1291" w:type="dxa"/>
            <w:vAlign w:val="center"/>
          </w:tcPr>
          <w:p w:rsidR="000C0AB5" w:rsidRDefault="00B948E6">
            <w:pPr>
              <w:jc w:val="right"/>
            </w:pPr>
            <w:r>
              <w:rPr>
                <w:rFonts w:eastAsiaTheme="minorEastAsia"/>
                <w:color w:val="000000" w:themeColor="text1"/>
                <w:szCs w:val="21"/>
              </w:rPr>
              <w:t>9.05%</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-2.21%</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11.26%</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过去五年</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r>
      <w:tr w:rsidR="000C0AB5">
        <w:tc>
          <w:tcPr>
            <w:tcW w:w="1290" w:type="dxa"/>
            <w:vAlign w:val="center"/>
          </w:tcPr>
          <w:p w:rsidR="000C0AB5" w:rsidRDefault="00B948E6">
            <w:pPr>
              <w:jc w:val="left"/>
            </w:pPr>
            <w:r>
              <w:rPr>
                <w:rFonts w:eastAsiaTheme="minorEastAsia"/>
                <w:color w:val="000000" w:themeColor="text1"/>
                <w:szCs w:val="21"/>
              </w:rPr>
              <w:t>自基金合同生效起至今</w:t>
            </w:r>
          </w:p>
        </w:tc>
        <w:tc>
          <w:tcPr>
            <w:tcW w:w="1291" w:type="dxa"/>
            <w:vAlign w:val="center"/>
          </w:tcPr>
          <w:p w:rsidR="000C0AB5" w:rsidRDefault="00B948E6">
            <w:pPr>
              <w:jc w:val="right"/>
            </w:pPr>
            <w:r>
              <w:rPr>
                <w:rFonts w:eastAsiaTheme="minorEastAsia"/>
                <w:color w:val="000000" w:themeColor="text1"/>
                <w:szCs w:val="21"/>
              </w:rPr>
              <w:t>9.35%</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-2.57%</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11.92%</w:t>
            </w:r>
          </w:p>
        </w:tc>
        <w:tc>
          <w:tcPr>
            <w:tcW w:w="1291" w:type="dxa"/>
            <w:vAlign w:val="center"/>
          </w:tcPr>
          <w:p w:rsidR="000C0AB5" w:rsidRDefault="00B948E6">
            <w:pPr>
              <w:jc w:val="right"/>
            </w:pPr>
            <w:r>
              <w:rPr>
                <w:rFonts w:eastAsiaTheme="minorEastAsia"/>
                <w:color w:val="000000" w:themeColor="text1"/>
                <w:szCs w:val="21"/>
              </w:rPr>
              <w:t>-0.01%</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0C0AB5">
        <w:tc>
          <w:tcPr>
            <w:tcW w:w="1290" w:type="dxa"/>
            <w:vAlign w:val="center"/>
          </w:tcPr>
          <w:p w:rsidR="000C0AB5" w:rsidRDefault="00B948E6">
            <w:pPr>
              <w:jc w:val="left"/>
            </w:pPr>
            <w:r>
              <w:rPr>
                <w:rFonts w:eastAsiaTheme="minorEastAsia"/>
                <w:color w:val="000000" w:themeColor="text1"/>
                <w:szCs w:val="21"/>
              </w:rPr>
              <w:t>过去三个月</w:t>
            </w:r>
          </w:p>
        </w:tc>
        <w:tc>
          <w:tcPr>
            <w:tcW w:w="1291" w:type="dxa"/>
            <w:vAlign w:val="center"/>
          </w:tcPr>
          <w:p w:rsidR="000C0AB5" w:rsidRDefault="00B948E6">
            <w:pPr>
              <w:jc w:val="right"/>
            </w:pPr>
            <w:r>
              <w:rPr>
                <w:rFonts w:eastAsiaTheme="minorEastAsia"/>
                <w:color w:val="000000" w:themeColor="text1"/>
                <w:szCs w:val="21"/>
              </w:rPr>
              <w:t>0.39%</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-0.50%</w:t>
            </w:r>
          </w:p>
        </w:tc>
        <w:tc>
          <w:tcPr>
            <w:tcW w:w="1291" w:type="dxa"/>
            <w:vAlign w:val="center"/>
          </w:tcPr>
          <w:p w:rsidR="000C0AB5" w:rsidRDefault="00B948E6">
            <w:pPr>
              <w:jc w:val="right"/>
            </w:pPr>
            <w:r>
              <w:rPr>
                <w:rFonts w:eastAsiaTheme="minorEastAsia"/>
                <w:color w:val="000000" w:themeColor="text1"/>
                <w:szCs w:val="21"/>
              </w:rPr>
              <w:t>0.07%</w:t>
            </w:r>
          </w:p>
        </w:tc>
        <w:tc>
          <w:tcPr>
            <w:tcW w:w="1291" w:type="dxa"/>
            <w:vAlign w:val="center"/>
          </w:tcPr>
          <w:p w:rsidR="000C0AB5" w:rsidRDefault="00B948E6">
            <w:pPr>
              <w:jc w:val="right"/>
            </w:pPr>
            <w:r>
              <w:rPr>
                <w:rFonts w:eastAsiaTheme="minorEastAsia"/>
                <w:color w:val="000000" w:themeColor="text1"/>
                <w:szCs w:val="21"/>
              </w:rPr>
              <w:t>0.89%</w:t>
            </w:r>
          </w:p>
        </w:tc>
        <w:tc>
          <w:tcPr>
            <w:tcW w:w="1291" w:type="dxa"/>
            <w:vAlign w:val="center"/>
          </w:tcPr>
          <w:p w:rsidR="000C0AB5" w:rsidRDefault="00B948E6">
            <w:pPr>
              <w:jc w:val="right"/>
            </w:pPr>
            <w:r>
              <w:rPr>
                <w:rFonts w:eastAsiaTheme="minorEastAsia"/>
                <w:color w:val="000000" w:themeColor="text1"/>
                <w:szCs w:val="21"/>
              </w:rPr>
              <w:t>-0.02%</w:t>
            </w:r>
          </w:p>
        </w:tc>
      </w:tr>
      <w:tr w:rsidR="000C0AB5">
        <w:tc>
          <w:tcPr>
            <w:tcW w:w="1290" w:type="dxa"/>
            <w:vAlign w:val="center"/>
          </w:tcPr>
          <w:p w:rsidR="000C0AB5" w:rsidRDefault="00B948E6">
            <w:pPr>
              <w:jc w:val="left"/>
            </w:pPr>
            <w:r>
              <w:rPr>
                <w:rFonts w:eastAsiaTheme="minorEastAsia"/>
                <w:color w:val="000000" w:themeColor="text1"/>
                <w:szCs w:val="21"/>
              </w:rPr>
              <w:t>过去六个月</w:t>
            </w:r>
          </w:p>
        </w:tc>
        <w:tc>
          <w:tcPr>
            <w:tcW w:w="1291" w:type="dxa"/>
            <w:vAlign w:val="center"/>
          </w:tcPr>
          <w:p w:rsidR="000C0AB5" w:rsidRDefault="00B948E6">
            <w:pPr>
              <w:jc w:val="right"/>
            </w:pPr>
            <w:r>
              <w:rPr>
                <w:rFonts w:eastAsiaTheme="minorEastAsia"/>
                <w:color w:val="000000" w:themeColor="text1"/>
                <w:szCs w:val="21"/>
              </w:rPr>
              <w:t>1.39%</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-0.63%</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2.02%</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过去一年</w:t>
            </w:r>
          </w:p>
        </w:tc>
        <w:tc>
          <w:tcPr>
            <w:tcW w:w="1291" w:type="dxa"/>
            <w:vAlign w:val="center"/>
          </w:tcPr>
          <w:p w:rsidR="000C0AB5" w:rsidRDefault="00B948E6">
            <w:pPr>
              <w:jc w:val="right"/>
            </w:pPr>
            <w:r>
              <w:rPr>
                <w:rFonts w:eastAsiaTheme="minorEastAsia"/>
                <w:color w:val="000000" w:themeColor="text1"/>
                <w:szCs w:val="21"/>
              </w:rPr>
              <w:t>3.25%</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-0.30%</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3.55%</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过去三年</w:t>
            </w:r>
          </w:p>
        </w:tc>
        <w:tc>
          <w:tcPr>
            <w:tcW w:w="1291" w:type="dxa"/>
            <w:vAlign w:val="center"/>
          </w:tcPr>
          <w:p w:rsidR="000C0AB5" w:rsidRDefault="00B948E6">
            <w:pPr>
              <w:jc w:val="right"/>
            </w:pPr>
            <w:r>
              <w:rPr>
                <w:rFonts w:eastAsiaTheme="minorEastAsia"/>
                <w:color w:val="000000" w:themeColor="text1"/>
                <w:szCs w:val="21"/>
              </w:rPr>
              <w:t>8.62%</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-2.21%</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10.83%</w:t>
            </w:r>
          </w:p>
        </w:tc>
        <w:tc>
          <w:tcPr>
            <w:tcW w:w="1291" w:type="dxa"/>
            <w:vAlign w:val="center"/>
          </w:tcPr>
          <w:p w:rsidR="000C0AB5" w:rsidRDefault="00B948E6">
            <w:pPr>
              <w:jc w:val="right"/>
            </w:pPr>
            <w:r>
              <w:rPr>
                <w:rFonts w:eastAsiaTheme="minorEastAsia"/>
                <w:color w:val="000000" w:themeColor="text1"/>
                <w:szCs w:val="21"/>
              </w:rPr>
              <w:t>-0.01%</w:t>
            </w:r>
          </w:p>
        </w:tc>
      </w:tr>
      <w:tr w:rsidR="000C0AB5">
        <w:tc>
          <w:tcPr>
            <w:tcW w:w="1290" w:type="dxa"/>
            <w:vAlign w:val="center"/>
          </w:tcPr>
          <w:p w:rsidR="000C0AB5" w:rsidRDefault="00B948E6">
            <w:pPr>
              <w:jc w:val="left"/>
            </w:pPr>
            <w:r>
              <w:rPr>
                <w:rFonts w:eastAsiaTheme="minorEastAsia"/>
                <w:color w:val="000000" w:themeColor="text1"/>
                <w:szCs w:val="21"/>
              </w:rPr>
              <w:t>过去五年</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c>
          <w:tcPr>
            <w:tcW w:w="1291" w:type="dxa"/>
            <w:vAlign w:val="center"/>
          </w:tcPr>
          <w:p w:rsidR="000C0AB5" w:rsidRDefault="00B948E6">
            <w:pPr>
              <w:jc w:val="right"/>
            </w:pPr>
            <w:r>
              <w:rPr>
                <w:rFonts w:eastAsiaTheme="minorEastAsia"/>
                <w:color w:val="000000" w:themeColor="text1"/>
                <w:szCs w:val="21"/>
              </w:rPr>
              <w:t>-</w:t>
            </w:r>
          </w:p>
        </w:tc>
      </w:tr>
      <w:tr w:rsidR="000C0AB5">
        <w:tc>
          <w:tcPr>
            <w:tcW w:w="1290" w:type="dxa"/>
            <w:vAlign w:val="center"/>
          </w:tcPr>
          <w:p w:rsidR="000C0AB5" w:rsidRDefault="00B948E6">
            <w:pPr>
              <w:jc w:val="left"/>
            </w:pPr>
            <w:r>
              <w:rPr>
                <w:rFonts w:eastAsiaTheme="minorEastAsia"/>
                <w:color w:val="000000" w:themeColor="text1"/>
                <w:szCs w:val="21"/>
              </w:rPr>
              <w:t>自基金合同生效起至今</w:t>
            </w:r>
          </w:p>
        </w:tc>
        <w:tc>
          <w:tcPr>
            <w:tcW w:w="1291" w:type="dxa"/>
            <w:vAlign w:val="center"/>
          </w:tcPr>
          <w:p w:rsidR="000C0AB5" w:rsidRDefault="00B948E6">
            <w:pPr>
              <w:jc w:val="right"/>
            </w:pPr>
            <w:r>
              <w:rPr>
                <w:rFonts w:eastAsiaTheme="minorEastAsia"/>
                <w:color w:val="000000" w:themeColor="text1"/>
                <w:szCs w:val="21"/>
              </w:rPr>
              <w:t>8.88%</w:t>
            </w:r>
          </w:p>
        </w:tc>
        <w:tc>
          <w:tcPr>
            <w:tcW w:w="1291" w:type="dxa"/>
            <w:vAlign w:val="center"/>
          </w:tcPr>
          <w:p w:rsidR="000C0AB5" w:rsidRDefault="00B948E6">
            <w:pPr>
              <w:jc w:val="right"/>
            </w:pPr>
            <w:r>
              <w:rPr>
                <w:rFonts w:eastAsiaTheme="minorEastAsia"/>
                <w:color w:val="000000" w:themeColor="text1"/>
                <w:szCs w:val="21"/>
              </w:rPr>
              <w:t>0.05%</w:t>
            </w:r>
          </w:p>
        </w:tc>
        <w:tc>
          <w:tcPr>
            <w:tcW w:w="1291" w:type="dxa"/>
            <w:vAlign w:val="center"/>
          </w:tcPr>
          <w:p w:rsidR="000C0AB5" w:rsidRDefault="00B948E6">
            <w:pPr>
              <w:jc w:val="right"/>
            </w:pPr>
            <w:r>
              <w:rPr>
                <w:rFonts w:eastAsiaTheme="minorEastAsia"/>
                <w:color w:val="000000" w:themeColor="text1"/>
                <w:szCs w:val="21"/>
              </w:rPr>
              <w:t>-2.57%</w:t>
            </w:r>
          </w:p>
        </w:tc>
        <w:tc>
          <w:tcPr>
            <w:tcW w:w="1291" w:type="dxa"/>
            <w:vAlign w:val="center"/>
          </w:tcPr>
          <w:p w:rsidR="000C0AB5" w:rsidRDefault="00B948E6">
            <w:pPr>
              <w:jc w:val="right"/>
            </w:pPr>
            <w:r>
              <w:rPr>
                <w:rFonts w:eastAsiaTheme="minorEastAsia"/>
                <w:color w:val="000000" w:themeColor="text1"/>
                <w:szCs w:val="21"/>
              </w:rPr>
              <w:t>0.06%</w:t>
            </w:r>
          </w:p>
        </w:tc>
        <w:tc>
          <w:tcPr>
            <w:tcW w:w="1291" w:type="dxa"/>
            <w:vAlign w:val="center"/>
          </w:tcPr>
          <w:p w:rsidR="000C0AB5" w:rsidRDefault="00B948E6">
            <w:pPr>
              <w:jc w:val="right"/>
            </w:pPr>
            <w:r>
              <w:rPr>
                <w:rFonts w:eastAsiaTheme="minorEastAsia"/>
                <w:color w:val="000000" w:themeColor="text1"/>
                <w:szCs w:val="21"/>
              </w:rPr>
              <w:t>11.45%</w:t>
            </w:r>
          </w:p>
        </w:tc>
        <w:tc>
          <w:tcPr>
            <w:tcW w:w="1291" w:type="dxa"/>
            <w:vAlign w:val="center"/>
          </w:tcPr>
          <w:p w:rsidR="000C0AB5" w:rsidRDefault="00B948E6">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C0AB5" w:rsidRDefault="00B948E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0C0AB5">
        <w:tc>
          <w:tcPr>
            <w:tcW w:w="952" w:type="dxa"/>
            <w:vAlign w:val="center"/>
          </w:tcPr>
          <w:p w:rsidR="000C0AB5" w:rsidRDefault="00B948E6">
            <w:pPr>
              <w:jc w:val="center"/>
            </w:pPr>
            <w:r>
              <w:rPr>
                <w:rFonts w:eastAsiaTheme="minorEastAsia"/>
                <w:color w:val="000000" w:themeColor="text1"/>
                <w:sz w:val="24"/>
              </w:rPr>
              <w:t>文雪婷</w:t>
            </w:r>
          </w:p>
        </w:tc>
        <w:tc>
          <w:tcPr>
            <w:tcW w:w="930" w:type="dxa"/>
            <w:vAlign w:val="center"/>
          </w:tcPr>
          <w:p w:rsidR="000C0AB5" w:rsidRDefault="00B948E6">
            <w:pPr>
              <w:jc w:val="center"/>
            </w:pPr>
            <w:r>
              <w:rPr>
                <w:rFonts w:eastAsiaTheme="minorEastAsia"/>
                <w:color w:val="000000" w:themeColor="text1"/>
                <w:sz w:val="24"/>
              </w:rPr>
              <w:t>本基金基金经理</w:t>
            </w:r>
          </w:p>
        </w:tc>
        <w:tc>
          <w:tcPr>
            <w:tcW w:w="1210" w:type="dxa"/>
            <w:vAlign w:val="center"/>
          </w:tcPr>
          <w:p w:rsidR="000C0AB5" w:rsidRDefault="00B948E6">
            <w:pPr>
              <w:jc w:val="center"/>
            </w:pPr>
            <w:r>
              <w:rPr>
                <w:rFonts w:eastAsiaTheme="minorEastAsia"/>
                <w:color w:val="000000" w:themeColor="text1"/>
                <w:sz w:val="24"/>
              </w:rPr>
              <w:t>2024-06-03</w:t>
            </w:r>
          </w:p>
        </w:tc>
        <w:tc>
          <w:tcPr>
            <w:tcW w:w="1309" w:type="dxa"/>
            <w:vAlign w:val="center"/>
          </w:tcPr>
          <w:p w:rsidR="000C0AB5" w:rsidRDefault="00B948E6">
            <w:pPr>
              <w:jc w:val="center"/>
            </w:pPr>
            <w:r>
              <w:rPr>
                <w:rFonts w:eastAsiaTheme="minorEastAsia"/>
                <w:color w:val="000000" w:themeColor="text1"/>
                <w:sz w:val="24"/>
              </w:rPr>
              <w:t>-</w:t>
            </w:r>
          </w:p>
        </w:tc>
        <w:tc>
          <w:tcPr>
            <w:tcW w:w="1254" w:type="dxa"/>
            <w:vAlign w:val="center"/>
          </w:tcPr>
          <w:p w:rsidR="000C0AB5" w:rsidRDefault="00B948E6">
            <w:pPr>
              <w:jc w:val="center"/>
            </w:pPr>
            <w:r>
              <w:rPr>
                <w:rFonts w:eastAsiaTheme="minorEastAsia"/>
                <w:color w:val="000000" w:themeColor="text1"/>
                <w:sz w:val="24"/>
              </w:rPr>
              <w:t>7</w:t>
            </w:r>
            <w:r>
              <w:rPr>
                <w:rFonts w:eastAsiaTheme="minorEastAsia"/>
                <w:color w:val="000000" w:themeColor="text1"/>
                <w:sz w:val="24"/>
              </w:rPr>
              <w:t>年</w:t>
            </w:r>
          </w:p>
        </w:tc>
        <w:tc>
          <w:tcPr>
            <w:tcW w:w="3276" w:type="dxa"/>
            <w:vAlign w:val="center"/>
          </w:tcPr>
          <w:p w:rsidR="000C0AB5" w:rsidRDefault="00B948E6">
            <w:r>
              <w:rPr>
                <w:rFonts w:eastAsiaTheme="minorEastAsia"/>
                <w:color w:val="000000" w:themeColor="text1"/>
                <w:sz w:val="24"/>
              </w:rPr>
              <w:t>文雪婷女士曾任泰康资产管理有限责任公司资产配置研究高级经理；自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月加入摩根基金管理（中国）有限公司（原上投摩根基金管理有限公司），历任宏观研究员、基金经理助理</w:t>
            </w:r>
            <w:r>
              <w:rPr>
                <w:rFonts w:eastAsiaTheme="minorEastAsia"/>
                <w:color w:val="000000" w:themeColor="text1"/>
                <w:sz w:val="24"/>
              </w:rPr>
              <w:t>/</w:t>
            </w:r>
            <w:r>
              <w:rPr>
                <w:rFonts w:eastAsiaTheme="minorEastAsia"/>
                <w:color w:val="000000" w:themeColor="text1"/>
                <w:sz w:val="24"/>
              </w:rPr>
              <w:t>宏观研究员，现任基金经理。</w:t>
            </w:r>
          </w:p>
        </w:tc>
      </w:tr>
    </w:tbl>
    <w:p w:rsidR="000C0AB5" w:rsidRDefault="00B948E6">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lastRenderedPageBreak/>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2024</w:t>
      </w:r>
      <w:r>
        <w:rPr>
          <w:rFonts w:eastAsiaTheme="minorEastAsia"/>
          <w:color w:val="000000" w:themeColor="text1"/>
          <w:kern w:val="0"/>
          <w:sz w:val="24"/>
        </w:rPr>
        <w:t>年</w:t>
      </w:r>
      <w:r>
        <w:rPr>
          <w:rFonts w:eastAsiaTheme="minorEastAsia"/>
          <w:color w:val="000000" w:themeColor="text1"/>
          <w:kern w:val="0"/>
          <w:sz w:val="24"/>
        </w:rPr>
        <w:t>3</w:t>
      </w:r>
      <w:r>
        <w:rPr>
          <w:rFonts w:eastAsiaTheme="minorEastAsia"/>
          <w:color w:val="000000" w:themeColor="text1"/>
          <w:kern w:val="0"/>
          <w:sz w:val="24"/>
        </w:rPr>
        <w:t>季度，美联储</w:t>
      </w:r>
      <w:r>
        <w:rPr>
          <w:rFonts w:eastAsiaTheme="minorEastAsia"/>
          <w:color w:val="000000" w:themeColor="text1"/>
          <w:kern w:val="0"/>
          <w:sz w:val="24"/>
        </w:rPr>
        <w:t>9</w:t>
      </w:r>
      <w:r>
        <w:rPr>
          <w:rFonts w:eastAsiaTheme="minorEastAsia"/>
          <w:color w:val="000000" w:themeColor="text1"/>
          <w:kern w:val="0"/>
          <w:sz w:val="24"/>
        </w:rPr>
        <w:t>月超预期降息</w:t>
      </w:r>
      <w:r>
        <w:rPr>
          <w:rFonts w:eastAsiaTheme="minorEastAsia"/>
          <w:color w:val="000000" w:themeColor="text1"/>
          <w:kern w:val="0"/>
          <w:sz w:val="24"/>
        </w:rPr>
        <w:t>50BP</w:t>
      </w:r>
      <w:r>
        <w:rPr>
          <w:rFonts w:eastAsiaTheme="minorEastAsia"/>
          <w:color w:val="000000" w:themeColor="text1"/>
          <w:kern w:val="0"/>
          <w:sz w:val="24"/>
        </w:rPr>
        <w:t>，在一定程度上缓解了国内货币政策的外部压力。</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三季度政策对债券市场的影响较大。</w:t>
      </w:r>
      <w:r>
        <w:rPr>
          <w:rFonts w:eastAsiaTheme="minorEastAsia"/>
          <w:color w:val="000000" w:themeColor="text1"/>
          <w:kern w:val="0"/>
          <w:sz w:val="24"/>
        </w:rPr>
        <w:t>7</w:t>
      </w:r>
      <w:r>
        <w:rPr>
          <w:rFonts w:eastAsiaTheme="minorEastAsia"/>
          <w:color w:val="000000" w:themeColor="text1"/>
          <w:kern w:val="0"/>
          <w:sz w:val="24"/>
        </w:rPr>
        <w:t>月央行公告借券卖出，驱动收益率快速上行，但操作迟迟未落地，经济数据驱动债券收益率再度下行突破前低。</w:t>
      </w:r>
      <w:r>
        <w:rPr>
          <w:rFonts w:eastAsiaTheme="minorEastAsia"/>
          <w:color w:val="000000" w:themeColor="text1"/>
          <w:kern w:val="0"/>
          <w:sz w:val="24"/>
        </w:rPr>
        <w:t>8</w:t>
      </w:r>
      <w:r>
        <w:rPr>
          <w:rFonts w:eastAsiaTheme="minorEastAsia"/>
          <w:color w:val="000000" w:themeColor="text1"/>
          <w:kern w:val="0"/>
          <w:sz w:val="24"/>
        </w:rPr>
        <w:t>月初，国有大行卖出长久期债券，市场对于债券牛市持续的预期发生变化，长端收益率明显调整。</w:t>
      </w:r>
      <w:r>
        <w:rPr>
          <w:rFonts w:eastAsiaTheme="minorEastAsia"/>
          <w:color w:val="000000" w:themeColor="text1"/>
          <w:kern w:val="0"/>
          <w:sz w:val="24"/>
        </w:rPr>
        <w:t>8</w:t>
      </w:r>
      <w:r>
        <w:rPr>
          <w:rFonts w:eastAsiaTheme="minorEastAsia"/>
          <w:color w:val="000000" w:themeColor="text1"/>
          <w:kern w:val="0"/>
          <w:sz w:val="24"/>
        </w:rPr>
        <w:t>月</w:t>
      </w:r>
      <w:r>
        <w:rPr>
          <w:rFonts w:eastAsiaTheme="minorEastAsia"/>
          <w:color w:val="000000" w:themeColor="text1"/>
          <w:kern w:val="0"/>
          <w:sz w:val="24"/>
        </w:rPr>
        <w:t>21</w:t>
      </w:r>
      <w:r>
        <w:rPr>
          <w:rFonts w:eastAsiaTheme="minorEastAsia"/>
          <w:color w:val="000000" w:themeColor="text1"/>
          <w:kern w:val="0"/>
          <w:sz w:val="24"/>
        </w:rPr>
        <w:t>日央行提示机构应做好长端国债收益率波动的压力测试，债券收益率的调整明显缓解。</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24</w:t>
      </w:r>
      <w:r>
        <w:rPr>
          <w:rFonts w:eastAsiaTheme="minorEastAsia"/>
          <w:color w:val="000000" w:themeColor="text1"/>
          <w:kern w:val="0"/>
          <w:sz w:val="24"/>
        </w:rPr>
        <w:t>日国务院牵头中国人民银行、金融监管总局和中国证监会召开发布会，公布包括降准降息、降低存量按揭利率、创设货币政策工具、补充大行资本等一系列超常规政策。</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26</w:t>
      </w:r>
      <w:r>
        <w:rPr>
          <w:rFonts w:eastAsiaTheme="minorEastAsia"/>
          <w:color w:val="000000" w:themeColor="text1"/>
          <w:kern w:val="0"/>
          <w:sz w:val="24"/>
        </w:rPr>
        <w:t>日中央政治局会议分析当前经济形势，对经济关切</w:t>
      </w:r>
      <w:r>
        <w:rPr>
          <w:rFonts w:eastAsiaTheme="minorEastAsia"/>
          <w:color w:val="000000" w:themeColor="text1"/>
          <w:kern w:val="0"/>
          <w:sz w:val="24"/>
        </w:rPr>
        <w:t>程度超预期。在传统</w:t>
      </w:r>
      <w:r>
        <w:rPr>
          <w:rFonts w:eastAsiaTheme="minorEastAsia"/>
          <w:color w:val="000000" w:themeColor="text1"/>
          <w:kern w:val="0"/>
          <w:sz w:val="24"/>
        </w:rPr>
        <w:t>“</w:t>
      </w:r>
      <w:r>
        <w:rPr>
          <w:rFonts w:eastAsiaTheme="minorEastAsia"/>
          <w:color w:val="000000" w:themeColor="text1"/>
          <w:kern w:val="0"/>
          <w:sz w:val="24"/>
        </w:rPr>
        <w:t>逆周期调节</w:t>
      </w:r>
      <w:r>
        <w:rPr>
          <w:rFonts w:eastAsiaTheme="minorEastAsia"/>
          <w:color w:val="000000" w:themeColor="text1"/>
          <w:kern w:val="0"/>
          <w:sz w:val="24"/>
        </w:rPr>
        <w:t>”</w:t>
      </w:r>
      <w:r>
        <w:rPr>
          <w:rFonts w:eastAsiaTheme="minorEastAsia"/>
          <w:color w:val="000000" w:themeColor="text1"/>
          <w:kern w:val="0"/>
          <w:sz w:val="24"/>
        </w:rPr>
        <w:t>稳定经济的定调上，明确</w:t>
      </w:r>
      <w:r>
        <w:rPr>
          <w:rFonts w:eastAsiaTheme="minorEastAsia"/>
          <w:color w:val="000000" w:themeColor="text1"/>
          <w:kern w:val="0"/>
          <w:sz w:val="24"/>
        </w:rPr>
        <w:t>“</w:t>
      </w:r>
      <w:r>
        <w:rPr>
          <w:rFonts w:eastAsiaTheme="minorEastAsia"/>
          <w:color w:val="000000" w:themeColor="text1"/>
          <w:kern w:val="0"/>
          <w:sz w:val="24"/>
        </w:rPr>
        <w:t>加大财政货币政策力度</w:t>
      </w:r>
      <w:r>
        <w:rPr>
          <w:rFonts w:eastAsiaTheme="minorEastAsia"/>
          <w:color w:val="000000" w:themeColor="text1"/>
          <w:kern w:val="0"/>
          <w:sz w:val="24"/>
        </w:rPr>
        <w:t>”</w:t>
      </w:r>
      <w:r>
        <w:rPr>
          <w:rFonts w:eastAsiaTheme="minorEastAsia"/>
          <w:color w:val="000000" w:themeColor="text1"/>
          <w:kern w:val="0"/>
          <w:sz w:val="24"/>
        </w:rPr>
        <w:t>，明确要</w:t>
      </w:r>
      <w:r>
        <w:rPr>
          <w:rFonts w:eastAsiaTheme="minorEastAsia"/>
          <w:color w:val="000000" w:themeColor="text1"/>
          <w:kern w:val="0"/>
          <w:sz w:val="24"/>
        </w:rPr>
        <w:t>“</w:t>
      </w:r>
      <w:r>
        <w:rPr>
          <w:rFonts w:eastAsiaTheme="minorEastAsia"/>
          <w:color w:val="000000" w:themeColor="text1"/>
          <w:kern w:val="0"/>
          <w:sz w:val="24"/>
        </w:rPr>
        <w:t>保证必要的财政支出</w:t>
      </w:r>
      <w:r>
        <w:rPr>
          <w:rFonts w:eastAsiaTheme="minorEastAsia"/>
          <w:color w:val="000000" w:themeColor="text1"/>
          <w:kern w:val="0"/>
          <w:sz w:val="24"/>
        </w:rPr>
        <w:t>”</w:t>
      </w:r>
      <w:r>
        <w:rPr>
          <w:rFonts w:eastAsiaTheme="minorEastAsia"/>
          <w:color w:val="000000" w:themeColor="text1"/>
          <w:kern w:val="0"/>
          <w:sz w:val="24"/>
        </w:rPr>
        <w:t>，扭转了市场对于财政政策的预期。同时提出要</w:t>
      </w:r>
      <w:r>
        <w:rPr>
          <w:rFonts w:eastAsiaTheme="minorEastAsia"/>
          <w:color w:val="000000" w:themeColor="text1"/>
          <w:kern w:val="0"/>
          <w:sz w:val="24"/>
        </w:rPr>
        <w:t>“</w:t>
      </w:r>
      <w:r>
        <w:rPr>
          <w:rFonts w:eastAsiaTheme="minorEastAsia"/>
          <w:color w:val="000000" w:themeColor="text1"/>
          <w:kern w:val="0"/>
          <w:sz w:val="24"/>
        </w:rPr>
        <w:t>促进房地产市场止跌回稳</w:t>
      </w:r>
      <w:r>
        <w:rPr>
          <w:rFonts w:eastAsiaTheme="minorEastAsia"/>
          <w:color w:val="000000" w:themeColor="text1"/>
          <w:kern w:val="0"/>
          <w:sz w:val="24"/>
        </w:rPr>
        <w:t>”</w:t>
      </w:r>
      <w:r>
        <w:rPr>
          <w:rFonts w:eastAsiaTheme="minorEastAsia"/>
          <w:color w:val="000000" w:themeColor="text1"/>
          <w:kern w:val="0"/>
          <w:sz w:val="24"/>
        </w:rPr>
        <w:t>，后续出台了一系列一线城市的地产放松政策。这些超预期的表态，驱动市场风险偏好抬升，驱动债券收益率明显调整突破前高。</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三季度在市场波动幅度较大的背景下，我们努力保持久期操作的灵活性，在</w:t>
      </w:r>
      <w:r>
        <w:rPr>
          <w:rFonts w:eastAsiaTheme="minorEastAsia"/>
          <w:color w:val="000000" w:themeColor="text1"/>
          <w:kern w:val="0"/>
          <w:sz w:val="24"/>
        </w:rPr>
        <w:t>9</w:t>
      </w:r>
      <w:r>
        <w:rPr>
          <w:rFonts w:eastAsiaTheme="minorEastAsia"/>
          <w:color w:val="000000" w:themeColor="text1"/>
          <w:kern w:val="0"/>
          <w:sz w:val="24"/>
        </w:rPr>
        <w:t>月政治局会议表态后降低了久期。</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展望四季度，有三个变量需要密切观察。首先是机构行为，进入四季度机构是否有明显的止盈操作，是否会带来赎回负反馈。其次是财政</w:t>
      </w:r>
      <w:r>
        <w:rPr>
          <w:rFonts w:eastAsiaTheme="minorEastAsia"/>
          <w:color w:val="000000" w:themeColor="text1"/>
          <w:kern w:val="0"/>
          <w:sz w:val="24"/>
        </w:rPr>
        <w:t>政策，相比于市场预期的增发</w:t>
      </w:r>
      <w:r>
        <w:rPr>
          <w:rFonts w:eastAsiaTheme="minorEastAsia"/>
          <w:color w:val="000000" w:themeColor="text1"/>
          <w:kern w:val="0"/>
          <w:sz w:val="24"/>
        </w:rPr>
        <w:t>2</w:t>
      </w:r>
      <w:r>
        <w:rPr>
          <w:rFonts w:eastAsiaTheme="minorEastAsia"/>
          <w:color w:val="000000" w:themeColor="text1"/>
          <w:kern w:val="0"/>
          <w:sz w:val="24"/>
        </w:rPr>
        <w:t>万亿政府债是否有明显变化。三是地产市场，地产是否有明显企稳</w:t>
      </w:r>
      <w:r>
        <w:rPr>
          <w:rFonts w:eastAsiaTheme="minorEastAsia"/>
          <w:color w:val="000000" w:themeColor="text1"/>
          <w:kern w:val="0"/>
          <w:sz w:val="24"/>
        </w:rPr>
        <w:lastRenderedPageBreak/>
        <w:t>或直接决定了宏观经济大背景，密切跟踪地产成交和房价是否有明显企稳很关键。</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我们将对上述重要变量保持紧密跟踪，灵活应对。</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0C0AB5" w:rsidRDefault="00B948E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本报告期摩根中债</w:t>
      </w:r>
      <w:r>
        <w:rPr>
          <w:rFonts w:eastAsiaTheme="minorEastAsia"/>
          <w:color w:val="000000" w:themeColor="text1"/>
          <w:kern w:val="0"/>
          <w:sz w:val="24"/>
        </w:rPr>
        <w:t>1-3</w:t>
      </w:r>
      <w:r>
        <w:rPr>
          <w:rFonts w:eastAsiaTheme="minorEastAsia"/>
          <w:color w:val="000000" w:themeColor="text1"/>
          <w:kern w:val="0"/>
          <w:sz w:val="24"/>
        </w:rPr>
        <w:t>年国开行</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:0.40%</w:t>
      </w:r>
      <w:r>
        <w:rPr>
          <w:rFonts w:eastAsiaTheme="minorEastAsia"/>
          <w:color w:val="000000" w:themeColor="text1"/>
          <w:kern w:val="0"/>
          <w:sz w:val="24"/>
        </w:rPr>
        <w:t>，同期业绩比较基准收益率为</w:t>
      </w:r>
      <w:r>
        <w:rPr>
          <w:rFonts w:eastAsiaTheme="minorEastAsia"/>
          <w:color w:val="000000" w:themeColor="text1"/>
          <w:kern w:val="0"/>
          <w:sz w:val="24"/>
        </w:rPr>
        <w:t>:-0.50%</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:0.39%</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:-0.50%</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174,620,183.66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93.04</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174,620,183.66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93.04</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12,289,676.57</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6.55</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769,808.28</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0.41</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187,679,668.51</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11,647,986.40</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6.96</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162,972,197.26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97.35</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162,972,197.26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97.35</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174,620,183.66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104.31</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0C0AB5">
        <w:tc>
          <w:tcPr>
            <w:tcW w:w="1252" w:type="dxa"/>
            <w:vAlign w:val="center"/>
          </w:tcPr>
          <w:p w:rsidR="000C0AB5" w:rsidRDefault="00B948E6">
            <w:pPr>
              <w:jc w:val="center"/>
            </w:pPr>
            <w:r>
              <w:rPr>
                <w:rFonts w:eastAsiaTheme="minorEastAsia"/>
                <w:color w:val="000000" w:themeColor="text1"/>
                <w:sz w:val="24"/>
              </w:rPr>
              <w:t>1</w:t>
            </w:r>
          </w:p>
        </w:tc>
        <w:tc>
          <w:tcPr>
            <w:tcW w:w="1310" w:type="dxa"/>
            <w:vAlign w:val="center"/>
          </w:tcPr>
          <w:p w:rsidR="000C0AB5" w:rsidRDefault="00B948E6">
            <w:pPr>
              <w:jc w:val="center"/>
            </w:pPr>
            <w:r>
              <w:rPr>
                <w:rFonts w:eastAsiaTheme="minorEastAsia"/>
                <w:color w:val="000000" w:themeColor="text1"/>
                <w:sz w:val="24"/>
              </w:rPr>
              <w:t>230207</w:t>
            </w:r>
          </w:p>
        </w:tc>
        <w:tc>
          <w:tcPr>
            <w:tcW w:w="1282" w:type="dxa"/>
            <w:vAlign w:val="center"/>
          </w:tcPr>
          <w:p w:rsidR="000C0AB5" w:rsidRDefault="00B948E6">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0C0AB5" w:rsidRDefault="00B948E6">
            <w:pPr>
              <w:jc w:val="right"/>
            </w:pPr>
            <w:r>
              <w:rPr>
                <w:rFonts w:eastAsiaTheme="minorEastAsia"/>
                <w:color w:val="000000" w:themeColor="text1"/>
                <w:sz w:val="24"/>
              </w:rPr>
              <w:t>800,000</w:t>
            </w:r>
          </w:p>
        </w:tc>
        <w:tc>
          <w:tcPr>
            <w:tcW w:w="1646" w:type="dxa"/>
            <w:vAlign w:val="center"/>
          </w:tcPr>
          <w:p w:rsidR="000C0AB5" w:rsidRDefault="00B948E6">
            <w:pPr>
              <w:jc w:val="right"/>
            </w:pPr>
            <w:r>
              <w:rPr>
                <w:rFonts w:eastAsiaTheme="minorEastAsia"/>
                <w:color w:val="000000" w:themeColor="text1"/>
                <w:sz w:val="24"/>
              </w:rPr>
              <w:t>81,077,041.10</w:t>
            </w:r>
          </w:p>
        </w:tc>
        <w:tc>
          <w:tcPr>
            <w:tcW w:w="1612" w:type="dxa"/>
            <w:vAlign w:val="center"/>
          </w:tcPr>
          <w:p w:rsidR="000C0AB5" w:rsidRDefault="00B948E6">
            <w:pPr>
              <w:jc w:val="right"/>
            </w:pPr>
            <w:r>
              <w:rPr>
                <w:rFonts w:eastAsiaTheme="minorEastAsia"/>
                <w:color w:val="000000" w:themeColor="text1"/>
                <w:sz w:val="24"/>
              </w:rPr>
              <w:t>48.43</w:t>
            </w:r>
          </w:p>
        </w:tc>
      </w:tr>
      <w:tr w:rsidR="000C0AB5">
        <w:tc>
          <w:tcPr>
            <w:tcW w:w="1252" w:type="dxa"/>
            <w:vAlign w:val="center"/>
          </w:tcPr>
          <w:p w:rsidR="000C0AB5" w:rsidRDefault="00B948E6">
            <w:pPr>
              <w:jc w:val="center"/>
            </w:pPr>
            <w:r>
              <w:rPr>
                <w:rFonts w:eastAsiaTheme="minorEastAsia"/>
                <w:color w:val="000000" w:themeColor="text1"/>
                <w:sz w:val="24"/>
              </w:rPr>
              <w:t>2</w:t>
            </w:r>
          </w:p>
        </w:tc>
        <w:tc>
          <w:tcPr>
            <w:tcW w:w="1310" w:type="dxa"/>
            <w:vAlign w:val="center"/>
          </w:tcPr>
          <w:p w:rsidR="000C0AB5" w:rsidRDefault="00B948E6">
            <w:pPr>
              <w:jc w:val="center"/>
            </w:pPr>
            <w:r>
              <w:rPr>
                <w:rFonts w:eastAsiaTheme="minorEastAsia"/>
                <w:color w:val="000000" w:themeColor="text1"/>
                <w:sz w:val="24"/>
              </w:rPr>
              <w:t>210208</w:t>
            </w:r>
          </w:p>
        </w:tc>
        <w:tc>
          <w:tcPr>
            <w:tcW w:w="1282" w:type="dxa"/>
            <w:vAlign w:val="center"/>
          </w:tcPr>
          <w:p w:rsidR="000C0AB5" w:rsidRDefault="00B948E6">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0C0AB5" w:rsidRDefault="00B948E6">
            <w:pPr>
              <w:jc w:val="right"/>
            </w:pPr>
            <w:r>
              <w:rPr>
                <w:rFonts w:eastAsiaTheme="minorEastAsia"/>
                <w:color w:val="000000" w:themeColor="text1"/>
                <w:sz w:val="24"/>
              </w:rPr>
              <w:t>500,000</w:t>
            </w:r>
          </w:p>
        </w:tc>
        <w:tc>
          <w:tcPr>
            <w:tcW w:w="1646" w:type="dxa"/>
            <w:vAlign w:val="center"/>
          </w:tcPr>
          <w:p w:rsidR="000C0AB5" w:rsidRDefault="00B948E6">
            <w:pPr>
              <w:jc w:val="right"/>
            </w:pPr>
            <w:r>
              <w:rPr>
                <w:rFonts w:eastAsiaTheme="minorEastAsia"/>
                <w:color w:val="000000" w:themeColor="text1"/>
                <w:sz w:val="24"/>
              </w:rPr>
              <w:t>51,066,410.96</w:t>
            </w:r>
          </w:p>
        </w:tc>
        <w:tc>
          <w:tcPr>
            <w:tcW w:w="1612" w:type="dxa"/>
            <w:vAlign w:val="center"/>
          </w:tcPr>
          <w:p w:rsidR="000C0AB5" w:rsidRDefault="00B948E6">
            <w:pPr>
              <w:jc w:val="right"/>
            </w:pPr>
            <w:r>
              <w:rPr>
                <w:rFonts w:eastAsiaTheme="minorEastAsia"/>
                <w:color w:val="000000" w:themeColor="text1"/>
                <w:sz w:val="24"/>
              </w:rPr>
              <w:t>30.50</w:t>
            </w:r>
          </w:p>
        </w:tc>
      </w:tr>
      <w:tr w:rsidR="000C0AB5">
        <w:tc>
          <w:tcPr>
            <w:tcW w:w="1252" w:type="dxa"/>
            <w:vAlign w:val="center"/>
          </w:tcPr>
          <w:p w:rsidR="000C0AB5" w:rsidRDefault="00B948E6">
            <w:pPr>
              <w:jc w:val="center"/>
            </w:pPr>
            <w:r>
              <w:rPr>
                <w:rFonts w:eastAsiaTheme="minorEastAsia"/>
                <w:color w:val="000000" w:themeColor="text1"/>
                <w:sz w:val="24"/>
              </w:rPr>
              <w:t>3</w:t>
            </w:r>
          </w:p>
        </w:tc>
        <w:tc>
          <w:tcPr>
            <w:tcW w:w="1310" w:type="dxa"/>
            <w:vAlign w:val="center"/>
          </w:tcPr>
          <w:p w:rsidR="000C0AB5" w:rsidRDefault="00B948E6">
            <w:pPr>
              <w:jc w:val="center"/>
            </w:pPr>
            <w:r>
              <w:rPr>
                <w:rFonts w:eastAsiaTheme="minorEastAsia"/>
                <w:color w:val="000000" w:themeColor="text1"/>
                <w:sz w:val="24"/>
              </w:rPr>
              <w:t>200208</w:t>
            </w:r>
          </w:p>
        </w:tc>
        <w:tc>
          <w:tcPr>
            <w:tcW w:w="1282" w:type="dxa"/>
            <w:vAlign w:val="center"/>
          </w:tcPr>
          <w:p w:rsidR="000C0AB5" w:rsidRDefault="00B948E6">
            <w:pPr>
              <w:jc w:val="center"/>
            </w:pPr>
            <w:r>
              <w:rPr>
                <w:rFonts w:eastAsiaTheme="minorEastAsia"/>
                <w:color w:val="000000" w:themeColor="text1"/>
                <w:sz w:val="24"/>
              </w:rPr>
              <w:t>20</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0C0AB5" w:rsidRDefault="00B948E6">
            <w:pPr>
              <w:jc w:val="right"/>
            </w:pPr>
            <w:r>
              <w:rPr>
                <w:rFonts w:eastAsiaTheme="minorEastAsia"/>
                <w:color w:val="000000" w:themeColor="text1"/>
                <w:sz w:val="24"/>
              </w:rPr>
              <w:t>100,000</w:t>
            </w:r>
          </w:p>
        </w:tc>
        <w:tc>
          <w:tcPr>
            <w:tcW w:w="1646" w:type="dxa"/>
            <w:vAlign w:val="center"/>
          </w:tcPr>
          <w:p w:rsidR="000C0AB5" w:rsidRDefault="00B948E6">
            <w:pPr>
              <w:jc w:val="right"/>
            </w:pPr>
            <w:r>
              <w:rPr>
                <w:rFonts w:eastAsiaTheme="minorEastAsia"/>
                <w:color w:val="000000" w:themeColor="text1"/>
                <w:sz w:val="24"/>
              </w:rPr>
              <w:t>10,166,969.86</w:t>
            </w:r>
          </w:p>
        </w:tc>
        <w:tc>
          <w:tcPr>
            <w:tcW w:w="1612" w:type="dxa"/>
            <w:vAlign w:val="center"/>
          </w:tcPr>
          <w:p w:rsidR="000C0AB5" w:rsidRDefault="00B948E6">
            <w:pPr>
              <w:jc w:val="right"/>
            </w:pPr>
            <w:r>
              <w:rPr>
                <w:rFonts w:eastAsiaTheme="minorEastAsia"/>
                <w:color w:val="000000" w:themeColor="text1"/>
                <w:sz w:val="24"/>
              </w:rPr>
              <w:t>6.07</w:t>
            </w:r>
          </w:p>
        </w:tc>
      </w:tr>
      <w:tr w:rsidR="000C0AB5">
        <w:tc>
          <w:tcPr>
            <w:tcW w:w="1252" w:type="dxa"/>
            <w:vAlign w:val="center"/>
          </w:tcPr>
          <w:p w:rsidR="000C0AB5" w:rsidRDefault="00B948E6">
            <w:pPr>
              <w:jc w:val="center"/>
            </w:pPr>
            <w:r>
              <w:rPr>
                <w:rFonts w:eastAsiaTheme="minorEastAsia"/>
                <w:color w:val="000000" w:themeColor="text1"/>
                <w:sz w:val="24"/>
              </w:rPr>
              <w:t>4</w:t>
            </w:r>
          </w:p>
        </w:tc>
        <w:tc>
          <w:tcPr>
            <w:tcW w:w="1310" w:type="dxa"/>
            <w:vAlign w:val="center"/>
          </w:tcPr>
          <w:p w:rsidR="000C0AB5" w:rsidRDefault="00B948E6">
            <w:pPr>
              <w:jc w:val="center"/>
            </w:pPr>
            <w:r>
              <w:rPr>
                <w:rFonts w:eastAsiaTheme="minorEastAsia"/>
                <w:color w:val="000000" w:themeColor="text1"/>
                <w:sz w:val="24"/>
              </w:rPr>
              <w:t>210210</w:t>
            </w:r>
          </w:p>
        </w:tc>
        <w:tc>
          <w:tcPr>
            <w:tcW w:w="1282" w:type="dxa"/>
            <w:vAlign w:val="center"/>
          </w:tcPr>
          <w:p w:rsidR="000C0AB5" w:rsidRDefault="00B948E6">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10</w:t>
            </w:r>
          </w:p>
        </w:tc>
        <w:tc>
          <w:tcPr>
            <w:tcW w:w="1426" w:type="dxa"/>
            <w:vAlign w:val="center"/>
          </w:tcPr>
          <w:p w:rsidR="000C0AB5" w:rsidRDefault="00B948E6">
            <w:pPr>
              <w:jc w:val="right"/>
            </w:pPr>
            <w:r>
              <w:rPr>
                <w:rFonts w:eastAsiaTheme="minorEastAsia"/>
                <w:color w:val="000000" w:themeColor="text1"/>
                <w:sz w:val="24"/>
              </w:rPr>
              <w:t>50,000</w:t>
            </w:r>
          </w:p>
        </w:tc>
        <w:tc>
          <w:tcPr>
            <w:tcW w:w="1646" w:type="dxa"/>
            <w:vAlign w:val="center"/>
          </w:tcPr>
          <w:p w:rsidR="000C0AB5" w:rsidRDefault="00B948E6">
            <w:pPr>
              <w:jc w:val="right"/>
            </w:pPr>
            <w:r>
              <w:rPr>
                <w:rFonts w:eastAsiaTheme="minorEastAsia"/>
                <w:color w:val="000000" w:themeColor="text1"/>
                <w:sz w:val="24"/>
              </w:rPr>
              <w:t>5,442,186.30</w:t>
            </w:r>
          </w:p>
        </w:tc>
        <w:tc>
          <w:tcPr>
            <w:tcW w:w="1612" w:type="dxa"/>
            <w:vAlign w:val="center"/>
          </w:tcPr>
          <w:p w:rsidR="000C0AB5" w:rsidRDefault="00B948E6">
            <w:pPr>
              <w:jc w:val="right"/>
            </w:pPr>
            <w:r>
              <w:rPr>
                <w:rFonts w:eastAsiaTheme="minorEastAsia"/>
                <w:color w:val="000000" w:themeColor="text1"/>
                <w:sz w:val="24"/>
              </w:rPr>
              <w:t>3.25</w:t>
            </w:r>
          </w:p>
        </w:tc>
      </w:tr>
      <w:tr w:rsidR="000C0AB5">
        <w:tc>
          <w:tcPr>
            <w:tcW w:w="1252" w:type="dxa"/>
            <w:vAlign w:val="center"/>
          </w:tcPr>
          <w:p w:rsidR="000C0AB5" w:rsidRDefault="00B948E6">
            <w:pPr>
              <w:jc w:val="center"/>
            </w:pPr>
            <w:r>
              <w:rPr>
                <w:rFonts w:eastAsiaTheme="minorEastAsia"/>
                <w:color w:val="000000" w:themeColor="text1"/>
                <w:sz w:val="24"/>
              </w:rPr>
              <w:t>5</w:t>
            </w:r>
          </w:p>
        </w:tc>
        <w:tc>
          <w:tcPr>
            <w:tcW w:w="1310" w:type="dxa"/>
            <w:vAlign w:val="center"/>
          </w:tcPr>
          <w:p w:rsidR="000C0AB5" w:rsidRDefault="00B948E6">
            <w:pPr>
              <w:jc w:val="center"/>
            </w:pPr>
            <w:r>
              <w:rPr>
                <w:rFonts w:eastAsiaTheme="minorEastAsia"/>
                <w:color w:val="000000" w:themeColor="text1"/>
                <w:sz w:val="24"/>
              </w:rPr>
              <w:t>160213</w:t>
            </w:r>
          </w:p>
        </w:tc>
        <w:tc>
          <w:tcPr>
            <w:tcW w:w="1282" w:type="dxa"/>
            <w:vAlign w:val="center"/>
          </w:tcPr>
          <w:p w:rsidR="000C0AB5" w:rsidRDefault="00B948E6">
            <w:pPr>
              <w:jc w:val="center"/>
            </w:pPr>
            <w:r>
              <w:rPr>
                <w:rFonts w:eastAsiaTheme="minorEastAsia"/>
                <w:color w:val="000000" w:themeColor="text1"/>
                <w:sz w:val="24"/>
              </w:rPr>
              <w:t>16</w:t>
            </w:r>
            <w:r>
              <w:rPr>
                <w:rFonts w:eastAsiaTheme="minorEastAsia"/>
                <w:color w:val="000000" w:themeColor="text1"/>
                <w:sz w:val="24"/>
              </w:rPr>
              <w:t>国开</w:t>
            </w:r>
            <w:r>
              <w:rPr>
                <w:rFonts w:eastAsiaTheme="minorEastAsia"/>
                <w:color w:val="000000" w:themeColor="text1"/>
                <w:sz w:val="24"/>
              </w:rPr>
              <w:t>13</w:t>
            </w:r>
          </w:p>
        </w:tc>
        <w:tc>
          <w:tcPr>
            <w:tcW w:w="1426" w:type="dxa"/>
            <w:vAlign w:val="center"/>
          </w:tcPr>
          <w:p w:rsidR="000C0AB5" w:rsidRDefault="00B948E6">
            <w:pPr>
              <w:jc w:val="right"/>
            </w:pPr>
            <w:r>
              <w:rPr>
                <w:rFonts w:eastAsiaTheme="minorEastAsia"/>
                <w:color w:val="000000" w:themeColor="text1"/>
                <w:sz w:val="24"/>
              </w:rPr>
              <w:t>50,000</w:t>
            </w:r>
          </w:p>
        </w:tc>
        <w:tc>
          <w:tcPr>
            <w:tcW w:w="1646" w:type="dxa"/>
            <w:vAlign w:val="center"/>
          </w:tcPr>
          <w:p w:rsidR="000C0AB5" w:rsidRDefault="00B948E6">
            <w:pPr>
              <w:jc w:val="right"/>
            </w:pPr>
            <w:r>
              <w:rPr>
                <w:rFonts w:eastAsiaTheme="minorEastAsia"/>
                <w:color w:val="000000" w:themeColor="text1"/>
                <w:sz w:val="24"/>
              </w:rPr>
              <w:t>5,129,458.90</w:t>
            </w:r>
          </w:p>
        </w:tc>
        <w:tc>
          <w:tcPr>
            <w:tcW w:w="1612" w:type="dxa"/>
            <w:vAlign w:val="center"/>
          </w:tcPr>
          <w:p w:rsidR="000C0AB5" w:rsidRDefault="00B948E6">
            <w:pPr>
              <w:jc w:val="right"/>
            </w:pPr>
            <w:r>
              <w:rPr>
                <w:rFonts w:eastAsiaTheme="minorEastAsia"/>
                <w:color w:val="000000" w:themeColor="text1"/>
                <w:sz w:val="24"/>
              </w:rPr>
              <w:t>3.06</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报告期内，本基金投资决策程序符合相关法律法规的要求，未发现本基金投资的前十名证券的发行主体本期出现被监管部门立案调查，或者在报告编制日前一年内受到公开谴责、处罚的情形。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lastRenderedPageBreak/>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329.63</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769,478.65</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769,808.28</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218,174,443.85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11,369,706.71</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1,108,425.37</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2,556,888.86</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59,756,083.80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12,823,719.79</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159,526,785.42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1,102,875.78</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51,289.53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51,289.53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0C0AB5">
        <w:tc>
          <w:tcPr>
            <w:tcW w:w="993" w:type="dxa"/>
            <w:vMerge w:val="restart"/>
            <w:vAlign w:val="center"/>
          </w:tcPr>
          <w:p w:rsidR="000C0AB5" w:rsidRDefault="00B948E6">
            <w:r>
              <w:rPr>
                <w:bCs/>
                <w:color w:val="000000"/>
                <w:kern w:val="0"/>
                <w:sz w:val="24"/>
              </w:rPr>
              <w:t>机构</w:t>
            </w:r>
          </w:p>
        </w:tc>
        <w:tc>
          <w:tcPr>
            <w:tcW w:w="992" w:type="dxa"/>
            <w:vAlign w:val="center"/>
          </w:tcPr>
          <w:p w:rsidR="000C0AB5" w:rsidRDefault="00B948E6">
            <w:pPr>
              <w:jc w:val="center"/>
            </w:pPr>
            <w:r>
              <w:rPr>
                <w:color w:val="000000"/>
                <w:kern w:val="0"/>
                <w:sz w:val="24"/>
              </w:rPr>
              <w:t>1</w:t>
            </w:r>
          </w:p>
        </w:tc>
        <w:tc>
          <w:tcPr>
            <w:tcW w:w="1843" w:type="dxa"/>
            <w:vAlign w:val="center"/>
          </w:tcPr>
          <w:p w:rsidR="000C0AB5" w:rsidRDefault="00B948E6">
            <w:pPr>
              <w:jc w:val="center"/>
            </w:pPr>
            <w:r>
              <w:rPr>
                <w:color w:val="000000"/>
                <w:kern w:val="0"/>
                <w:sz w:val="24"/>
              </w:rPr>
              <w:t>20240701-2024</w:t>
            </w:r>
            <w:r>
              <w:rPr>
                <w:color w:val="000000"/>
                <w:kern w:val="0"/>
                <w:sz w:val="24"/>
              </w:rPr>
              <w:lastRenderedPageBreak/>
              <w:t>0930</w:t>
            </w:r>
          </w:p>
        </w:tc>
        <w:tc>
          <w:tcPr>
            <w:tcW w:w="851" w:type="dxa"/>
            <w:vAlign w:val="center"/>
          </w:tcPr>
          <w:p w:rsidR="000C0AB5" w:rsidRDefault="00B948E6">
            <w:pPr>
              <w:jc w:val="center"/>
            </w:pPr>
            <w:r>
              <w:rPr>
                <w:color w:val="000000"/>
                <w:kern w:val="0"/>
                <w:sz w:val="24"/>
              </w:rPr>
              <w:lastRenderedPageBreak/>
              <w:t>97,33</w:t>
            </w:r>
            <w:r>
              <w:rPr>
                <w:color w:val="000000"/>
                <w:kern w:val="0"/>
                <w:sz w:val="24"/>
              </w:rPr>
              <w:lastRenderedPageBreak/>
              <w:t>2,100.45</w:t>
            </w:r>
          </w:p>
        </w:tc>
        <w:tc>
          <w:tcPr>
            <w:tcW w:w="850" w:type="dxa"/>
            <w:vAlign w:val="center"/>
          </w:tcPr>
          <w:p w:rsidR="000C0AB5" w:rsidRDefault="00B948E6">
            <w:pPr>
              <w:jc w:val="center"/>
            </w:pPr>
            <w:r>
              <w:rPr>
                <w:color w:val="000000"/>
                <w:kern w:val="0"/>
                <w:sz w:val="24"/>
              </w:rPr>
              <w:lastRenderedPageBreak/>
              <w:t>0.00</w:t>
            </w:r>
          </w:p>
        </w:tc>
        <w:tc>
          <w:tcPr>
            <w:tcW w:w="1134" w:type="dxa"/>
            <w:vAlign w:val="center"/>
          </w:tcPr>
          <w:p w:rsidR="000C0AB5" w:rsidRDefault="00B948E6">
            <w:pPr>
              <w:jc w:val="center"/>
            </w:pPr>
            <w:r>
              <w:rPr>
                <w:color w:val="000000"/>
                <w:kern w:val="0"/>
                <w:sz w:val="24"/>
              </w:rPr>
              <w:t>19,144,2</w:t>
            </w:r>
            <w:r>
              <w:rPr>
                <w:color w:val="000000"/>
                <w:kern w:val="0"/>
                <w:sz w:val="24"/>
              </w:rPr>
              <w:lastRenderedPageBreak/>
              <w:t>51.00</w:t>
            </w:r>
          </w:p>
        </w:tc>
        <w:tc>
          <w:tcPr>
            <w:tcW w:w="1419" w:type="dxa"/>
            <w:vAlign w:val="center"/>
          </w:tcPr>
          <w:p w:rsidR="000C0AB5" w:rsidRDefault="00B948E6">
            <w:pPr>
              <w:jc w:val="center"/>
            </w:pPr>
            <w:r>
              <w:rPr>
                <w:color w:val="000000"/>
                <w:kern w:val="0"/>
                <w:sz w:val="24"/>
              </w:rPr>
              <w:lastRenderedPageBreak/>
              <w:t>78,187,849.</w:t>
            </w:r>
            <w:r>
              <w:rPr>
                <w:color w:val="000000"/>
                <w:kern w:val="0"/>
                <w:sz w:val="24"/>
              </w:rPr>
              <w:lastRenderedPageBreak/>
              <w:t>45</w:t>
            </w:r>
          </w:p>
        </w:tc>
        <w:tc>
          <w:tcPr>
            <w:tcW w:w="1130" w:type="dxa"/>
            <w:vAlign w:val="center"/>
          </w:tcPr>
          <w:p w:rsidR="000C0AB5" w:rsidRDefault="00B948E6">
            <w:pPr>
              <w:jc w:val="center"/>
            </w:pPr>
            <w:r>
              <w:rPr>
                <w:color w:val="000000"/>
                <w:kern w:val="0"/>
                <w:sz w:val="24"/>
              </w:rPr>
              <w:lastRenderedPageBreak/>
              <w:t>48.68%</w:t>
            </w:r>
          </w:p>
        </w:tc>
      </w:tr>
      <w:tr w:rsidR="000C0AB5">
        <w:tc>
          <w:tcPr>
            <w:tcW w:w="993" w:type="dxa"/>
            <w:vMerge/>
          </w:tcPr>
          <w:p w:rsidR="000C0AB5" w:rsidRDefault="000C0AB5"/>
        </w:tc>
        <w:tc>
          <w:tcPr>
            <w:tcW w:w="992" w:type="dxa"/>
            <w:vAlign w:val="center"/>
          </w:tcPr>
          <w:p w:rsidR="000C0AB5" w:rsidRDefault="00B948E6">
            <w:pPr>
              <w:jc w:val="center"/>
            </w:pPr>
            <w:r>
              <w:rPr>
                <w:color w:val="000000"/>
                <w:kern w:val="0"/>
                <w:sz w:val="24"/>
              </w:rPr>
              <w:t>2</w:t>
            </w:r>
          </w:p>
        </w:tc>
        <w:tc>
          <w:tcPr>
            <w:tcW w:w="1843" w:type="dxa"/>
            <w:vAlign w:val="center"/>
          </w:tcPr>
          <w:p w:rsidR="000C0AB5" w:rsidRDefault="00B948E6">
            <w:pPr>
              <w:jc w:val="center"/>
            </w:pPr>
            <w:r>
              <w:rPr>
                <w:color w:val="000000"/>
                <w:kern w:val="0"/>
                <w:sz w:val="24"/>
              </w:rPr>
              <w:t>20240701-20240930</w:t>
            </w:r>
          </w:p>
        </w:tc>
        <w:tc>
          <w:tcPr>
            <w:tcW w:w="851" w:type="dxa"/>
            <w:vAlign w:val="center"/>
          </w:tcPr>
          <w:p w:rsidR="000C0AB5" w:rsidRDefault="00B948E6">
            <w:pPr>
              <w:jc w:val="center"/>
            </w:pPr>
            <w:r>
              <w:rPr>
                <w:color w:val="000000"/>
                <w:kern w:val="0"/>
                <w:sz w:val="24"/>
              </w:rPr>
              <w:t>60,080,000.00</w:t>
            </w:r>
          </w:p>
        </w:tc>
        <w:tc>
          <w:tcPr>
            <w:tcW w:w="850" w:type="dxa"/>
            <w:vAlign w:val="center"/>
          </w:tcPr>
          <w:p w:rsidR="000C0AB5" w:rsidRDefault="00B948E6">
            <w:pPr>
              <w:jc w:val="center"/>
            </w:pPr>
            <w:r>
              <w:rPr>
                <w:color w:val="000000"/>
                <w:kern w:val="0"/>
                <w:sz w:val="24"/>
              </w:rPr>
              <w:t>0.00</w:t>
            </w:r>
          </w:p>
        </w:tc>
        <w:tc>
          <w:tcPr>
            <w:tcW w:w="1134" w:type="dxa"/>
            <w:vAlign w:val="center"/>
          </w:tcPr>
          <w:p w:rsidR="000C0AB5" w:rsidRDefault="00B948E6">
            <w:pPr>
              <w:jc w:val="center"/>
            </w:pPr>
            <w:r>
              <w:rPr>
                <w:color w:val="000000"/>
                <w:kern w:val="0"/>
                <w:sz w:val="24"/>
              </w:rPr>
              <w:t>10,000,000.00</w:t>
            </w:r>
          </w:p>
        </w:tc>
        <w:tc>
          <w:tcPr>
            <w:tcW w:w="1419" w:type="dxa"/>
            <w:vAlign w:val="center"/>
          </w:tcPr>
          <w:p w:rsidR="000C0AB5" w:rsidRDefault="00B948E6">
            <w:pPr>
              <w:jc w:val="center"/>
            </w:pPr>
            <w:r>
              <w:rPr>
                <w:color w:val="000000"/>
                <w:kern w:val="0"/>
                <w:sz w:val="24"/>
              </w:rPr>
              <w:t>50,080,000.00</w:t>
            </w:r>
          </w:p>
        </w:tc>
        <w:tc>
          <w:tcPr>
            <w:tcW w:w="1130" w:type="dxa"/>
            <w:vAlign w:val="center"/>
          </w:tcPr>
          <w:p w:rsidR="000C0AB5" w:rsidRDefault="00B948E6">
            <w:pPr>
              <w:jc w:val="center"/>
            </w:pPr>
            <w:r>
              <w:rPr>
                <w:color w:val="000000"/>
                <w:kern w:val="0"/>
                <w:sz w:val="24"/>
              </w:rPr>
              <w:t>31.18%</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0C0AB5" w:rsidRDefault="00B948E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lastRenderedPageBreak/>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二〇二四年十月二十五日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48E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48E6">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948E6">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摩根中债</w:t>
    </w:r>
    <w:r>
      <w:rPr>
        <w:sz w:val="21"/>
        <w:szCs w:val="21"/>
      </w:rPr>
      <w:t>1-3</w:t>
    </w:r>
    <w:r>
      <w:rPr>
        <w:sz w:val="21"/>
        <w:szCs w:val="21"/>
      </w:rPr>
      <w:t>年国开行债券指数证券投资基金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0AB5"/>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48E6"/>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1138</Words>
  <Characters>6491</Characters>
  <Application>Microsoft Office Word</Application>
  <DocSecurity>0</DocSecurity>
  <Lines>54</Lines>
  <Paragraphs>15</Paragraphs>
  <ScaleCrop>false</ScaleCrop>
  <Company>TRT. Ltd. Co.</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165</cp:revision>
  <cp:lastPrinted>2007-07-19T00:46:00Z</cp:lastPrinted>
  <dcterms:created xsi:type="dcterms:W3CDTF">2012-11-28T02:28:00Z</dcterms:created>
  <dcterms:modified xsi:type="dcterms:W3CDTF">2024-10-24T07:18:00Z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