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2340" w:rsidRDefault="007F225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A02340" w:rsidRDefault="007F2250">
      <w:pPr>
        <w:spacing w:line="360" w:lineRule="auto"/>
        <w:rPr>
          <w:rFonts w:ascii="宋体" w:hAnsi="宋体"/>
          <w:sz w:val="48"/>
        </w:rPr>
      </w:pPr>
      <w:r>
        <w:rPr>
          <w:rFonts w:ascii="宋体" w:hAnsi="宋体" w:hint="eastAsia"/>
          <w:sz w:val="48"/>
        </w:rPr>
        <w:t xml:space="preserve">　 </w:t>
      </w:r>
    </w:p>
    <w:p w:rsidR="00A02340" w:rsidRDefault="007F2250">
      <w:pPr>
        <w:spacing w:line="360" w:lineRule="auto"/>
        <w:jc w:val="center"/>
      </w:pPr>
      <w:r>
        <w:rPr>
          <w:rFonts w:ascii="宋体" w:hAnsi="宋体" w:hint="eastAsia"/>
          <w:b/>
          <w:bCs/>
          <w:color w:val="000000" w:themeColor="text1"/>
          <w:sz w:val="48"/>
          <w:szCs w:val="30"/>
        </w:rPr>
        <w:t>摩根瑞泰38个月定期开放债券型证券投资基金</w:t>
      </w:r>
      <w:r>
        <w:rPr>
          <w:rFonts w:ascii="宋体" w:hAnsi="宋体" w:hint="eastAsia"/>
          <w:b/>
          <w:bCs/>
          <w:color w:val="000000" w:themeColor="text1"/>
          <w:sz w:val="48"/>
          <w:szCs w:val="30"/>
        </w:rPr>
        <w:br/>
        <w:t>2025年第1季度报告</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pPr>
      <w:r>
        <w:rPr>
          <w:rFonts w:ascii="宋体" w:hAnsi="宋体" w:hint="eastAsia"/>
          <w:b/>
          <w:bCs/>
          <w:sz w:val="28"/>
          <w:szCs w:val="30"/>
        </w:rPr>
        <w:t>2025年3月31日</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jc w:val="center"/>
        <w:rPr>
          <w:rFonts w:ascii="宋体" w:hAnsi="宋体"/>
          <w:sz w:val="28"/>
          <w:szCs w:val="30"/>
        </w:rPr>
      </w:pPr>
      <w:r>
        <w:rPr>
          <w:rFonts w:ascii="宋体" w:hAnsi="宋体" w:hint="eastAsia"/>
          <w:sz w:val="28"/>
          <w:szCs w:val="30"/>
        </w:rPr>
        <w:t xml:space="preserve">　 </w:t>
      </w:r>
    </w:p>
    <w:p w:rsidR="00A02340" w:rsidRDefault="007F2250">
      <w:pPr>
        <w:spacing w:line="360" w:lineRule="auto"/>
        <w:ind w:firstLineChars="800" w:firstLine="2249"/>
        <w:jc w:val="left"/>
      </w:pPr>
      <w:r>
        <w:rPr>
          <w:rFonts w:ascii="宋体" w:hAnsi="宋体" w:hint="eastAsia"/>
          <w:b/>
          <w:bCs/>
          <w:sz w:val="28"/>
          <w:szCs w:val="30"/>
        </w:rPr>
        <w:t>基金管理人：摩根基金管理（中国）有限公司</w:t>
      </w:r>
    </w:p>
    <w:p w:rsidR="00A02340" w:rsidRDefault="007F2250">
      <w:pPr>
        <w:spacing w:line="360" w:lineRule="auto"/>
        <w:ind w:firstLineChars="800" w:firstLine="2249"/>
        <w:jc w:val="left"/>
      </w:pPr>
      <w:r>
        <w:rPr>
          <w:rFonts w:ascii="宋体" w:hAnsi="宋体" w:hint="eastAsia"/>
          <w:b/>
          <w:bCs/>
          <w:sz w:val="28"/>
          <w:szCs w:val="30"/>
        </w:rPr>
        <w:t>基金托管人：中国邮政储蓄银行股份有限公司</w:t>
      </w:r>
    </w:p>
    <w:p w:rsidR="00A02340" w:rsidRDefault="007F2250">
      <w:pPr>
        <w:spacing w:line="360" w:lineRule="auto"/>
        <w:ind w:firstLineChars="800" w:firstLine="2249"/>
        <w:jc w:val="left"/>
      </w:pPr>
      <w:r>
        <w:rPr>
          <w:rFonts w:ascii="宋体" w:hAnsi="宋体" w:hint="eastAsia"/>
          <w:b/>
          <w:bCs/>
          <w:sz w:val="28"/>
          <w:szCs w:val="30"/>
        </w:rPr>
        <w:t>报告送出日期：2025年4月22日</w:t>
      </w:r>
    </w:p>
    <w:p w:rsidR="00A02340" w:rsidRDefault="007F2250">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A02340" w:rsidRDefault="007F2250">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基金托管人中国邮政储蓄银行股份有限公司根据本基金合同规定，于2025年4月21日复核了本报告中的财务指标、净值表现和投资组合报告等内容，保证复核内容不存在虚假记载、误导性陈述或者重大遗漏。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A02340" w:rsidRDefault="007F2250">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02340">
        <w:trPr>
          <w:divId w:val="40444968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A02340" w:rsidRDefault="007F2250">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szCs w:val="24"/>
                <w:lang w:eastAsia="zh-Hans"/>
              </w:rPr>
              <w:t>摩根瑞泰38个月定期开放债券</w:t>
            </w:r>
            <w:r>
              <w:rPr>
                <w:rFonts w:ascii="宋体" w:hAnsi="宋体" w:hint="eastAsia"/>
                <w:lang w:eastAsia="zh-Hans"/>
              </w:rPr>
              <w:t xml:space="preserve"> </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008759</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契约型定期开放式</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2020年3月18日</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7,923,455,732.55</w:t>
            </w:r>
            <w:r>
              <w:rPr>
                <w:rFonts w:hint="eastAsia"/>
              </w:rPr>
              <w:t>份</w:t>
            </w:r>
            <w:r>
              <w:rPr>
                <w:rFonts w:ascii="宋体" w:hAnsi="宋体" w:hint="eastAsia"/>
                <w:lang w:eastAsia="zh-Hans"/>
              </w:rPr>
              <w:t xml:space="preserve"> </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 xml:space="preserve">在严格控制风险的前提下，采用持有到期策略，力争实现长期稳定的投资回报。 </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 xml:space="preserve">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 </w:t>
            </w:r>
            <w:r>
              <w:rPr>
                <w:rFonts w:ascii="宋体" w:hAnsi="宋体" w:hint="eastAsia"/>
                <w:lang w:eastAsia="zh-Hans"/>
              </w:rPr>
              <w:br/>
              <w:t>具体策略包括：封闭期投资策略（包括封闭期配置策略、信用债投资策略、杠杆投资策略、资产支持证券投资策略、封闭期现金管理策略）、开放期投资策略。</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在每个封闭期，本基金的业绩比较基准为该封闭期起始日公布的三年定期存款利率（税后）+1%</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本基金为债券型基金，一般而言，其长期平均风险和预期收益率低于股票型基金、混合型基金，高于货币市场基金。</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摩根基金管理（中国）有限公司</w:t>
            </w:r>
          </w:p>
        </w:tc>
      </w:tr>
      <w:tr w:rsidR="00A02340">
        <w:trPr>
          <w:divId w:val="40444968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lang w:eastAsia="zh-Hans"/>
              </w:rPr>
              <w:t>中国邮政储蓄银行股份有限公司</w:t>
            </w:r>
          </w:p>
        </w:tc>
      </w:tr>
      <w:tr w:rsidR="00A02340">
        <w:trPr>
          <w:divId w:val="404449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bookmarkStart w:id="34" w:name="m02_01" w:colFirst="1" w:colLast="2"/>
            <w:r>
              <w:rPr>
                <w:rFonts w:ascii="宋体" w:hAnsi="宋体" w:hint="eastAsia"/>
              </w:rPr>
              <w:lastRenderedPageBreak/>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lang w:eastAsia="zh-Hans"/>
              </w:rPr>
              <w:t>摩根瑞泰38个月定期开放债券A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lang w:eastAsia="zh-Hans"/>
              </w:rPr>
              <w:t>摩根瑞泰38个月定期开放债券C</w:t>
            </w:r>
            <w:r>
              <w:rPr>
                <w:rFonts w:ascii="宋体" w:hAnsi="宋体" w:hint="eastAsia"/>
                <w:kern w:val="0"/>
                <w:sz w:val="20"/>
                <w:lang w:eastAsia="zh-Hans"/>
              </w:rPr>
              <w:t xml:space="preserve"> </w:t>
            </w:r>
          </w:p>
        </w:tc>
      </w:tr>
      <w:tr w:rsidR="00A02340">
        <w:trPr>
          <w:divId w:val="404449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lang w:eastAsia="zh-Hans"/>
              </w:rPr>
              <w:t>008759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lang w:eastAsia="zh-Hans"/>
              </w:rPr>
              <w:t>008760</w:t>
            </w:r>
            <w:r>
              <w:rPr>
                <w:rFonts w:ascii="宋体" w:hAnsi="宋体" w:hint="eastAsia"/>
                <w:kern w:val="0"/>
                <w:sz w:val="20"/>
                <w:lang w:eastAsia="zh-Hans"/>
              </w:rPr>
              <w:t xml:space="preserve"> </w:t>
            </w:r>
          </w:p>
        </w:tc>
      </w:tr>
      <w:bookmarkEnd w:id="34"/>
      <w:bookmarkEnd w:id="33"/>
      <w:tr w:rsidR="00A02340">
        <w:trPr>
          <w:divId w:val="40444968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02340" w:rsidRDefault="007F225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lang w:eastAsia="zh-Hans"/>
              </w:rPr>
              <w:t>7,923,440,765.03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lang w:eastAsia="zh-Hans"/>
              </w:rPr>
              <w:t>14,967.52</w:t>
            </w:r>
            <w:r>
              <w:rPr>
                <w:rFonts w:hint="eastAsia"/>
              </w:rPr>
              <w:t>份</w:t>
            </w:r>
            <w:r>
              <w:rPr>
                <w:rFonts w:ascii="宋体" w:hAnsi="宋体" w:hint="eastAsia"/>
                <w:lang w:eastAsia="zh-Hans"/>
              </w:rPr>
              <w:t xml:space="preserve"> </w:t>
            </w:r>
          </w:p>
        </w:tc>
      </w:tr>
    </w:tbl>
    <w:p w:rsidR="00A02340" w:rsidRDefault="007F2250">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A02340" w:rsidRDefault="007F2250">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A02340" w:rsidRDefault="007F2250">
      <w:pPr>
        <w:jc w:val="right"/>
        <w:divId w:val="166331175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3034"/>
        <w:gridCol w:w="3034"/>
      </w:tblGrid>
      <w:tr w:rsidR="00A02340">
        <w:trPr>
          <w:divId w:val="166331175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02340" w:rsidRDefault="007F2250">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02340" w:rsidRDefault="007F2250">
            <w:pPr>
              <w:pStyle w:val="a5"/>
              <w:jc w:val="center"/>
            </w:pPr>
            <w:r>
              <w:rPr>
                <w:rFonts w:hint="eastAsia"/>
                <w:kern w:val="2"/>
                <w:sz w:val="21"/>
                <w:szCs w:val="24"/>
                <w:lang w:eastAsia="zh-Hans"/>
              </w:rPr>
              <w:t xml:space="preserve">报告期（2025年1月1日-2025年3月31日） </w:t>
            </w:r>
          </w:p>
        </w:tc>
      </w:tr>
      <w:tr w:rsidR="00A02340">
        <w:trPr>
          <w:divId w:val="166331175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02340" w:rsidRDefault="007F2250">
            <w:pPr>
              <w:jc w:val="center"/>
            </w:pPr>
            <w:r>
              <w:rPr>
                <w:rFonts w:ascii="宋体" w:hAnsi="宋体" w:hint="eastAsia"/>
                <w:szCs w:val="24"/>
                <w:lang w:eastAsia="zh-Hans"/>
              </w:rPr>
              <w:t>摩根瑞泰38个月定期开放债券A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02340" w:rsidRDefault="007F2250">
            <w:pPr>
              <w:jc w:val="center"/>
            </w:pPr>
            <w:r>
              <w:rPr>
                <w:rFonts w:ascii="宋体" w:hAnsi="宋体" w:hint="eastAsia"/>
                <w:szCs w:val="24"/>
                <w:lang w:eastAsia="zh-Hans"/>
              </w:rPr>
              <w:t>摩根瑞泰38个月定期开放债券C</w:t>
            </w:r>
          </w:p>
        </w:tc>
      </w:tr>
      <w:tr w:rsidR="00A02340">
        <w:trPr>
          <w:divId w:val="1663311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41,827,257.19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70.00</w:t>
            </w:r>
          </w:p>
        </w:tc>
      </w:tr>
      <w:tr w:rsidR="00A02340">
        <w:trPr>
          <w:divId w:val="1663311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41,827,257.19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70.00</w:t>
            </w:r>
          </w:p>
        </w:tc>
      </w:tr>
      <w:tr w:rsidR="00A02340">
        <w:trPr>
          <w:divId w:val="1663311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0.0053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0.0047</w:t>
            </w:r>
          </w:p>
        </w:tc>
      </w:tr>
      <w:tr w:rsidR="00A02340">
        <w:trPr>
          <w:divId w:val="1663311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8,114,998,469.89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15,325.68</w:t>
            </w:r>
          </w:p>
        </w:tc>
      </w:tr>
      <w:tr w:rsidR="00A02340">
        <w:trPr>
          <w:divId w:val="166331175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1.0242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02340" w:rsidRDefault="007F2250">
            <w:pPr>
              <w:jc w:val="right"/>
            </w:pPr>
            <w:r>
              <w:rPr>
                <w:rFonts w:ascii="宋体" w:hAnsi="宋体" w:hint="eastAsia"/>
                <w:szCs w:val="24"/>
                <w:lang w:eastAsia="zh-Hans"/>
              </w:rPr>
              <w:t>1.0239</w:t>
            </w:r>
          </w:p>
        </w:tc>
      </w:tr>
    </w:tbl>
    <w:p w:rsidR="00A02340" w:rsidRDefault="007F2250">
      <w:pPr>
        <w:wordWrap w:val="0"/>
        <w:spacing w:line="360" w:lineRule="auto"/>
        <w:jc w:val="left"/>
        <w:divId w:val="1769156794"/>
      </w:pPr>
      <w:r>
        <w:rPr>
          <w:rFonts w:ascii="宋体" w:hAnsi="宋体" w:hint="eastAsia"/>
          <w:szCs w:val="21"/>
        </w:rPr>
        <w:t>注：上述基金业绩指标不包括持有人认购或交易基金的各项费用（例如，开放式基金的申购赎回费、红利再投资费、基金转换费等），计入费用后实际收益水平要低于所列数字；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br/>
        <w:t>本期已实现收益指基金本期利息收入、投资收益、其他收入（不含公允价值变动收益）扣除相关费用后的余额，本期利润为本期已实现收益加上本期公允价值变动收益，由于本基金采用摊</w:t>
      </w:r>
      <w:proofErr w:type="gramStart"/>
      <w:r>
        <w:rPr>
          <w:rFonts w:ascii="宋体" w:hAnsi="宋体" w:hint="eastAsia"/>
          <w:szCs w:val="21"/>
        </w:rPr>
        <w:t>余成本</w:t>
      </w:r>
      <w:proofErr w:type="gramEnd"/>
      <w:r>
        <w:rPr>
          <w:rFonts w:ascii="宋体" w:hAnsi="宋体" w:hint="eastAsia"/>
          <w:szCs w:val="21"/>
        </w:rPr>
        <w:t>法核算，所以，公允价值变动收益为零，本期已实现收益和本期利润的金额相等。</w:t>
      </w:r>
    </w:p>
    <w:p w:rsidR="00A02340" w:rsidRDefault="007F2250">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A02340" w:rsidRDefault="007F2250">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A02340" w:rsidRDefault="007F2250">
      <w:pPr>
        <w:spacing w:line="360" w:lineRule="auto"/>
        <w:jc w:val="center"/>
        <w:divId w:val="1459253906"/>
      </w:pPr>
      <w:r>
        <w:rPr>
          <w:rFonts w:ascii="宋体" w:hAnsi="宋体" w:hint="eastAsia"/>
        </w:rPr>
        <w:t>摩根瑞泰38个月定期开放债券A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02340">
        <w:trPr>
          <w:divId w:val="145925390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②－④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-0.77%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2.65%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3.80%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-1.15%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8.14%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-3.28%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12.99%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-6.03%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145925390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lastRenderedPageBreak/>
              <w:t xml:space="preserve">13.05%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-6.12%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bl>
    <w:p w:rsidR="00A02340" w:rsidRDefault="007F2250">
      <w:pPr>
        <w:spacing w:line="360" w:lineRule="auto"/>
        <w:jc w:val="center"/>
        <w:divId w:val="200828725"/>
      </w:pPr>
      <w:r>
        <w:rPr>
          <w:rFonts w:ascii="宋体" w:hAnsi="宋体" w:hint="eastAsia"/>
        </w:rPr>
        <w:t>摩根瑞泰38个月定期开放债券C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02340">
        <w:trPr>
          <w:divId w:val="20082872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 xml:space="preserve">②－④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-0.49%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-0.89%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2.38%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3.80%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-1.42%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7.34%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-4.08%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11.59%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-7.43%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r w:rsidR="00A02340">
        <w:trPr>
          <w:divId w:val="20082872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11.64%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19.17%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0.01% </w:t>
            </w:r>
          </w:p>
        </w:tc>
        <w:tc>
          <w:tcPr>
            <w:tcW w:w="728" w:type="pct"/>
            <w:tcBorders>
              <w:top w:val="single" w:sz="4" w:space="0" w:color="auto"/>
              <w:left w:val="single" w:sz="4" w:space="0" w:color="auto"/>
              <w:bottom w:val="single" w:sz="4" w:space="0" w:color="auto"/>
              <w:right w:val="single" w:sz="4" w:space="0" w:color="auto"/>
            </w:tcBorders>
            <w:vAlign w:val="center"/>
            <w:hideMark/>
          </w:tcPr>
          <w:p w:rsidR="00A02340" w:rsidRDefault="007F2250">
            <w:pPr>
              <w:spacing w:line="360" w:lineRule="auto"/>
              <w:jc w:val="right"/>
            </w:pPr>
            <w:r>
              <w:rPr>
                <w:rFonts w:ascii="宋体" w:hAnsi="宋体" w:hint="eastAsia"/>
              </w:rPr>
              <w:t xml:space="preserve">-7.53%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spacing w:line="360" w:lineRule="auto"/>
              <w:jc w:val="right"/>
            </w:pPr>
            <w:r>
              <w:rPr>
                <w:rFonts w:ascii="宋体" w:hAnsi="宋体" w:hint="eastAsia"/>
              </w:rPr>
              <w:t xml:space="preserve">0.00% </w:t>
            </w:r>
          </w:p>
        </w:tc>
      </w:tr>
    </w:tbl>
    <w:p w:rsidR="00A02340" w:rsidRDefault="007F2250">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A02340" w:rsidRDefault="007F2250">
      <w:pPr>
        <w:spacing w:line="360" w:lineRule="auto"/>
        <w:jc w:val="left"/>
        <w:divId w:val="457114856"/>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02340" w:rsidRDefault="007F2250">
      <w:pPr>
        <w:spacing w:line="360" w:lineRule="auto"/>
        <w:jc w:val="left"/>
        <w:divId w:val="1053580321"/>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02340" w:rsidRDefault="007F2250">
      <w:pPr>
        <w:spacing w:line="360" w:lineRule="auto"/>
      </w:pPr>
      <w:r>
        <w:rPr>
          <w:rFonts w:ascii="宋体" w:hAnsi="宋体" w:hint="eastAsia"/>
        </w:rPr>
        <w:t>注：</w:t>
      </w:r>
      <w:r>
        <w:rPr>
          <w:rFonts w:ascii="宋体" w:hAnsi="宋体" w:hint="eastAsia"/>
          <w:lang w:eastAsia="zh-Hans"/>
        </w:rPr>
        <w:t>本基金合同生效日为2020年3月18日，图示的时间段为合同生效日至本报告期末。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A02340" w:rsidRDefault="007F2250">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A02340" w:rsidRDefault="007F2250">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02340">
        <w:trPr>
          <w:divId w:val="143131359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02340">
        <w:trPr>
          <w:divId w:val="143131359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pPr>
          </w:p>
        </w:tc>
      </w:tr>
      <w:tr w:rsidR="00A02340">
        <w:trPr>
          <w:divId w:val="143131359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2020年3月18日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left"/>
            </w:pPr>
            <w:r>
              <w:rPr>
                <w:rFonts w:ascii="宋体" w:hAnsi="宋体" w:hint="eastAsia"/>
                <w:szCs w:val="24"/>
                <w:lang w:eastAsia="zh-Hans"/>
              </w:rPr>
              <w:t>任翔先生曾任德勤华永会计师事务所有限公司高级审计师，汇丰银行(中国)有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A02340" w:rsidRDefault="007F2250">
      <w:pPr>
        <w:wordWrap w:val="0"/>
        <w:spacing w:line="360" w:lineRule="auto"/>
        <w:jc w:val="left"/>
        <w:divId w:val="184897742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A02340" w:rsidRDefault="007F2250">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A02340" w:rsidRDefault="007F2250">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w:t>
      </w:r>
      <w:r>
        <w:rPr>
          <w:rFonts w:ascii="宋体" w:hAnsi="宋体" w:hint="eastAsia"/>
        </w:rPr>
        <w:lastRenderedPageBreak/>
        <w:t>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A02340" w:rsidRDefault="007F2250">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A02340" w:rsidRDefault="007F2250">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A02340" w:rsidRDefault="007F225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A02340" w:rsidRDefault="007F2250">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A02340" w:rsidRDefault="007F225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A02340" w:rsidRDefault="007F2250">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A02340" w:rsidRDefault="007F2250">
      <w:pPr>
        <w:spacing w:line="360" w:lineRule="auto"/>
        <w:ind w:firstLineChars="200" w:firstLine="420"/>
        <w:jc w:val="left"/>
      </w:pPr>
      <w:r>
        <w:rPr>
          <w:rFonts w:ascii="宋体" w:hAnsi="宋体" w:cs="宋体" w:hint="eastAsia"/>
          <w:color w:val="000000"/>
          <w:kern w:val="0"/>
        </w:rPr>
        <w:t>2025年首</w:t>
      </w:r>
      <w:proofErr w:type="gramStart"/>
      <w:r>
        <w:rPr>
          <w:rFonts w:ascii="宋体" w:hAnsi="宋体" w:cs="宋体" w:hint="eastAsia"/>
          <w:color w:val="000000"/>
          <w:kern w:val="0"/>
        </w:rPr>
        <w:t>个</w:t>
      </w:r>
      <w:proofErr w:type="gramEnd"/>
      <w:r>
        <w:rPr>
          <w:rFonts w:ascii="宋体" w:hAnsi="宋体" w:cs="宋体" w:hint="eastAsia"/>
          <w:color w:val="000000"/>
          <w:kern w:val="0"/>
        </w:rPr>
        <w:t>交易日债市迎来“开门红”，受到上年末央行公告1.4</w:t>
      </w:r>
      <w:proofErr w:type="gramStart"/>
      <w:r>
        <w:rPr>
          <w:rFonts w:ascii="宋体" w:hAnsi="宋体" w:cs="宋体" w:hint="eastAsia"/>
          <w:color w:val="000000"/>
          <w:kern w:val="0"/>
        </w:rPr>
        <w:t>万亿</w:t>
      </w:r>
      <w:proofErr w:type="gramEnd"/>
      <w:r>
        <w:rPr>
          <w:rFonts w:ascii="宋体" w:hAnsi="宋体" w:cs="宋体" w:hint="eastAsia"/>
          <w:color w:val="000000"/>
          <w:kern w:val="0"/>
        </w:rPr>
        <w:t>买断式逆回购等操作的鼓舞，当日10年期国债收益率下行7bp。但后续随着监管对债券收益率下行过快风险的关注以及央行宣布阶段性暂停买入国债的影响，市场情绪走弱，进入震荡行情，叠加资金面持续紧张，跨年资金价格高企，短端收益率上行尤为明显。春节过后，资金面未如预期转松，资金利率居高不下，</w:t>
      </w:r>
      <w:proofErr w:type="spellStart"/>
      <w:r>
        <w:rPr>
          <w:rFonts w:ascii="宋体" w:hAnsi="宋体" w:cs="宋体" w:hint="eastAsia"/>
          <w:color w:val="000000"/>
          <w:kern w:val="0"/>
        </w:rPr>
        <w:t>Deepseek</w:t>
      </w:r>
      <w:proofErr w:type="spellEnd"/>
      <w:r>
        <w:rPr>
          <w:rFonts w:ascii="宋体" w:hAnsi="宋体" w:cs="宋体" w:hint="eastAsia"/>
          <w:color w:val="000000"/>
          <w:kern w:val="0"/>
        </w:rPr>
        <w:t>带来的风险偏好提升亦对债市造成影响。收益率震荡上行，十年期国债收益率一度接近1.90%位置。3月18日起，为</w:t>
      </w:r>
      <w:proofErr w:type="gramStart"/>
      <w:r>
        <w:rPr>
          <w:rFonts w:ascii="宋体" w:hAnsi="宋体" w:cs="宋体" w:hint="eastAsia"/>
          <w:color w:val="000000"/>
          <w:kern w:val="0"/>
        </w:rPr>
        <w:t>呵护税</w:t>
      </w:r>
      <w:proofErr w:type="gramEnd"/>
      <w:r>
        <w:rPr>
          <w:rFonts w:ascii="宋体" w:hAnsi="宋体" w:cs="宋体" w:hint="eastAsia"/>
          <w:color w:val="000000"/>
          <w:kern w:val="0"/>
        </w:rPr>
        <w:t>期，央行连续多日在公开市场开启净投放，收益率开始自高点回落，快速下行近10bp。此后止</w:t>
      </w:r>
      <w:proofErr w:type="gramStart"/>
      <w:r>
        <w:rPr>
          <w:rFonts w:ascii="宋体" w:hAnsi="宋体" w:cs="宋体" w:hint="eastAsia"/>
          <w:color w:val="000000"/>
          <w:kern w:val="0"/>
        </w:rPr>
        <w:t>盈情绪</w:t>
      </w:r>
      <w:proofErr w:type="gramEnd"/>
      <w:r>
        <w:rPr>
          <w:rFonts w:ascii="宋体" w:hAnsi="宋体" w:cs="宋体" w:hint="eastAsia"/>
          <w:color w:val="000000"/>
          <w:kern w:val="0"/>
        </w:rPr>
        <w:t>带动收益率略有反弹。</w:t>
      </w:r>
      <w:r>
        <w:rPr>
          <w:rFonts w:ascii="宋体" w:hAnsi="宋体" w:cs="宋体" w:hint="eastAsia"/>
          <w:color w:val="000000"/>
          <w:kern w:val="0"/>
        </w:rPr>
        <w:br/>
      </w:r>
      <w:r>
        <w:rPr>
          <w:rFonts w:ascii="宋体" w:hAnsi="宋体" w:cs="宋体" w:hint="eastAsia"/>
          <w:color w:val="000000"/>
          <w:kern w:val="0"/>
        </w:rPr>
        <w:lastRenderedPageBreak/>
        <w:t xml:space="preserve">　　本基金在一季度保持了既有配置，维持基金杠杆率。</w:t>
      </w:r>
      <w:r>
        <w:rPr>
          <w:rFonts w:ascii="宋体" w:hAnsi="宋体" w:cs="宋体" w:hint="eastAsia"/>
          <w:color w:val="000000"/>
          <w:kern w:val="0"/>
        </w:rPr>
        <w:br/>
        <w:t xml:space="preserve">　　展望后市，经济基本面方面出现了一些积极变化，市场预期有所扭转，但趋势的</w:t>
      </w:r>
      <w:proofErr w:type="gramStart"/>
      <w:r>
        <w:rPr>
          <w:rFonts w:ascii="宋体" w:hAnsi="宋体" w:cs="宋体" w:hint="eastAsia"/>
          <w:color w:val="000000"/>
          <w:kern w:val="0"/>
        </w:rPr>
        <w:t>确立仍</w:t>
      </w:r>
      <w:proofErr w:type="gramEnd"/>
      <w:r>
        <w:rPr>
          <w:rFonts w:ascii="宋体" w:hAnsi="宋体" w:cs="宋体" w:hint="eastAsia"/>
          <w:color w:val="000000"/>
          <w:kern w:val="0"/>
        </w:rPr>
        <w:t>需要更多数据的印证，或需要更长的观察时间。另外若4月份美国加征关税</w:t>
      </w:r>
      <w:proofErr w:type="gramStart"/>
      <w:r>
        <w:rPr>
          <w:rFonts w:ascii="宋体" w:hAnsi="宋体" w:cs="宋体" w:hint="eastAsia"/>
          <w:color w:val="000000"/>
          <w:kern w:val="0"/>
        </w:rPr>
        <w:t>幅度超</w:t>
      </w:r>
      <w:proofErr w:type="gramEnd"/>
      <w:r>
        <w:rPr>
          <w:rFonts w:ascii="宋体" w:hAnsi="宋体" w:cs="宋体" w:hint="eastAsia"/>
          <w:color w:val="000000"/>
          <w:kern w:val="0"/>
        </w:rPr>
        <w:t>预期，则一定程度增加了外部风险。在这期间，基本面对于债券来说仍偏友好。但是在各项政策陆续发力的情况下，收益率向下的空间也较为有限，预计10年期国债收益率或运行在1.70%-1.90% 区间。另一方面，前期短端信用债收益率经过调整后，配置价值回升，可积极关注。后续我们将密切跟踪国内外形势变化以及央行政策动向，争取把握市场机会。</w:t>
      </w:r>
    </w:p>
    <w:p w:rsidR="00A02340" w:rsidRDefault="007F2250">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A02340" w:rsidRDefault="007F2250">
      <w:pPr>
        <w:spacing w:line="360" w:lineRule="auto"/>
        <w:ind w:firstLineChars="200" w:firstLine="420"/>
      </w:pPr>
      <w:r>
        <w:rPr>
          <w:rFonts w:ascii="宋体" w:hAnsi="宋体" w:hint="eastAsia"/>
        </w:rPr>
        <w:t>本报告期摩根瑞泰38个月定期开放债券A份额净值增长率为：0.52%，同期业绩比较基准收益率为：0.94%；</w:t>
      </w:r>
      <w:r>
        <w:rPr>
          <w:rFonts w:ascii="宋体" w:hAnsi="宋体" w:hint="eastAsia"/>
        </w:rPr>
        <w:br/>
        <w:t xml:space="preserve">　　摩根瑞泰38个月定期开放债券C份额净值增长率为：0.45%，同期业绩比较基准收益率为：0.94%。</w:t>
      </w:r>
    </w:p>
    <w:p w:rsidR="00A02340" w:rsidRDefault="007F2250">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A02340" w:rsidRDefault="007F2250">
      <w:pPr>
        <w:spacing w:line="360" w:lineRule="auto"/>
        <w:ind w:firstLineChars="200" w:firstLine="420"/>
        <w:jc w:val="left"/>
      </w:pPr>
      <w:r>
        <w:rPr>
          <w:rFonts w:ascii="宋体" w:hAnsi="宋体" w:hint="eastAsia"/>
        </w:rPr>
        <w:t>无。</w:t>
      </w:r>
    </w:p>
    <w:p w:rsidR="00A02340" w:rsidRDefault="007F2250">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A02340" w:rsidRDefault="007F2250">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13,307,668,497.21</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99.98</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13,307,668,497.21</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99.98</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2,470,388.67</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0.02</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77791341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A02340" w:rsidRDefault="007F225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13,310,138,885.88</w:t>
            </w:r>
          </w:p>
        </w:tc>
        <w:tc>
          <w:tcPr>
            <w:tcW w:w="1333" w:type="pct"/>
            <w:tcBorders>
              <w:top w:val="single" w:sz="4" w:space="0" w:color="auto"/>
              <w:left w:val="nil"/>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100.00</w:t>
            </w:r>
          </w:p>
        </w:tc>
      </w:tr>
    </w:tbl>
    <w:p w:rsidR="00A02340" w:rsidRDefault="007F2250">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A02340" w:rsidRDefault="007F2250">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lastRenderedPageBreak/>
        <w:t>报告期末按行业分类的境内股票投资组合</w:t>
      </w:r>
      <w:bookmarkEnd w:id="172"/>
      <w:bookmarkEnd w:id="173"/>
      <w:bookmarkEnd w:id="174"/>
      <w:bookmarkEnd w:id="175"/>
      <w:bookmarkEnd w:id="176"/>
      <w:proofErr w:type="spellEnd"/>
      <w:r>
        <w:rPr>
          <w:rFonts w:hint="eastAsia"/>
          <w:lang w:eastAsia="zh-CN"/>
        </w:rPr>
        <w:t xml:space="preserve"> </w:t>
      </w:r>
    </w:p>
    <w:p w:rsidR="00A02340" w:rsidRDefault="007F2250">
      <w:pPr>
        <w:spacing w:line="360" w:lineRule="auto"/>
        <w:ind w:firstLineChars="200" w:firstLine="420"/>
        <w:divId w:val="760880683"/>
      </w:pPr>
      <w:r>
        <w:rPr>
          <w:rFonts w:ascii="宋体" w:hAnsi="宋体" w:hint="eastAsia"/>
          <w:szCs w:val="21"/>
          <w:lang w:eastAsia="zh-Hans"/>
        </w:rPr>
        <w:t>本基金本报告期末未持有境内股票。</w:t>
      </w:r>
    </w:p>
    <w:p w:rsidR="00A02340" w:rsidRDefault="007F2250">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A02340" w:rsidRDefault="007F2250">
      <w:pPr>
        <w:spacing w:line="360" w:lineRule="auto"/>
        <w:ind w:firstLineChars="200" w:firstLine="420"/>
        <w:divId w:val="1663972007"/>
      </w:pPr>
      <w:r>
        <w:rPr>
          <w:rFonts w:ascii="宋体" w:hAnsi="宋体" w:hint="eastAsia"/>
          <w:szCs w:val="21"/>
          <w:lang w:eastAsia="zh-Hans"/>
        </w:rPr>
        <w:t>本基金本报告期末未持有港股通股票 。</w:t>
      </w:r>
    </w:p>
    <w:p w:rsidR="00A02340" w:rsidRDefault="007F2250">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A02340" w:rsidRDefault="007F2250">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p w:rsidR="00A02340" w:rsidRDefault="007F2250">
      <w:pPr>
        <w:spacing w:line="360" w:lineRule="auto"/>
        <w:ind w:firstLineChars="200" w:firstLine="420"/>
        <w:jc w:val="left"/>
      </w:pPr>
      <w:r>
        <w:rPr>
          <w:rFonts w:ascii="宋体" w:hAnsi="宋体" w:hint="eastAsia"/>
          <w:color w:val="000000"/>
          <w:szCs w:val="21"/>
          <w:lang w:eastAsia="zh-Hans"/>
        </w:rPr>
        <w:t>本基金本报告期末未持有股票。</w:t>
      </w:r>
    </w:p>
    <w:p w:rsidR="00A02340" w:rsidRDefault="007F2250">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占基金资产净值比例（%） </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13,307,668,497.21</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163.99</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8,579,627,942.17</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105.73</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w:t>
            </w:r>
          </w:p>
        </w:tc>
      </w:tr>
      <w:tr w:rsidR="00A02340">
        <w:trPr>
          <w:divId w:val="137353077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A02340" w:rsidRDefault="007F2250">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13,307,668,497.21</w:t>
            </w:r>
          </w:p>
        </w:tc>
        <w:tc>
          <w:tcPr>
            <w:tcW w:w="1932" w:type="pct"/>
            <w:tcBorders>
              <w:top w:val="single" w:sz="4" w:space="0" w:color="auto"/>
              <w:left w:val="single" w:sz="4" w:space="0" w:color="auto"/>
              <w:bottom w:val="single" w:sz="4" w:space="0" w:color="auto"/>
              <w:right w:val="single" w:sz="4" w:space="0" w:color="auto"/>
            </w:tcBorders>
            <w:vAlign w:val="center"/>
            <w:hideMark/>
          </w:tcPr>
          <w:p w:rsidR="00A02340" w:rsidRDefault="007F2250">
            <w:pPr>
              <w:jc w:val="right"/>
            </w:pPr>
            <w:r>
              <w:rPr>
                <w:rFonts w:ascii="宋体" w:hAnsi="宋体" w:hint="eastAsia"/>
                <w:szCs w:val="24"/>
                <w:lang w:eastAsia="zh-Hans"/>
              </w:rPr>
              <w:t>163.99</w:t>
            </w:r>
          </w:p>
        </w:tc>
      </w:tr>
    </w:tbl>
    <w:p w:rsidR="00A02340" w:rsidRDefault="007F2250">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02340">
        <w:trPr>
          <w:divId w:val="178900874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jc w:val="center"/>
            </w:pPr>
            <w:r>
              <w:rPr>
                <w:rFonts w:ascii="宋体" w:hAnsi="宋体" w:hint="eastAsia"/>
                <w:color w:val="000000"/>
              </w:rPr>
              <w:t xml:space="preserve">占基金资产净值比例（%） </w:t>
            </w:r>
          </w:p>
        </w:tc>
      </w:tr>
      <w:tr w:rsidR="00A02340">
        <w:trPr>
          <w:divId w:val="17890087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160210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16国开10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31,200,000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3,240,433,225.01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39.93</w:t>
            </w:r>
          </w:p>
        </w:tc>
      </w:tr>
      <w:tr w:rsidR="00A02340">
        <w:trPr>
          <w:divId w:val="17890087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190408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19农发08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25,400,000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2,642,324,061.49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32.56</w:t>
            </w:r>
          </w:p>
        </w:tc>
      </w:tr>
      <w:tr w:rsidR="00A02340">
        <w:trPr>
          <w:divId w:val="17890087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230405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23农发05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14,300,000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1,465,178,079.96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18.06</w:t>
            </w:r>
          </w:p>
        </w:tc>
      </w:tr>
      <w:tr w:rsidR="00A02340">
        <w:trPr>
          <w:divId w:val="17890087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212300002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23江苏银行债01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5,500,000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559,787,964.39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6.90</w:t>
            </w:r>
          </w:p>
        </w:tc>
      </w:tr>
      <w:tr w:rsidR="00A02340">
        <w:trPr>
          <w:divId w:val="17890087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2328018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center"/>
            </w:pPr>
            <w:r>
              <w:rPr>
                <w:rFonts w:ascii="宋体" w:hAnsi="宋体" w:hint="eastAsia"/>
                <w:szCs w:val="24"/>
                <w:lang w:eastAsia="zh-Hans"/>
              </w:rPr>
              <w:t>23兴业银行绿色金融债02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5,200,000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529,046,915.26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jc w:val="right"/>
            </w:pPr>
            <w:r>
              <w:rPr>
                <w:rFonts w:ascii="宋体" w:hAnsi="宋体" w:hint="eastAsia"/>
                <w:szCs w:val="24"/>
                <w:lang w:eastAsia="zh-Hans"/>
              </w:rPr>
              <w:t>6.52</w:t>
            </w:r>
          </w:p>
        </w:tc>
      </w:tr>
    </w:tbl>
    <w:p w:rsidR="00A02340" w:rsidRDefault="007F2250">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A02340" w:rsidRDefault="007F2250">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A02340" w:rsidRDefault="007F2250">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A02340" w:rsidRDefault="007F2250">
      <w:pPr>
        <w:spacing w:line="360" w:lineRule="auto"/>
        <w:ind w:firstLineChars="200" w:firstLine="420"/>
        <w:divId w:val="1066565248"/>
      </w:pPr>
      <w:r>
        <w:rPr>
          <w:rFonts w:ascii="宋体" w:hAnsi="宋体" w:hint="eastAsia"/>
          <w:szCs w:val="21"/>
          <w:lang w:eastAsia="zh-Hans"/>
        </w:rPr>
        <w:t>本基金本报告期末未持有贵金属。</w:t>
      </w:r>
    </w:p>
    <w:p w:rsidR="00A02340" w:rsidRDefault="007F2250">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lastRenderedPageBreak/>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A02340" w:rsidRDefault="007F2250">
      <w:pPr>
        <w:spacing w:line="360" w:lineRule="auto"/>
        <w:ind w:firstLineChars="200" w:firstLine="420"/>
        <w:divId w:val="804391920"/>
      </w:pPr>
      <w:r>
        <w:rPr>
          <w:rFonts w:ascii="宋体" w:hAnsi="宋体" w:hint="eastAsia"/>
          <w:szCs w:val="21"/>
          <w:lang w:eastAsia="zh-Hans"/>
        </w:rPr>
        <w:t>本基金本报告期末未持有权证。</w:t>
      </w:r>
    </w:p>
    <w:p w:rsidR="00A02340" w:rsidRDefault="007F2250">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7"/>
      <w:proofErr w:type="spellEnd"/>
    </w:p>
    <w:p w:rsidR="00A02340" w:rsidRDefault="007F2250">
      <w:pPr>
        <w:spacing w:line="360" w:lineRule="auto"/>
        <w:ind w:firstLineChars="200" w:firstLine="420"/>
        <w:divId w:val="57703994"/>
      </w:pPr>
      <w:r>
        <w:rPr>
          <w:rFonts w:ascii="宋体" w:hAnsi="宋体" w:hint="eastAsia"/>
          <w:szCs w:val="21"/>
          <w:lang w:eastAsia="zh-Hans"/>
        </w:rPr>
        <w:t>本基金本报告期末未持有股指期货。</w:t>
      </w:r>
    </w:p>
    <w:p w:rsidR="00A02340" w:rsidRDefault="007F2250">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A02340" w:rsidRDefault="007F2250">
      <w:pPr>
        <w:spacing w:line="360" w:lineRule="auto"/>
        <w:ind w:firstLineChars="200" w:firstLine="420"/>
        <w:divId w:val="318390946"/>
      </w:pPr>
      <w:bookmarkStart w:id="251" w:name="m510_01_1597"/>
      <w:bookmarkStart w:id="252" w:name="m510_01_1598"/>
      <w:bookmarkEnd w:id="251"/>
      <w:r>
        <w:rPr>
          <w:rFonts w:ascii="宋体" w:hAnsi="宋体" w:hint="eastAsia"/>
          <w:szCs w:val="21"/>
          <w:lang w:eastAsia="zh-Hans"/>
        </w:rPr>
        <w:t>本基金本报告期末未持有国债期货。</w:t>
      </w:r>
    </w:p>
    <w:p w:rsidR="00A02340" w:rsidRDefault="007F2250">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A02340" w:rsidRDefault="007F2250">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A02340" w:rsidRDefault="007F2250">
      <w:pPr>
        <w:spacing w:line="360" w:lineRule="auto"/>
        <w:ind w:firstLineChars="200" w:firstLine="420"/>
      </w:pPr>
      <w:r>
        <w:rPr>
          <w:rFonts w:ascii="宋体" w:hAnsi="宋体" w:hint="eastAsia"/>
        </w:rPr>
        <w:t>本基金投资的前十名证券的发行主体中，平安银行股份有限公司报告编制日前一年内曾受到国家金融监督管理总局上海监管局、国家金融监督管理总局的处罚，宁波银行股份有限公司报告编制日前一年内曾受到国家金融监督管理总局宁波监管局的处罚，杭州银行股份有限公司报告编制日前一年内曾受到国家外汇管理局浙江省分局、国家金融监督管理总局浙江监管局的处罚，兴业银行股份有限公司报告编制日前一年内曾受到国家金融监督管理总局福建监管局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A02340" w:rsidRDefault="007F2250">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A02340" w:rsidRDefault="007F2250">
      <w:pPr>
        <w:spacing w:line="360" w:lineRule="auto"/>
        <w:ind w:firstLineChars="200" w:firstLine="420"/>
      </w:pPr>
      <w:r>
        <w:rPr>
          <w:rFonts w:ascii="宋体" w:hAnsi="宋体" w:hint="eastAsia"/>
        </w:rPr>
        <w:t>报告期内本基金投资的前十名股票中没有在基金合同规定备选股票库之外的股票。</w:t>
      </w:r>
    </w:p>
    <w:p w:rsidR="00A02340" w:rsidRDefault="007F2250">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p w:rsidR="00A02340" w:rsidRDefault="007F2250">
      <w:pPr>
        <w:spacing w:line="360" w:lineRule="auto"/>
        <w:ind w:firstLineChars="200" w:firstLine="420"/>
        <w:jc w:val="left"/>
        <w:divId w:val="1703288626"/>
      </w:pPr>
      <w:r>
        <w:rPr>
          <w:rFonts w:ascii="宋体" w:hAnsi="宋体" w:hint="eastAsia"/>
        </w:rPr>
        <w:t>本基金本报告期末无其他资产构成。</w:t>
      </w:r>
    </w:p>
    <w:p w:rsidR="00A02340" w:rsidRDefault="007F2250">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A02340" w:rsidRDefault="007F2250">
      <w:pPr>
        <w:spacing w:line="360" w:lineRule="auto"/>
        <w:ind w:firstLineChars="200" w:firstLine="420"/>
        <w:jc w:val="left"/>
      </w:pPr>
      <w:r>
        <w:rPr>
          <w:rFonts w:ascii="宋体" w:hAnsi="宋体" w:hint="eastAsia"/>
        </w:rPr>
        <w:t xml:space="preserve">本基金本报告期末未持有处于转股期的可转换债券。 </w:t>
      </w:r>
    </w:p>
    <w:p w:rsidR="00A02340" w:rsidRDefault="007F2250">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A02340" w:rsidRDefault="007F2250">
      <w:pPr>
        <w:spacing w:line="360" w:lineRule="auto"/>
        <w:ind w:firstLineChars="200" w:firstLine="420"/>
        <w:jc w:val="left"/>
        <w:divId w:val="141905573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A02340" w:rsidRDefault="007F2250">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A02340" w:rsidRDefault="007F2250">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A02340" w:rsidRDefault="007F2250">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lastRenderedPageBreak/>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A02340" w:rsidRDefault="007F2250">
      <w:pPr>
        <w:wordWrap w:val="0"/>
        <w:spacing w:line="360" w:lineRule="auto"/>
        <w:jc w:val="right"/>
        <w:divId w:val="713316187"/>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873"/>
        <w:gridCol w:w="2348"/>
      </w:tblGrid>
      <w:tr w:rsidR="00A02340">
        <w:trPr>
          <w:divId w:val="71331618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ind w:right="3"/>
              <w:jc w:val="center"/>
            </w:pPr>
            <w:r>
              <w:rPr>
                <w:rFonts w:ascii="宋体" w:hAnsi="宋体" w:hint="eastAsia"/>
                <w:lang w:eastAsia="zh-Hans"/>
              </w:rPr>
              <w:t>摩根瑞泰38个月定期开放债券A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2340" w:rsidRDefault="007F2250">
            <w:pPr>
              <w:ind w:right="3"/>
              <w:jc w:val="center"/>
            </w:pPr>
            <w:r>
              <w:rPr>
                <w:rFonts w:ascii="宋体" w:hAnsi="宋体" w:hint="eastAsia"/>
                <w:lang w:eastAsia="zh-Hans"/>
              </w:rPr>
              <w:t>摩根瑞泰38个月定期开放债券C</w:t>
            </w:r>
            <w:r>
              <w:rPr>
                <w:rFonts w:ascii="宋体" w:hAnsi="宋体" w:hint="eastAsia"/>
                <w:kern w:val="0"/>
                <w:szCs w:val="24"/>
                <w:lang w:eastAsia="zh-Hans"/>
              </w:rPr>
              <w:t xml:space="preserve"> </w:t>
            </w:r>
          </w:p>
        </w:tc>
      </w:tr>
      <w:tr w:rsidR="00A02340">
        <w:trPr>
          <w:divId w:val="7133161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7,923,440,765.03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14,967.52</w:t>
            </w:r>
          </w:p>
        </w:tc>
      </w:tr>
      <w:tr w:rsidR="00A02340">
        <w:trPr>
          <w:divId w:val="7133161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r>
      <w:tr w:rsidR="00A02340">
        <w:trPr>
          <w:divId w:val="7133161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r>
      <w:tr w:rsidR="00A02340">
        <w:trPr>
          <w:divId w:val="7133161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w:t>
            </w:r>
          </w:p>
        </w:tc>
      </w:tr>
      <w:tr w:rsidR="00A02340">
        <w:trPr>
          <w:divId w:val="71331618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7,923,440,765.03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2340" w:rsidRDefault="007F2250">
            <w:pPr>
              <w:jc w:val="right"/>
            </w:pPr>
            <w:r>
              <w:rPr>
                <w:rFonts w:ascii="宋体" w:hAnsi="宋体" w:hint="eastAsia"/>
              </w:rPr>
              <w:t>14,967.52</w:t>
            </w:r>
          </w:p>
        </w:tc>
      </w:tr>
    </w:tbl>
    <w:p w:rsidR="00A02340" w:rsidRDefault="007F2250">
      <w:pPr>
        <w:spacing w:line="360" w:lineRule="auto"/>
        <w:jc w:val="left"/>
        <w:divId w:val="71331618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A02340" w:rsidRDefault="007F2250">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A02340" w:rsidRDefault="007F2250">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A02340" w:rsidRDefault="007F2250">
      <w:pPr>
        <w:spacing w:line="360" w:lineRule="auto"/>
        <w:ind w:firstLineChars="200" w:firstLine="420"/>
        <w:jc w:val="left"/>
        <w:divId w:val="1743287602"/>
      </w:pPr>
      <w:r>
        <w:rPr>
          <w:rFonts w:ascii="宋体" w:hAnsi="宋体" w:hint="eastAsia"/>
          <w:szCs w:val="21"/>
          <w:lang w:eastAsia="zh-Hans"/>
        </w:rPr>
        <w:t>无。</w:t>
      </w:r>
      <w:r>
        <w:rPr>
          <w:rFonts w:ascii="宋体" w:hAnsi="宋体" w:hint="eastAsia"/>
          <w:szCs w:val="21"/>
        </w:rPr>
        <w:t xml:space="preserve"> </w:t>
      </w:r>
    </w:p>
    <w:p w:rsidR="00A02340" w:rsidRDefault="007F2250">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rsidR="00A02340" w:rsidRDefault="007F2250">
      <w:pPr>
        <w:spacing w:line="360" w:lineRule="auto"/>
        <w:ind w:firstLineChars="200" w:firstLine="420"/>
        <w:jc w:val="left"/>
        <w:divId w:val="754589201"/>
      </w:pPr>
      <w:r>
        <w:rPr>
          <w:rFonts w:ascii="宋体" w:hAnsi="宋体" w:hint="eastAsia"/>
          <w:lang w:eastAsia="zh-Hans"/>
        </w:rPr>
        <w:t>无。</w:t>
      </w:r>
      <w:r>
        <w:rPr>
          <w:rFonts w:ascii="宋体" w:hAnsi="宋体" w:hint="eastAsia"/>
        </w:rPr>
        <w:t xml:space="preserve"> </w:t>
      </w:r>
    </w:p>
    <w:p w:rsidR="00A02340" w:rsidRDefault="007F2250">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A02340" w:rsidRDefault="007F2250">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9"/>
        <w:gridCol w:w="975"/>
        <w:gridCol w:w="1710"/>
        <w:gridCol w:w="1020"/>
        <w:gridCol w:w="1055"/>
        <w:gridCol w:w="1710"/>
        <w:gridCol w:w="1246"/>
      </w:tblGrid>
      <w:tr w:rsidR="00A02340">
        <w:trPr>
          <w:divId w:val="177621742"/>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jc w:val="center"/>
            </w:pPr>
            <w:bookmarkStart w:id="347" w:name="OLE_LINK42"/>
            <w:bookmarkStart w:id="348" w:name="OLE_LINK41"/>
            <w:bookmarkStart w:id="349" w:name="m13_01"/>
            <w:bookmarkStart w:id="350" w:name="m13_01_01"/>
            <w:bookmarkStart w:id="351" w:name="_Toc433036733"/>
            <w:bookmarkStart w:id="352" w:name="m12_01"/>
            <w:bookmarkEnd w:id="43"/>
            <w:bookmarkEnd w:id="44"/>
            <w:bookmarkEnd w:id="347"/>
            <w:bookmarkEnd w:id="348"/>
            <w:bookmarkEnd w:id="349"/>
            <w:bookmarkEnd w:id="350"/>
            <w:bookmarkEnd w:id="351"/>
            <w:bookmarkEnd w:id="352"/>
            <w:bookmarkEnd w:id="2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报告期末持有基金情况 </w:t>
            </w:r>
          </w:p>
        </w:tc>
      </w:tr>
      <w:tr w:rsidR="00A02340">
        <w:trPr>
          <w:divId w:val="17762174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340" w:rsidRDefault="00A0234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期初 </w:t>
            </w:r>
          </w:p>
          <w:p w:rsidR="00A02340" w:rsidRDefault="007F2250">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申购 </w:t>
            </w:r>
          </w:p>
          <w:p w:rsidR="00A02340" w:rsidRDefault="007F2250">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赎回 </w:t>
            </w:r>
          </w:p>
          <w:p w:rsidR="00A02340" w:rsidRDefault="007F2250">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02340" w:rsidRDefault="007F2250">
            <w:pPr>
              <w:widowControl/>
              <w:jc w:val="center"/>
            </w:pPr>
            <w:r>
              <w:rPr>
                <w:rFonts w:ascii="宋体" w:hAnsi="宋体" w:hint="eastAsia"/>
                <w:color w:val="000000"/>
                <w:kern w:val="0"/>
              </w:rPr>
              <w:t xml:space="preserve">份额占比 </w:t>
            </w:r>
          </w:p>
        </w:tc>
      </w:tr>
      <w:tr w:rsidR="00A02340">
        <w:trPr>
          <w:divId w:val="177621742"/>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right"/>
            </w:pPr>
            <w:r>
              <w:rPr>
                <w:rFonts w:ascii="宋体" w:hAnsi="宋体" w:hint="eastAsia"/>
                <w:color w:val="000000"/>
                <w:szCs w:val="21"/>
              </w:rPr>
              <w:t>2,036,922,000.69</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right"/>
            </w:pPr>
            <w:r>
              <w:rPr>
                <w:rFonts w:ascii="宋体" w:hAnsi="宋体" w:hint="eastAsia"/>
                <w:color w:val="000000"/>
                <w:szCs w:val="21"/>
              </w:rPr>
              <w:t>2,036,922,000.69</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right"/>
            </w:pPr>
            <w:r>
              <w:rPr>
                <w:rFonts w:ascii="宋体" w:hAnsi="宋体" w:hint="eastAsia"/>
                <w:color w:val="000000"/>
                <w:szCs w:val="21"/>
              </w:rPr>
              <w:t>25.71</w:t>
            </w:r>
            <w:r>
              <w:rPr>
                <w:szCs w:val="21"/>
              </w:rPr>
              <w:t>%</w:t>
            </w:r>
            <w:r>
              <w:t xml:space="preserve"> </w:t>
            </w:r>
          </w:p>
        </w:tc>
      </w:tr>
      <w:tr w:rsidR="00A02340">
        <w:trPr>
          <w:divId w:val="17762174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center"/>
            </w:pPr>
            <w:r>
              <w:rPr>
                <w:rFonts w:ascii="宋体" w:hAnsi="宋体" w:hint="eastAsia"/>
                <w:color w:val="000000"/>
                <w:kern w:val="0"/>
              </w:rPr>
              <w:t xml:space="preserve">产品特有风险 </w:t>
            </w:r>
          </w:p>
        </w:tc>
      </w:tr>
      <w:tr w:rsidR="00A02340">
        <w:trPr>
          <w:divId w:val="17762174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02340" w:rsidRDefault="007F2250">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A02340" w:rsidRDefault="007F2250">
      <w:pPr>
        <w:pStyle w:val="XBRLTitle1"/>
        <w:spacing w:before="156" w:line="360" w:lineRule="auto"/>
        <w:ind w:left="425"/>
      </w:pPr>
      <w:bookmarkStart w:id="353" w:name="_Toc17898228"/>
      <w:bookmarkStart w:id="354" w:name="_Toc17897969"/>
      <w:bookmarkStart w:id="355" w:name="_Toc512519529"/>
      <w:bookmarkStart w:id="356" w:name="_Toc490050049"/>
      <w:bookmarkStart w:id="357" w:name="_Toc481075097"/>
      <w:bookmarkStart w:id="358" w:name="_Toc438646481"/>
      <w:bookmarkStart w:id="359" w:name="_Toc513295878"/>
      <w:bookmarkStart w:id="360" w:name="_Toc513295941"/>
      <w:bookmarkEnd w:id="339"/>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rsidR="00A02340" w:rsidRDefault="007F2250">
      <w:pPr>
        <w:pStyle w:val="XBRLTitle2"/>
        <w:spacing w:before="156" w:line="360" w:lineRule="auto"/>
        <w:ind w:left="454"/>
      </w:pPr>
      <w:bookmarkStart w:id="361" w:name="_Toc438646482"/>
      <w:bookmarkStart w:id="362" w:name="_Toc17898229"/>
      <w:bookmarkStart w:id="363" w:name="_Toc17897970"/>
      <w:bookmarkStart w:id="364" w:name="_Toc512519530"/>
      <w:bookmarkStart w:id="365" w:name="_Toc481075098"/>
      <w:bookmarkStart w:id="366" w:name="_Toc490050050"/>
      <w:bookmarkStart w:id="367" w:name="_Toc513295879"/>
      <w:bookmarkStart w:id="368" w:name="_Toc513295942"/>
      <w:bookmarkStart w:id="369" w:name="m801_01_1733"/>
      <w:proofErr w:type="spellStart"/>
      <w:r>
        <w:rPr>
          <w:rFonts w:hAnsi="宋体" w:hint="eastAsia"/>
        </w:rPr>
        <w:t>备查文件目录</w:t>
      </w:r>
      <w:bookmarkEnd w:id="361"/>
      <w:bookmarkEnd w:id="362"/>
      <w:bookmarkEnd w:id="363"/>
      <w:bookmarkEnd w:id="364"/>
      <w:bookmarkEnd w:id="365"/>
      <w:bookmarkEnd w:id="366"/>
      <w:bookmarkEnd w:id="367"/>
      <w:bookmarkEnd w:id="368"/>
      <w:proofErr w:type="spellEnd"/>
      <w:r>
        <w:rPr>
          <w:rFonts w:hAnsi="宋体" w:hint="eastAsia"/>
        </w:rPr>
        <w:t xml:space="preserve"> </w:t>
      </w:r>
    </w:p>
    <w:p w:rsidR="00A02340" w:rsidRDefault="007F2250">
      <w:pPr>
        <w:spacing w:line="360" w:lineRule="auto"/>
        <w:ind w:firstLineChars="200" w:firstLine="420"/>
        <w:jc w:val="left"/>
      </w:pPr>
      <w:r>
        <w:rPr>
          <w:rFonts w:ascii="宋体" w:hAnsi="宋体" w:cs="宋体" w:hint="eastAsia"/>
          <w:color w:val="000000"/>
          <w:kern w:val="0"/>
        </w:rPr>
        <w:lastRenderedPageBreak/>
        <w:t>1、中国证监会准予本基金募集注册的文件</w:t>
      </w:r>
      <w:r>
        <w:rPr>
          <w:rFonts w:ascii="宋体" w:hAnsi="宋体" w:cs="宋体" w:hint="eastAsia"/>
          <w:color w:val="000000"/>
          <w:kern w:val="0"/>
        </w:rPr>
        <w:br/>
        <w:t xml:space="preserve">　　2、摩根瑞泰38个月定期开放债券型证券投资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3、摩根瑞泰38个月定期开放债券型证券投资基金托管协议</w:t>
      </w:r>
      <w:r>
        <w:rPr>
          <w:rFonts w:ascii="宋体" w:hAnsi="宋体" w:cs="宋体" w:hint="eastAsia"/>
          <w:color w:val="000000"/>
          <w:kern w:val="0"/>
        </w:rPr>
        <w:br/>
        <w:t xml:space="preserve">　　4、基金管理人业务资格批件、营业执照</w:t>
      </w:r>
      <w:r>
        <w:rPr>
          <w:rFonts w:ascii="宋体" w:hAnsi="宋体" w:cs="宋体" w:hint="eastAsia"/>
          <w:color w:val="000000"/>
          <w:kern w:val="0"/>
        </w:rPr>
        <w:br/>
        <w:t xml:space="preserve">　　5、基金托管人业务资格批件、营业执照</w:t>
      </w:r>
      <w:r>
        <w:rPr>
          <w:rFonts w:ascii="宋体" w:hAnsi="宋体" w:cs="宋体" w:hint="eastAsia"/>
          <w:color w:val="000000"/>
          <w:kern w:val="0"/>
        </w:rPr>
        <w:br/>
        <w:t xml:space="preserve">　　6、摩根基金管理(中国)有限公司开放式基金业务规则</w:t>
      </w:r>
    </w:p>
    <w:p w:rsidR="00A02340" w:rsidRDefault="007F2250">
      <w:pPr>
        <w:pStyle w:val="XBRLTitle2"/>
        <w:spacing w:before="156" w:line="360" w:lineRule="auto"/>
        <w:ind w:left="454"/>
      </w:pPr>
      <w:bookmarkStart w:id="370" w:name="_Toc438646483"/>
      <w:bookmarkStart w:id="371" w:name="_Toc17898230"/>
      <w:bookmarkStart w:id="372" w:name="_Toc17897971"/>
      <w:bookmarkStart w:id="373" w:name="_Toc512519531"/>
      <w:bookmarkStart w:id="374" w:name="_Toc481075099"/>
      <w:bookmarkStart w:id="375" w:name="_Toc490050051"/>
      <w:bookmarkStart w:id="376" w:name="_Toc513295880"/>
      <w:bookmarkStart w:id="377" w:name="_Toc513295943"/>
      <w:bookmarkStart w:id="378" w:name="m801_01_1734"/>
      <w:bookmarkEnd w:id="369"/>
      <w:proofErr w:type="spellStart"/>
      <w:r>
        <w:rPr>
          <w:rFonts w:hAnsi="宋体" w:hint="eastAsia"/>
        </w:rPr>
        <w:t>存放地点</w:t>
      </w:r>
      <w:bookmarkEnd w:id="370"/>
      <w:bookmarkEnd w:id="371"/>
      <w:bookmarkEnd w:id="372"/>
      <w:bookmarkEnd w:id="373"/>
      <w:bookmarkEnd w:id="374"/>
      <w:bookmarkEnd w:id="375"/>
      <w:bookmarkEnd w:id="376"/>
      <w:bookmarkEnd w:id="377"/>
      <w:proofErr w:type="spellEnd"/>
      <w:r>
        <w:rPr>
          <w:rFonts w:hAnsi="宋体" w:hint="eastAsia"/>
        </w:rPr>
        <w:t xml:space="preserve"> </w:t>
      </w:r>
    </w:p>
    <w:p w:rsidR="00A02340" w:rsidRDefault="007F2250">
      <w:pPr>
        <w:spacing w:line="360" w:lineRule="auto"/>
        <w:ind w:firstLineChars="200" w:firstLine="420"/>
        <w:jc w:val="left"/>
      </w:pPr>
      <w:r>
        <w:rPr>
          <w:rFonts w:ascii="宋体" w:hAnsi="宋体" w:cs="宋体" w:hint="eastAsia"/>
          <w:color w:val="000000"/>
          <w:kern w:val="0"/>
        </w:rPr>
        <w:t>基金管理人或基金托管人住所。</w:t>
      </w:r>
    </w:p>
    <w:p w:rsidR="00A02340" w:rsidRDefault="007F2250">
      <w:pPr>
        <w:pStyle w:val="XBRLTitle2"/>
        <w:spacing w:before="156" w:line="360" w:lineRule="auto"/>
        <w:ind w:left="454"/>
      </w:pPr>
      <w:bookmarkStart w:id="379" w:name="_Toc438646484"/>
      <w:bookmarkStart w:id="380" w:name="_Toc17898231"/>
      <w:bookmarkStart w:id="381" w:name="_Toc17897972"/>
      <w:bookmarkStart w:id="382" w:name="_Toc512519532"/>
      <w:bookmarkStart w:id="383" w:name="_Toc481075100"/>
      <w:bookmarkStart w:id="384" w:name="_Toc490050052"/>
      <w:bookmarkStart w:id="385" w:name="_Toc513295881"/>
      <w:bookmarkStart w:id="386" w:name="_Toc513295944"/>
      <w:bookmarkStart w:id="387" w:name="m801_01_1735"/>
      <w:bookmarkEnd w:id="378"/>
      <w:proofErr w:type="spellStart"/>
      <w:r>
        <w:rPr>
          <w:rFonts w:hAnsi="宋体" w:hint="eastAsia"/>
        </w:rPr>
        <w:t>查阅方式</w:t>
      </w:r>
      <w:bookmarkEnd w:id="379"/>
      <w:bookmarkEnd w:id="380"/>
      <w:bookmarkEnd w:id="381"/>
      <w:bookmarkEnd w:id="382"/>
      <w:bookmarkEnd w:id="383"/>
      <w:bookmarkEnd w:id="384"/>
      <w:bookmarkEnd w:id="385"/>
      <w:bookmarkEnd w:id="386"/>
      <w:proofErr w:type="spellEnd"/>
      <w:r>
        <w:rPr>
          <w:rFonts w:hAnsi="宋体" w:hint="eastAsia"/>
        </w:rPr>
        <w:t xml:space="preserve"> </w:t>
      </w:r>
    </w:p>
    <w:p w:rsidR="00A02340" w:rsidRDefault="007F225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7"/>
    <w:p w:rsidR="00A02340" w:rsidRDefault="007F2250">
      <w:pPr>
        <w:spacing w:line="360" w:lineRule="auto"/>
        <w:ind w:firstLineChars="600" w:firstLine="1687"/>
        <w:jc w:val="left"/>
      </w:pPr>
      <w:r>
        <w:rPr>
          <w:rFonts w:ascii="宋体" w:hAnsi="宋体" w:hint="eastAsia"/>
          <w:b/>
          <w:bCs/>
          <w:sz w:val="28"/>
          <w:szCs w:val="30"/>
        </w:rPr>
        <w:t xml:space="preserve">　 </w:t>
      </w:r>
    </w:p>
    <w:p w:rsidR="00A02340" w:rsidRDefault="007F2250">
      <w:pPr>
        <w:spacing w:line="360" w:lineRule="auto"/>
        <w:ind w:firstLineChars="600" w:firstLine="1687"/>
        <w:jc w:val="left"/>
      </w:pPr>
      <w:r>
        <w:rPr>
          <w:rFonts w:ascii="宋体" w:hAnsi="宋体" w:hint="eastAsia"/>
          <w:b/>
          <w:bCs/>
          <w:sz w:val="28"/>
          <w:szCs w:val="30"/>
        </w:rPr>
        <w:t xml:space="preserve">　 </w:t>
      </w:r>
    </w:p>
    <w:p w:rsidR="00A02340" w:rsidRDefault="007F2250">
      <w:pPr>
        <w:spacing w:line="360" w:lineRule="auto"/>
        <w:ind w:firstLineChars="600" w:firstLine="1446"/>
        <w:jc w:val="right"/>
      </w:pPr>
      <w:r>
        <w:rPr>
          <w:rFonts w:ascii="宋体" w:hAnsi="宋体" w:hint="eastAsia"/>
          <w:b/>
          <w:bCs/>
          <w:sz w:val="24"/>
          <w:szCs w:val="24"/>
        </w:rPr>
        <w:t>摩根基金管理（中国）有限公司</w:t>
      </w:r>
    </w:p>
    <w:p w:rsidR="00A02340" w:rsidRDefault="007F2250">
      <w:pPr>
        <w:spacing w:line="360" w:lineRule="auto"/>
        <w:ind w:firstLineChars="600" w:firstLine="1446"/>
        <w:jc w:val="right"/>
      </w:pPr>
      <w:r>
        <w:rPr>
          <w:rFonts w:ascii="宋体" w:hAnsi="宋体" w:hint="eastAsia"/>
          <w:b/>
          <w:bCs/>
          <w:sz w:val="24"/>
          <w:szCs w:val="24"/>
        </w:rPr>
        <w:t>2025年4月22日</w:t>
      </w:r>
      <w:bookmarkEnd w:id="24"/>
    </w:p>
    <w:sectPr w:rsidR="00A0234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40" w:rsidRDefault="007F2250">
      <w:pPr>
        <w:rPr>
          <w:szCs w:val="21"/>
        </w:rPr>
      </w:pPr>
      <w:r>
        <w:rPr>
          <w:szCs w:val="21"/>
        </w:rPr>
        <w:separator/>
      </w:r>
      <w:r>
        <w:rPr>
          <w:szCs w:val="21"/>
        </w:rPr>
        <w:t xml:space="preserve"> </w:t>
      </w:r>
    </w:p>
  </w:endnote>
  <w:endnote w:type="continuationSeparator" w:id="0">
    <w:p w:rsidR="00A02340" w:rsidRDefault="007F225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40" w:rsidRDefault="007F225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1C3D1B">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1C3D1B">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40" w:rsidRDefault="007F2250">
      <w:pPr>
        <w:rPr>
          <w:szCs w:val="21"/>
        </w:rPr>
      </w:pPr>
      <w:r>
        <w:rPr>
          <w:szCs w:val="21"/>
        </w:rPr>
        <w:separator/>
      </w:r>
      <w:r>
        <w:rPr>
          <w:szCs w:val="21"/>
        </w:rPr>
        <w:t xml:space="preserve"> </w:t>
      </w:r>
    </w:p>
  </w:footnote>
  <w:footnote w:type="continuationSeparator" w:id="0">
    <w:p w:rsidR="00A02340" w:rsidRDefault="007F225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40" w:rsidRDefault="007F2250">
    <w:pPr>
      <w:pStyle w:val="a8"/>
      <w:jc w:val="right"/>
    </w:pPr>
    <w:r>
      <w:rPr>
        <w:rFonts w:ascii="宋体" w:hAnsi="宋体" w:hint="eastAsia"/>
      </w:rPr>
      <w:t>摩根瑞泰38个月定期开放债券型证券投资基金2025年第1季度报告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50"/>
    <w:rsid w:val="001C3D1B"/>
    <w:rsid w:val="007F2250"/>
    <w:rsid w:val="00A0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3994">
      <w:marLeft w:val="0"/>
      <w:marRight w:val="0"/>
      <w:marTop w:val="0"/>
      <w:marBottom w:val="0"/>
      <w:divBdr>
        <w:top w:val="none" w:sz="0" w:space="0" w:color="auto"/>
        <w:left w:val="none" w:sz="0" w:space="0" w:color="auto"/>
        <w:bottom w:val="none" w:sz="0" w:space="0" w:color="auto"/>
        <w:right w:val="none" w:sz="0" w:space="0" w:color="auto"/>
      </w:divBdr>
    </w:div>
    <w:div w:id="223225172">
      <w:marLeft w:val="0"/>
      <w:marRight w:val="0"/>
      <w:marTop w:val="0"/>
      <w:marBottom w:val="0"/>
      <w:divBdr>
        <w:top w:val="none" w:sz="0" w:space="0" w:color="auto"/>
        <w:left w:val="none" w:sz="0" w:space="0" w:color="auto"/>
        <w:bottom w:val="none" w:sz="0" w:space="0" w:color="auto"/>
        <w:right w:val="none" w:sz="0" w:space="0" w:color="auto"/>
      </w:divBdr>
      <w:divsChild>
        <w:div w:id="777913418">
          <w:marLeft w:val="0"/>
          <w:marRight w:val="0"/>
          <w:marTop w:val="0"/>
          <w:marBottom w:val="0"/>
          <w:divBdr>
            <w:top w:val="none" w:sz="0" w:space="0" w:color="auto"/>
            <w:left w:val="none" w:sz="0" w:space="0" w:color="auto"/>
            <w:bottom w:val="none" w:sz="0" w:space="0" w:color="auto"/>
            <w:right w:val="none" w:sz="0" w:space="0" w:color="auto"/>
          </w:divBdr>
        </w:div>
      </w:divsChild>
    </w:div>
    <w:div w:id="318390946">
      <w:marLeft w:val="0"/>
      <w:marRight w:val="0"/>
      <w:marTop w:val="0"/>
      <w:marBottom w:val="0"/>
      <w:divBdr>
        <w:top w:val="none" w:sz="0" w:space="0" w:color="auto"/>
        <w:left w:val="none" w:sz="0" w:space="0" w:color="auto"/>
        <w:bottom w:val="none" w:sz="0" w:space="0" w:color="auto"/>
        <w:right w:val="none" w:sz="0" w:space="0" w:color="auto"/>
      </w:divBdr>
    </w:div>
    <w:div w:id="404449685">
      <w:marLeft w:val="0"/>
      <w:marRight w:val="0"/>
      <w:marTop w:val="0"/>
      <w:marBottom w:val="0"/>
      <w:divBdr>
        <w:top w:val="none" w:sz="0" w:space="0" w:color="auto"/>
        <w:left w:val="none" w:sz="0" w:space="0" w:color="auto"/>
        <w:bottom w:val="none" w:sz="0" w:space="0" w:color="auto"/>
        <w:right w:val="none" w:sz="0" w:space="0" w:color="auto"/>
      </w:divBdr>
    </w:div>
    <w:div w:id="457114856">
      <w:marLeft w:val="0"/>
      <w:marRight w:val="0"/>
      <w:marTop w:val="0"/>
      <w:marBottom w:val="0"/>
      <w:divBdr>
        <w:top w:val="none" w:sz="0" w:space="0" w:color="auto"/>
        <w:left w:val="none" w:sz="0" w:space="0" w:color="auto"/>
        <w:bottom w:val="none" w:sz="0" w:space="0" w:color="auto"/>
        <w:right w:val="none" w:sz="0" w:space="0" w:color="auto"/>
      </w:divBdr>
    </w:div>
    <w:div w:id="687563772">
      <w:marLeft w:val="0"/>
      <w:marRight w:val="0"/>
      <w:marTop w:val="0"/>
      <w:marBottom w:val="0"/>
      <w:divBdr>
        <w:top w:val="none" w:sz="0" w:space="0" w:color="auto"/>
        <w:left w:val="none" w:sz="0" w:space="0" w:color="auto"/>
        <w:bottom w:val="none" w:sz="0" w:space="0" w:color="auto"/>
        <w:right w:val="none" w:sz="0" w:space="0" w:color="auto"/>
      </w:divBdr>
      <w:divsChild>
        <w:div w:id="177621742">
          <w:marLeft w:val="0"/>
          <w:marRight w:val="0"/>
          <w:marTop w:val="0"/>
          <w:marBottom w:val="0"/>
          <w:divBdr>
            <w:top w:val="none" w:sz="0" w:space="0" w:color="auto"/>
            <w:left w:val="none" w:sz="0" w:space="0" w:color="auto"/>
            <w:bottom w:val="none" w:sz="0" w:space="0" w:color="auto"/>
            <w:right w:val="none" w:sz="0" w:space="0" w:color="auto"/>
          </w:divBdr>
        </w:div>
      </w:divsChild>
    </w:div>
    <w:div w:id="713316187">
      <w:marLeft w:val="0"/>
      <w:marRight w:val="0"/>
      <w:marTop w:val="0"/>
      <w:marBottom w:val="0"/>
      <w:divBdr>
        <w:top w:val="none" w:sz="0" w:space="0" w:color="auto"/>
        <w:left w:val="none" w:sz="0" w:space="0" w:color="auto"/>
        <w:bottom w:val="none" w:sz="0" w:space="0" w:color="auto"/>
        <w:right w:val="none" w:sz="0" w:space="0" w:color="auto"/>
      </w:divBdr>
    </w:div>
    <w:div w:id="754589201">
      <w:marLeft w:val="0"/>
      <w:marRight w:val="0"/>
      <w:marTop w:val="0"/>
      <w:marBottom w:val="0"/>
      <w:divBdr>
        <w:top w:val="none" w:sz="0" w:space="0" w:color="auto"/>
        <w:left w:val="none" w:sz="0" w:space="0" w:color="auto"/>
        <w:bottom w:val="none" w:sz="0" w:space="0" w:color="auto"/>
        <w:right w:val="none" w:sz="0" w:space="0" w:color="auto"/>
      </w:divBdr>
    </w:div>
    <w:div w:id="760880683">
      <w:marLeft w:val="0"/>
      <w:marRight w:val="0"/>
      <w:marTop w:val="0"/>
      <w:marBottom w:val="0"/>
      <w:divBdr>
        <w:top w:val="none" w:sz="0" w:space="0" w:color="auto"/>
        <w:left w:val="none" w:sz="0" w:space="0" w:color="auto"/>
        <w:bottom w:val="none" w:sz="0" w:space="0" w:color="auto"/>
        <w:right w:val="none" w:sz="0" w:space="0" w:color="auto"/>
      </w:divBdr>
    </w:div>
    <w:div w:id="804391920">
      <w:marLeft w:val="0"/>
      <w:marRight w:val="0"/>
      <w:marTop w:val="0"/>
      <w:marBottom w:val="0"/>
      <w:divBdr>
        <w:top w:val="none" w:sz="0" w:space="0" w:color="auto"/>
        <w:left w:val="none" w:sz="0" w:space="0" w:color="auto"/>
        <w:bottom w:val="none" w:sz="0" w:space="0" w:color="auto"/>
        <w:right w:val="none" w:sz="0" w:space="0" w:color="auto"/>
      </w:divBdr>
    </w:div>
    <w:div w:id="1053580321">
      <w:marLeft w:val="0"/>
      <w:marRight w:val="0"/>
      <w:marTop w:val="0"/>
      <w:marBottom w:val="0"/>
      <w:divBdr>
        <w:top w:val="none" w:sz="0" w:space="0" w:color="auto"/>
        <w:left w:val="none" w:sz="0" w:space="0" w:color="auto"/>
        <w:bottom w:val="none" w:sz="0" w:space="0" w:color="auto"/>
        <w:right w:val="none" w:sz="0" w:space="0" w:color="auto"/>
      </w:divBdr>
    </w:div>
    <w:div w:id="1066565248">
      <w:marLeft w:val="0"/>
      <w:marRight w:val="0"/>
      <w:marTop w:val="0"/>
      <w:marBottom w:val="0"/>
      <w:divBdr>
        <w:top w:val="none" w:sz="0" w:space="0" w:color="auto"/>
        <w:left w:val="none" w:sz="0" w:space="0" w:color="auto"/>
        <w:bottom w:val="none" w:sz="0" w:space="0" w:color="auto"/>
        <w:right w:val="none" w:sz="0" w:space="0" w:color="auto"/>
      </w:divBdr>
    </w:div>
    <w:div w:id="1373530774">
      <w:marLeft w:val="0"/>
      <w:marRight w:val="0"/>
      <w:marTop w:val="0"/>
      <w:marBottom w:val="0"/>
      <w:divBdr>
        <w:top w:val="none" w:sz="0" w:space="0" w:color="auto"/>
        <w:left w:val="none" w:sz="0" w:space="0" w:color="auto"/>
        <w:bottom w:val="none" w:sz="0" w:space="0" w:color="auto"/>
        <w:right w:val="none" w:sz="0" w:space="0" w:color="auto"/>
      </w:divBdr>
    </w:div>
    <w:div w:id="1419055731">
      <w:marLeft w:val="0"/>
      <w:marRight w:val="0"/>
      <w:marTop w:val="0"/>
      <w:marBottom w:val="0"/>
      <w:divBdr>
        <w:top w:val="none" w:sz="0" w:space="0" w:color="auto"/>
        <w:left w:val="none" w:sz="0" w:space="0" w:color="auto"/>
        <w:bottom w:val="none" w:sz="0" w:space="0" w:color="auto"/>
        <w:right w:val="none" w:sz="0" w:space="0" w:color="auto"/>
      </w:divBdr>
    </w:div>
    <w:div w:id="1663972007">
      <w:marLeft w:val="0"/>
      <w:marRight w:val="0"/>
      <w:marTop w:val="0"/>
      <w:marBottom w:val="0"/>
      <w:divBdr>
        <w:top w:val="none" w:sz="0" w:space="0" w:color="auto"/>
        <w:left w:val="none" w:sz="0" w:space="0" w:color="auto"/>
        <w:bottom w:val="none" w:sz="0" w:space="0" w:color="auto"/>
        <w:right w:val="none" w:sz="0" w:space="0" w:color="auto"/>
      </w:divBdr>
    </w:div>
    <w:div w:id="1703288626">
      <w:marLeft w:val="0"/>
      <w:marRight w:val="0"/>
      <w:marTop w:val="0"/>
      <w:marBottom w:val="0"/>
      <w:divBdr>
        <w:top w:val="none" w:sz="0" w:space="0" w:color="auto"/>
        <w:left w:val="none" w:sz="0" w:space="0" w:color="auto"/>
        <w:bottom w:val="none" w:sz="0" w:space="0" w:color="auto"/>
        <w:right w:val="none" w:sz="0" w:space="0" w:color="auto"/>
      </w:divBdr>
    </w:div>
    <w:div w:id="1743287602">
      <w:marLeft w:val="0"/>
      <w:marRight w:val="0"/>
      <w:marTop w:val="0"/>
      <w:marBottom w:val="0"/>
      <w:divBdr>
        <w:top w:val="none" w:sz="0" w:space="0" w:color="auto"/>
        <w:left w:val="none" w:sz="0" w:space="0" w:color="auto"/>
        <w:bottom w:val="none" w:sz="0" w:space="0" w:color="auto"/>
        <w:right w:val="none" w:sz="0" w:space="0" w:color="auto"/>
      </w:divBdr>
    </w:div>
    <w:div w:id="1769156794">
      <w:marLeft w:val="0"/>
      <w:marRight w:val="0"/>
      <w:marTop w:val="0"/>
      <w:marBottom w:val="0"/>
      <w:divBdr>
        <w:top w:val="none" w:sz="0" w:space="0" w:color="auto"/>
        <w:left w:val="none" w:sz="0" w:space="0" w:color="auto"/>
        <w:bottom w:val="none" w:sz="0" w:space="0" w:color="auto"/>
        <w:right w:val="none" w:sz="0" w:space="0" w:color="auto"/>
      </w:divBdr>
      <w:divsChild>
        <w:div w:id="1663311753">
          <w:marLeft w:val="0"/>
          <w:marRight w:val="0"/>
          <w:marTop w:val="0"/>
          <w:marBottom w:val="0"/>
          <w:divBdr>
            <w:top w:val="none" w:sz="0" w:space="0" w:color="auto"/>
            <w:left w:val="none" w:sz="0" w:space="0" w:color="auto"/>
            <w:bottom w:val="none" w:sz="0" w:space="0" w:color="auto"/>
            <w:right w:val="none" w:sz="0" w:space="0" w:color="auto"/>
          </w:divBdr>
        </w:div>
      </w:divsChild>
    </w:div>
    <w:div w:id="1789008749">
      <w:marLeft w:val="0"/>
      <w:marRight w:val="0"/>
      <w:marTop w:val="0"/>
      <w:marBottom w:val="0"/>
      <w:divBdr>
        <w:top w:val="none" w:sz="0" w:space="0" w:color="auto"/>
        <w:left w:val="none" w:sz="0" w:space="0" w:color="auto"/>
        <w:bottom w:val="none" w:sz="0" w:space="0" w:color="auto"/>
        <w:right w:val="none" w:sz="0" w:space="0" w:color="auto"/>
      </w:divBdr>
    </w:div>
    <w:div w:id="1848977421">
      <w:marLeft w:val="0"/>
      <w:marRight w:val="0"/>
      <w:marTop w:val="0"/>
      <w:marBottom w:val="0"/>
      <w:divBdr>
        <w:top w:val="none" w:sz="0" w:space="0" w:color="auto"/>
        <w:left w:val="none" w:sz="0" w:space="0" w:color="auto"/>
        <w:bottom w:val="none" w:sz="0" w:space="0" w:color="auto"/>
        <w:right w:val="none" w:sz="0" w:space="0" w:color="auto"/>
      </w:divBdr>
      <w:divsChild>
        <w:div w:id="1431313599">
          <w:marLeft w:val="0"/>
          <w:marRight w:val="0"/>
          <w:marTop w:val="0"/>
          <w:marBottom w:val="0"/>
          <w:divBdr>
            <w:top w:val="none" w:sz="0" w:space="0" w:color="auto"/>
            <w:left w:val="none" w:sz="0" w:space="0" w:color="auto"/>
            <w:bottom w:val="none" w:sz="0" w:space="0" w:color="auto"/>
            <w:right w:val="none" w:sz="0" w:space="0" w:color="auto"/>
          </w:divBdr>
        </w:div>
      </w:divsChild>
    </w:div>
    <w:div w:id="1953315177">
      <w:marLeft w:val="0"/>
      <w:marRight w:val="0"/>
      <w:marTop w:val="0"/>
      <w:marBottom w:val="0"/>
      <w:divBdr>
        <w:top w:val="none" w:sz="0" w:space="0" w:color="auto"/>
        <w:left w:val="none" w:sz="0" w:space="0" w:color="auto"/>
        <w:bottom w:val="none" w:sz="0" w:space="0" w:color="auto"/>
        <w:right w:val="none" w:sz="0" w:space="0" w:color="auto"/>
      </w:divBdr>
      <w:divsChild>
        <w:div w:id="1459253906">
          <w:marLeft w:val="0"/>
          <w:marRight w:val="0"/>
          <w:marTop w:val="0"/>
          <w:marBottom w:val="0"/>
          <w:divBdr>
            <w:top w:val="none" w:sz="0" w:space="0" w:color="auto"/>
            <w:left w:val="none" w:sz="0" w:space="0" w:color="auto"/>
            <w:bottom w:val="none" w:sz="0" w:space="0" w:color="auto"/>
            <w:right w:val="none" w:sz="0" w:space="0" w:color="auto"/>
          </w:divBdr>
        </w:div>
        <w:div w:id="2008287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4376-B3EB-41F6-AD69-C64F016C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5362</Words>
  <Characters>1823</Characters>
  <Application>Microsoft Office Word</Application>
  <DocSecurity>0</DocSecurity>
  <Lines>15</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2025-04-15T12:14:00Z</dcterms:created>
  <dcterms:modified xsi:type="dcterms:W3CDTF">2025-04-21T08:10:00Z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