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7,923,455,732.55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02598" w:rsidRDefault="000620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7,923,440,765.03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14,967.52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70,762,351.21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123.91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70,762,351.21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123.91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8,170,909,886.16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15,386.03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1.0280</w:t>
            </w:r>
          </w:p>
        </w:tc>
      </w:tr>
    </w:tbl>
    <w:p w:rsidR="00E02598" w:rsidRDefault="000620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02598">
        <w:tc>
          <w:tcPr>
            <w:tcW w:w="1290" w:type="dxa"/>
            <w:vAlign w:val="center"/>
          </w:tcPr>
          <w:p w:rsidR="00E02598" w:rsidRDefault="0006207F">
            <w:pPr>
              <w:jc w:val="left"/>
            </w:pPr>
            <w:r>
              <w:rPr>
                <w:rFonts w:eastAsiaTheme="minorEastAsia"/>
                <w:color w:val="000000" w:themeColor="text1"/>
                <w:szCs w:val="21"/>
              </w:rPr>
              <w:t>过去三个月</w:t>
            </w:r>
          </w:p>
        </w:tc>
        <w:tc>
          <w:tcPr>
            <w:tcW w:w="1291" w:type="dxa"/>
            <w:vAlign w:val="center"/>
          </w:tcPr>
          <w:p w:rsidR="00E02598" w:rsidRDefault="0006207F">
            <w:pPr>
              <w:jc w:val="right"/>
            </w:pPr>
            <w:r>
              <w:rPr>
                <w:rFonts w:eastAsiaTheme="minorEastAsia"/>
                <w:color w:val="000000" w:themeColor="text1"/>
                <w:szCs w:val="21"/>
              </w:rPr>
              <w:t>0.87%</w:t>
            </w:r>
          </w:p>
        </w:tc>
        <w:tc>
          <w:tcPr>
            <w:tcW w:w="1291" w:type="dxa"/>
            <w:vAlign w:val="center"/>
          </w:tcPr>
          <w:p w:rsidR="00E02598" w:rsidRDefault="0006207F">
            <w:pPr>
              <w:jc w:val="right"/>
            </w:pPr>
            <w:r>
              <w:rPr>
                <w:rFonts w:eastAsiaTheme="minorEastAsia"/>
                <w:color w:val="000000" w:themeColor="text1"/>
                <w:szCs w:val="21"/>
              </w:rPr>
              <w:t>0.02%</w:t>
            </w:r>
          </w:p>
        </w:tc>
        <w:tc>
          <w:tcPr>
            <w:tcW w:w="1291" w:type="dxa"/>
            <w:vAlign w:val="center"/>
          </w:tcPr>
          <w:p w:rsidR="00E02598" w:rsidRDefault="0006207F">
            <w:pPr>
              <w:jc w:val="right"/>
            </w:pPr>
            <w:r>
              <w:rPr>
                <w:rFonts w:eastAsiaTheme="minorEastAsia"/>
                <w:color w:val="000000" w:themeColor="text1"/>
                <w:szCs w:val="21"/>
              </w:rPr>
              <w:t>0.95%</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-0.08%</w:t>
            </w:r>
          </w:p>
        </w:tc>
        <w:tc>
          <w:tcPr>
            <w:tcW w:w="1291" w:type="dxa"/>
            <w:vAlign w:val="center"/>
          </w:tcPr>
          <w:p w:rsidR="00E02598" w:rsidRDefault="0006207F">
            <w:pPr>
              <w:jc w:val="right"/>
            </w:pPr>
            <w:r>
              <w:rPr>
                <w:rFonts w:eastAsiaTheme="minorEastAsia"/>
                <w:color w:val="000000" w:themeColor="text1"/>
                <w:szCs w:val="21"/>
              </w:rPr>
              <w:t>0.01%</w:t>
            </w:r>
          </w:p>
        </w:tc>
      </w:tr>
      <w:tr w:rsidR="00E02598">
        <w:tc>
          <w:tcPr>
            <w:tcW w:w="1290" w:type="dxa"/>
            <w:vAlign w:val="center"/>
          </w:tcPr>
          <w:p w:rsidR="00E02598" w:rsidRDefault="0006207F">
            <w:pPr>
              <w:jc w:val="left"/>
            </w:pPr>
            <w:r>
              <w:rPr>
                <w:rFonts w:eastAsiaTheme="minorEastAsia"/>
                <w:color w:val="000000" w:themeColor="text1"/>
                <w:szCs w:val="21"/>
              </w:rPr>
              <w:t>过去六个月</w:t>
            </w:r>
          </w:p>
        </w:tc>
        <w:tc>
          <w:tcPr>
            <w:tcW w:w="1291" w:type="dxa"/>
            <w:vAlign w:val="center"/>
          </w:tcPr>
          <w:p w:rsidR="00E02598" w:rsidRDefault="0006207F">
            <w:pPr>
              <w:jc w:val="right"/>
            </w:pPr>
            <w:r>
              <w:rPr>
                <w:rFonts w:eastAsiaTheme="minorEastAsia"/>
                <w:color w:val="000000" w:themeColor="text1"/>
                <w:szCs w:val="21"/>
              </w:rPr>
              <w:t>1.42%</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1.90%</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-0.48%</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过去一年</w:t>
            </w:r>
          </w:p>
        </w:tc>
        <w:tc>
          <w:tcPr>
            <w:tcW w:w="1291" w:type="dxa"/>
            <w:vAlign w:val="center"/>
          </w:tcPr>
          <w:p w:rsidR="00E02598" w:rsidRDefault="0006207F">
            <w:pPr>
              <w:jc w:val="right"/>
            </w:pPr>
            <w:r>
              <w:rPr>
                <w:rFonts w:eastAsiaTheme="minorEastAsia"/>
                <w:color w:val="000000" w:themeColor="text1"/>
                <w:szCs w:val="21"/>
              </w:rPr>
              <w:t>2.48%</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3.81%</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-1.33%</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过去三年</w:t>
            </w:r>
          </w:p>
        </w:tc>
        <w:tc>
          <w:tcPr>
            <w:tcW w:w="1291" w:type="dxa"/>
            <w:vAlign w:val="center"/>
          </w:tcPr>
          <w:p w:rsidR="00E02598" w:rsidRDefault="0006207F">
            <w:pPr>
              <w:jc w:val="right"/>
            </w:pPr>
            <w:r>
              <w:rPr>
                <w:rFonts w:eastAsiaTheme="minorEastAsia"/>
                <w:color w:val="000000" w:themeColor="text1"/>
                <w:szCs w:val="21"/>
              </w:rPr>
              <w:t>8.38%</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11.42%</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-3.04%</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过去五年</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r>
      <w:tr w:rsidR="00E02598">
        <w:tc>
          <w:tcPr>
            <w:tcW w:w="1290" w:type="dxa"/>
            <w:vAlign w:val="center"/>
          </w:tcPr>
          <w:p w:rsidR="00E02598" w:rsidRDefault="0006207F">
            <w:pPr>
              <w:jc w:val="left"/>
            </w:pPr>
            <w:r>
              <w:rPr>
                <w:rFonts w:eastAsiaTheme="minorEastAsia"/>
                <w:color w:val="000000" w:themeColor="text1"/>
                <w:szCs w:val="21"/>
              </w:rPr>
              <w:t>自基金合同生效起至今</w:t>
            </w:r>
          </w:p>
        </w:tc>
        <w:tc>
          <w:tcPr>
            <w:tcW w:w="1291" w:type="dxa"/>
            <w:vAlign w:val="center"/>
          </w:tcPr>
          <w:p w:rsidR="00E02598" w:rsidRDefault="0006207F">
            <w:pPr>
              <w:jc w:val="right"/>
            </w:pPr>
            <w:r>
              <w:rPr>
                <w:rFonts w:eastAsiaTheme="minorEastAsia"/>
                <w:color w:val="000000" w:themeColor="text1"/>
                <w:szCs w:val="21"/>
              </w:rPr>
              <w:t>11.09%</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16.31%</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-5.22%</w:t>
            </w:r>
          </w:p>
        </w:tc>
        <w:tc>
          <w:tcPr>
            <w:tcW w:w="1291" w:type="dxa"/>
            <w:vAlign w:val="center"/>
          </w:tcPr>
          <w:p w:rsidR="00E02598" w:rsidRDefault="0006207F">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02598">
        <w:tc>
          <w:tcPr>
            <w:tcW w:w="1290" w:type="dxa"/>
            <w:vAlign w:val="center"/>
          </w:tcPr>
          <w:p w:rsidR="00E02598" w:rsidRDefault="0006207F">
            <w:pPr>
              <w:jc w:val="left"/>
            </w:pPr>
            <w:r>
              <w:rPr>
                <w:rFonts w:eastAsiaTheme="minorEastAsia"/>
                <w:color w:val="000000" w:themeColor="text1"/>
                <w:szCs w:val="21"/>
              </w:rPr>
              <w:t>过去三个月</w:t>
            </w:r>
          </w:p>
        </w:tc>
        <w:tc>
          <w:tcPr>
            <w:tcW w:w="1291" w:type="dxa"/>
            <w:vAlign w:val="center"/>
          </w:tcPr>
          <w:p w:rsidR="00E02598" w:rsidRDefault="0006207F">
            <w:pPr>
              <w:jc w:val="right"/>
            </w:pPr>
            <w:r>
              <w:rPr>
                <w:rFonts w:eastAsiaTheme="minorEastAsia"/>
                <w:color w:val="000000" w:themeColor="text1"/>
                <w:szCs w:val="21"/>
              </w:rPr>
              <w:t>0.81%</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0.95%</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-0.14%</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过去六个月</w:t>
            </w:r>
          </w:p>
        </w:tc>
        <w:tc>
          <w:tcPr>
            <w:tcW w:w="1291" w:type="dxa"/>
            <w:vAlign w:val="center"/>
          </w:tcPr>
          <w:p w:rsidR="00E02598" w:rsidRDefault="0006207F">
            <w:pPr>
              <w:jc w:val="right"/>
            </w:pPr>
            <w:r>
              <w:rPr>
                <w:rFonts w:eastAsiaTheme="minorEastAsia"/>
                <w:color w:val="000000" w:themeColor="text1"/>
                <w:szCs w:val="21"/>
              </w:rPr>
              <w:t>1.30%</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1.90%</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-0.60%</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过去一年</w:t>
            </w:r>
          </w:p>
        </w:tc>
        <w:tc>
          <w:tcPr>
            <w:tcW w:w="1291" w:type="dxa"/>
            <w:vAlign w:val="center"/>
          </w:tcPr>
          <w:p w:rsidR="00E02598" w:rsidRDefault="0006207F">
            <w:pPr>
              <w:jc w:val="right"/>
            </w:pPr>
            <w:r>
              <w:rPr>
                <w:rFonts w:eastAsiaTheme="minorEastAsia"/>
                <w:color w:val="000000" w:themeColor="text1"/>
                <w:szCs w:val="21"/>
              </w:rPr>
              <w:t>2.24%</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3.81%</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-1.57%</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过去三年</w:t>
            </w:r>
          </w:p>
        </w:tc>
        <w:tc>
          <w:tcPr>
            <w:tcW w:w="1291" w:type="dxa"/>
            <w:vAlign w:val="center"/>
          </w:tcPr>
          <w:p w:rsidR="00E02598" w:rsidRDefault="0006207F">
            <w:pPr>
              <w:jc w:val="right"/>
            </w:pPr>
            <w:r>
              <w:rPr>
                <w:rFonts w:eastAsiaTheme="minorEastAsia"/>
                <w:color w:val="000000" w:themeColor="text1"/>
                <w:szCs w:val="21"/>
              </w:rPr>
              <w:t>7.59%</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11.42%</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-3.83%</w:t>
            </w:r>
          </w:p>
        </w:tc>
        <w:tc>
          <w:tcPr>
            <w:tcW w:w="1291" w:type="dxa"/>
            <w:vAlign w:val="center"/>
          </w:tcPr>
          <w:p w:rsidR="00E02598" w:rsidRDefault="0006207F">
            <w:pPr>
              <w:jc w:val="right"/>
            </w:pPr>
            <w:r>
              <w:rPr>
                <w:rFonts w:eastAsiaTheme="minorEastAsia"/>
                <w:color w:val="000000" w:themeColor="text1"/>
                <w:szCs w:val="21"/>
              </w:rPr>
              <w:t>0.00%</w:t>
            </w:r>
          </w:p>
        </w:tc>
      </w:tr>
      <w:tr w:rsidR="00E02598">
        <w:tc>
          <w:tcPr>
            <w:tcW w:w="1290" w:type="dxa"/>
            <w:vAlign w:val="center"/>
          </w:tcPr>
          <w:p w:rsidR="00E02598" w:rsidRDefault="0006207F">
            <w:pPr>
              <w:jc w:val="left"/>
            </w:pPr>
            <w:r>
              <w:rPr>
                <w:rFonts w:eastAsiaTheme="minorEastAsia"/>
                <w:color w:val="000000" w:themeColor="text1"/>
                <w:szCs w:val="21"/>
              </w:rPr>
              <w:t>过去五年</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c>
          <w:tcPr>
            <w:tcW w:w="1291" w:type="dxa"/>
            <w:vAlign w:val="center"/>
          </w:tcPr>
          <w:p w:rsidR="00E02598" w:rsidRDefault="0006207F">
            <w:pPr>
              <w:jc w:val="right"/>
            </w:pPr>
            <w:r>
              <w:rPr>
                <w:rFonts w:eastAsiaTheme="minorEastAsia"/>
                <w:color w:val="000000" w:themeColor="text1"/>
                <w:szCs w:val="21"/>
              </w:rPr>
              <w:t>-</w:t>
            </w:r>
          </w:p>
        </w:tc>
      </w:tr>
      <w:tr w:rsidR="00E02598">
        <w:tc>
          <w:tcPr>
            <w:tcW w:w="1290" w:type="dxa"/>
            <w:vAlign w:val="center"/>
          </w:tcPr>
          <w:p w:rsidR="00E02598" w:rsidRDefault="0006207F">
            <w:pPr>
              <w:jc w:val="left"/>
            </w:pPr>
            <w:r>
              <w:rPr>
                <w:rFonts w:eastAsiaTheme="minorEastAsia"/>
                <w:color w:val="000000" w:themeColor="text1"/>
                <w:szCs w:val="21"/>
              </w:rPr>
              <w:t>自基金合同生效起至今</w:t>
            </w:r>
          </w:p>
        </w:tc>
        <w:tc>
          <w:tcPr>
            <w:tcW w:w="1291" w:type="dxa"/>
            <w:vAlign w:val="center"/>
          </w:tcPr>
          <w:p w:rsidR="00E02598" w:rsidRDefault="0006207F">
            <w:pPr>
              <w:jc w:val="right"/>
            </w:pPr>
            <w:r>
              <w:rPr>
                <w:rFonts w:eastAsiaTheme="minorEastAsia"/>
                <w:color w:val="000000" w:themeColor="text1"/>
                <w:szCs w:val="21"/>
              </w:rPr>
              <w:t>9.92%</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16.31%</w:t>
            </w:r>
          </w:p>
        </w:tc>
        <w:tc>
          <w:tcPr>
            <w:tcW w:w="1291" w:type="dxa"/>
            <w:vAlign w:val="center"/>
          </w:tcPr>
          <w:p w:rsidR="00E02598" w:rsidRDefault="0006207F">
            <w:pPr>
              <w:jc w:val="right"/>
            </w:pPr>
            <w:r>
              <w:rPr>
                <w:rFonts w:eastAsiaTheme="minorEastAsia"/>
                <w:color w:val="000000" w:themeColor="text1"/>
                <w:szCs w:val="21"/>
              </w:rPr>
              <w:t>0.01%</w:t>
            </w:r>
          </w:p>
        </w:tc>
        <w:tc>
          <w:tcPr>
            <w:tcW w:w="1291" w:type="dxa"/>
            <w:vAlign w:val="center"/>
          </w:tcPr>
          <w:p w:rsidR="00E02598" w:rsidRDefault="0006207F">
            <w:pPr>
              <w:jc w:val="right"/>
            </w:pPr>
            <w:r>
              <w:rPr>
                <w:rFonts w:eastAsiaTheme="minorEastAsia"/>
                <w:color w:val="000000" w:themeColor="text1"/>
                <w:szCs w:val="21"/>
              </w:rPr>
              <w:t>-6.39%</w:t>
            </w:r>
          </w:p>
        </w:tc>
        <w:tc>
          <w:tcPr>
            <w:tcW w:w="1291" w:type="dxa"/>
            <w:vAlign w:val="center"/>
          </w:tcPr>
          <w:p w:rsidR="00E02598" w:rsidRDefault="0006207F">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02598">
        <w:tc>
          <w:tcPr>
            <w:tcW w:w="952" w:type="dxa"/>
            <w:vAlign w:val="center"/>
          </w:tcPr>
          <w:p w:rsidR="00E02598" w:rsidRDefault="0006207F">
            <w:pPr>
              <w:jc w:val="center"/>
            </w:pPr>
            <w:r>
              <w:rPr>
                <w:rFonts w:eastAsiaTheme="minorEastAsia"/>
                <w:color w:val="000000" w:themeColor="text1"/>
                <w:szCs w:val="21"/>
              </w:rPr>
              <w:t>任翔</w:t>
            </w:r>
          </w:p>
        </w:tc>
        <w:tc>
          <w:tcPr>
            <w:tcW w:w="930" w:type="dxa"/>
            <w:vAlign w:val="center"/>
          </w:tcPr>
          <w:p w:rsidR="00E02598" w:rsidRDefault="0006207F">
            <w:pPr>
              <w:jc w:val="center"/>
            </w:pPr>
            <w:r>
              <w:rPr>
                <w:rFonts w:eastAsiaTheme="minorEastAsia"/>
                <w:color w:val="000000" w:themeColor="text1"/>
                <w:szCs w:val="21"/>
              </w:rPr>
              <w:t>本基金基金经理</w:t>
            </w:r>
          </w:p>
        </w:tc>
        <w:tc>
          <w:tcPr>
            <w:tcW w:w="1210" w:type="dxa"/>
            <w:vAlign w:val="center"/>
          </w:tcPr>
          <w:p w:rsidR="00E02598" w:rsidRDefault="0006207F">
            <w:pPr>
              <w:jc w:val="center"/>
            </w:pPr>
            <w:r>
              <w:rPr>
                <w:rFonts w:eastAsiaTheme="minorEastAsia"/>
                <w:color w:val="000000" w:themeColor="text1"/>
                <w:szCs w:val="21"/>
              </w:rPr>
              <w:t>2020-03-18</w:t>
            </w:r>
          </w:p>
        </w:tc>
        <w:tc>
          <w:tcPr>
            <w:tcW w:w="1309" w:type="dxa"/>
            <w:vAlign w:val="center"/>
          </w:tcPr>
          <w:p w:rsidR="00E02598" w:rsidRDefault="0006207F">
            <w:pPr>
              <w:jc w:val="center"/>
            </w:pPr>
            <w:r>
              <w:rPr>
                <w:rFonts w:eastAsiaTheme="minorEastAsia"/>
                <w:color w:val="000000" w:themeColor="text1"/>
                <w:szCs w:val="21"/>
              </w:rPr>
              <w:t>-</w:t>
            </w:r>
          </w:p>
        </w:tc>
        <w:tc>
          <w:tcPr>
            <w:tcW w:w="1254" w:type="dxa"/>
            <w:vAlign w:val="center"/>
          </w:tcPr>
          <w:p w:rsidR="00E02598" w:rsidRDefault="0006207F">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E02598" w:rsidRDefault="0006207F">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E02598" w:rsidRDefault="000620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02598" w:rsidRDefault="000620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二季度债市表现整体偏强，债券收益率震荡下行。二季度经济表现虽延续修复，但结构上看依然存在分化，地产销售持续走弱，宏观基本面支持收益率下行。</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日，市场利率定价自律机制发布了《关于禁止通过手工补息高息揽储</w:t>
      </w:r>
      <w:r>
        <w:rPr>
          <w:rFonts w:eastAsiaTheme="minorEastAsia"/>
          <w:color w:val="000000" w:themeColor="text1"/>
          <w:szCs w:val="21"/>
        </w:rPr>
        <w:t xml:space="preserve"> </w:t>
      </w:r>
      <w:r>
        <w:rPr>
          <w:rFonts w:eastAsiaTheme="minorEastAsia"/>
          <w:color w:val="000000" w:themeColor="text1"/>
          <w:szCs w:val="21"/>
        </w:rPr>
        <w:t>维护存款市场竞争秩序的倡议》，助推资金流入债市，叠加利率债供给偏慢、权益市场偏弱，收益率延续下行。</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日，央行相关部门负责人就长期国债收益率表态，引发市场担忧，交易情绪驱动下，收益率快速上行。</w:t>
      </w:r>
      <w:r>
        <w:rPr>
          <w:rFonts w:eastAsiaTheme="minorEastAsia"/>
          <w:color w:val="000000" w:themeColor="text1"/>
          <w:szCs w:val="21"/>
        </w:rPr>
        <w:t>10</w:t>
      </w:r>
      <w:r>
        <w:rPr>
          <w:rFonts w:eastAsiaTheme="minorEastAsia"/>
          <w:color w:val="000000" w:themeColor="text1"/>
          <w:szCs w:val="21"/>
        </w:rPr>
        <w:t>年国债收益率回升至季度初上方。</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日，央行在公开市场进行大额净投放，维稳跨月资金面，债市情绪缓和，收益率趋稳转为震荡下行，曲线走陡。</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日，特别国债发行方案落地，发行节奏较为平滑，市场对供给冲击的担忧解除。此后收益率顺畅下行，直至季末。</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本基金在二季度保持了既有配置，维持基金杠杆率。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在地产修复趋势确认前，债券收益率趋势性向上的概率较低。我们将密切跟踪地产收储相关政策落地状况以及二手房市场交易状况以支撑我们的判断。同时，技术层面我们重点关注央行对收益率曲线的态度，以及之后其在二级市场进行国债交易的相关细节。总体上，我们预计将维持稳健的久期和仓位水平，灵活应对市场变化。</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:0.87%</w:t>
      </w:r>
      <w:r>
        <w:rPr>
          <w:rFonts w:eastAsiaTheme="minorEastAsia"/>
          <w:color w:val="000000" w:themeColor="text1"/>
          <w:szCs w:val="21"/>
        </w:rPr>
        <w:t>，同期业绩比较基准收益率为</w:t>
      </w:r>
      <w:r>
        <w:rPr>
          <w:rFonts w:eastAsiaTheme="minorEastAsia"/>
          <w:color w:val="000000" w:themeColor="text1"/>
          <w:szCs w:val="21"/>
        </w:rPr>
        <w:t>:0.95%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13,190,092,943.89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13,190,092,943.89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5,320,337.41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13,195,413,281.30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13,190,092,943.89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161.43</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8,528,941,871.12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104.38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13,190,092,943.89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02598">
        <w:tc>
          <w:tcPr>
            <w:tcW w:w="1504" w:type="dxa"/>
            <w:vAlign w:val="center"/>
          </w:tcPr>
          <w:p w:rsidR="00E02598" w:rsidRDefault="0006207F">
            <w:pPr>
              <w:jc w:val="center"/>
            </w:pPr>
            <w:r>
              <w:rPr>
                <w:rFonts w:eastAsiaTheme="minorEastAsia"/>
                <w:color w:val="000000" w:themeColor="text1"/>
                <w:szCs w:val="21"/>
              </w:rPr>
              <w:t>1</w:t>
            </w:r>
          </w:p>
        </w:tc>
        <w:tc>
          <w:tcPr>
            <w:tcW w:w="1504" w:type="dxa"/>
            <w:vAlign w:val="center"/>
          </w:tcPr>
          <w:p w:rsidR="00E02598" w:rsidRDefault="0006207F">
            <w:pPr>
              <w:jc w:val="center"/>
            </w:pPr>
            <w:r>
              <w:rPr>
                <w:rFonts w:eastAsiaTheme="minorEastAsia"/>
                <w:color w:val="000000" w:themeColor="text1"/>
                <w:szCs w:val="21"/>
              </w:rPr>
              <w:t>160210</w:t>
            </w:r>
          </w:p>
        </w:tc>
        <w:tc>
          <w:tcPr>
            <w:tcW w:w="1504" w:type="dxa"/>
            <w:vAlign w:val="center"/>
          </w:tcPr>
          <w:p w:rsidR="00E02598" w:rsidRDefault="0006207F">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E02598" w:rsidRDefault="0006207F">
            <w:pPr>
              <w:jc w:val="right"/>
            </w:pPr>
            <w:r>
              <w:rPr>
                <w:rFonts w:eastAsiaTheme="minorEastAsia"/>
                <w:color w:val="000000" w:themeColor="text1"/>
                <w:szCs w:val="21"/>
              </w:rPr>
              <w:t>31,200,000</w:t>
            </w:r>
          </w:p>
        </w:tc>
        <w:tc>
          <w:tcPr>
            <w:tcW w:w="1503" w:type="dxa"/>
            <w:vAlign w:val="center"/>
          </w:tcPr>
          <w:p w:rsidR="00E02598" w:rsidRDefault="0006207F">
            <w:pPr>
              <w:jc w:val="right"/>
            </w:pPr>
            <w:r>
              <w:rPr>
                <w:rFonts w:eastAsiaTheme="minorEastAsia"/>
                <w:color w:val="000000" w:themeColor="text1"/>
                <w:szCs w:val="21"/>
              </w:rPr>
              <w:t>3,182,159,677.76</w:t>
            </w:r>
          </w:p>
        </w:tc>
        <w:tc>
          <w:tcPr>
            <w:tcW w:w="1503" w:type="dxa"/>
            <w:vAlign w:val="center"/>
          </w:tcPr>
          <w:p w:rsidR="00E02598" w:rsidRDefault="0006207F">
            <w:pPr>
              <w:jc w:val="right"/>
            </w:pPr>
            <w:r>
              <w:rPr>
                <w:rFonts w:eastAsiaTheme="minorEastAsia"/>
                <w:color w:val="000000" w:themeColor="text1"/>
                <w:szCs w:val="21"/>
              </w:rPr>
              <w:t>38.94</w:t>
            </w:r>
          </w:p>
        </w:tc>
      </w:tr>
      <w:tr w:rsidR="00E02598">
        <w:tc>
          <w:tcPr>
            <w:tcW w:w="1504" w:type="dxa"/>
            <w:vAlign w:val="center"/>
          </w:tcPr>
          <w:p w:rsidR="00E02598" w:rsidRDefault="0006207F">
            <w:pPr>
              <w:jc w:val="center"/>
            </w:pPr>
            <w:r>
              <w:rPr>
                <w:rFonts w:eastAsiaTheme="minorEastAsia"/>
                <w:color w:val="000000" w:themeColor="text1"/>
                <w:szCs w:val="21"/>
              </w:rPr>
              <w:t>2</w:t>
            </w:r>
          </w:p>
        </w:tc>
        <w:tc>
          <w:tcPr>
            <w:tcW w:w="1504" w:type="dxa"/>
            <w:vAlign w:val="center"/>
          </w:tcPr>
          <w:p w:rsidR="00E02598" w:rsidRDefault="0006207F">
            <w:pPr>
              <w:jc w:val="center"/>
            </w:pPr>
            <w:r>
              <w:rPr>
                <w:rFonts w:eastAsiaTheme="minorEastAsia"/>
                <w:color w:val="000000" w:themeColor="text1"/>
                <w:szCs w:val="21"/>
              </w:rPr>
              <w:t>190408</w:t>
            </w:r>
          </w:p>
        </w:tc>
        <w:tc>
          <w:tcPr>
            <w:tcW w:w="1504" w:type="dxa"/>
            <w:vAlign w:val="center"/>
          </w:tcPr>
          <w:p w:rsidR="00E02598" w:rsidRDefault="0006207F">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503" w:type="dxa"/>
            <w:vAlign w:val="center"/>
          </w:tcPr>
          <w:p w:rsidR="00E02598" w:rsidRDefault="0006207F">
            <w:pPr>
              <w:jc w:val="right"/>
            </w:pPr>
            <w:r>
              <w:rPr>
                <w:rFonts w:eastAsiaTheme="minorEastAsia"/>
                <w:color w:val="000000" w:themeColor="text1"/>
                <w:szCs w:val="21"/>
              </w:rPr>
              <w:t>25,400,000</w:t>
            </w:r>
          </w:p>
        </w:tc>
        <w:tc>
          <w:tcPr>
            <w:tcW w:w="1503" w:type="dxa"/>
            <w:vAlign w:val="center"/>
          </w:tcPr>
          <w:p w:rsidR="00E02598" w:rsidRDefault="0006207F">
            <w:pPr>
              <w:jc w:val="right"/>
            </w:pPr>
            <w:r>
              <w:rPr>
                <w:rFonts w:eastAsiaTheme="minorEastAsia"/>
                <w:color w:val="000000" w:themeColor="text1"/>
                <w:szCs w:val="21"/>
              </w:rPr>
              <w:t>2,686,534,437.15</w:t>
            </w:r>
          </w:p>
        </w:tc>
        <w:tc>
          <w:tcPr>
            <w:tcW w:w="1503" w:type="dxa"/>
            <w:vAlign w:val="center"/>
          </w:tcPr>
          <w:p w:rsidR="00E02598" w:rsidRDefault="0006207F">
            <w:pPr>
              <w:jc w:val="right"/>
            </w:pPr>
            <w:r>
              <w:rPr>
                <w:rFonts w:eastAsiaTheme="minorEastAsia"/>
                <w:color w:val="000000" w:themeColor="text1"/>
                <w:szCs w:val="21"/>
              </w:rPr>
              <w:t>32.88</w:t>
            </w:r>
          </w:p>
        </w:tc>
      </w:tr>
      <w:tr w:rsidR="00E02598">
        <w:tc>
          <w:tcPr>
            <w:tcW w:w="1504" w:type="dxa"/>
            <w:vAlign w:val="center"/>
          </w:tcPr>
          <w:p w:rsidR="00E02598" w:rsidRDefault="0006207F">
            <w:pPr>
              <w:jc w:val="center"/>
            </w:pPr>
            <w:r>
              <w:rPr>
                <w:rFonts w:eastAsiaTheme="minorEastAsia"/>
                <w:color w:val="000000" w:themeColor="text1"/>
                <w:szCs w:val="21"/>
              </w:rPr>
              <w:t>3</w:t>
            </w:r>
          </w:p>
        </w:tc>
        <w:tc>
          <w:tcPr>
            <w:tcW w:w="1504" w:type="dxa"/>
            <w:vAlign w:val="center"/>
          </w:tcPr>
          <w:p w:rsidR="00E02598" w:rsidRDefault="0006207F">
            <w:pPr>
              <w:jc w:val="center"/>
            </w:pPr>
            <w:r>
              <w:rPr>
                <w:rFonts w:eastAsiaTheme="minorEastAsia"/>
                <w:color w:val="000000" w:themeColor="text1"/>
                <w:szCs w:val="21"/>
              </w:rPr>
              <w:t>230405</w:t>
            </w:r>
          </w:p>
        </w:tc>
        <w:tc>
          <w:tcPr>
            <w:tcW w:w="1504" w:type="dxa"/>
            <w:vAlign w:val="center"/>
          </w:tcPr>
          <w:p w:rsidR="00E02598" w:rsidRDefault="0006207F">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E02598" w:rsidRDefault="0006207F">
            <w:pPr>
              <w:jc w:val="right"/>
            </w:pPr>
            <w:r>
              <w:rPr>
                <w:rFonts w:eastAsiaTheme="minorEastAsia"/>
                <w:color w:val="000000" w:themeColor="text1"/>
                <w:szCs w:val="21"/>
              </w:rPr>
              <w:t>14,300,000</w:t>
            </w:r>
          </w:p>
        </w:tc>
        <w:tc>
          <w:tcPr>
            <w:tcW w:w="1503" w:type="dxa"/>
            <w:vAlign w:val="center"/>
          </w:tcPr>
          <w:p w:rsidR="00E02598" w:rsidRDefault="0006207F">
            <w:pPr>
              <w:jc w:val="right"/>
            </w:pPr>
            <w:r>
              <w:rPr>
                <w:rFonts w:eastAsiaTheme="minorEastAsia"/>
                <w:color w:val="000000" w:themeColor="text1"/>
                <w:szCs w:val="21"/>
              </w:rPr>
              <w:t>1,439,597,168.31</w:t>
            </w:r>
          </w:p>
        </w:tc>
        <w:tc>
          <w:tcPr>
            <w:tcW w:w="1503" w:type="dxa"/>
            <w:vAlign w:val="center"/>
          </w:tcPr>
          <w:p w:rsidR="00E02598" w:rsidRDefault="0006207F">
            <w:pPr>
              <w:jc w:val="right"/>
            </w:pPr>
            <w:r>
              <w:rPr>
                <w:rFonts w:eastAsiaTheme="minorEastAsia"/>
                <w:color w:val="000000" w:themeColor="text1"/>
                <w:szCs w:val="21"/>
              </w:rPr>
              <w:t>17.62</w:t>
            </w:r>
          </w:p>
        </w:tc>
      </w:tr>
      <w:tr w:rsidR="00E02598">
        <w:tc>
          <w:tcPr>
            <w:tcW w:w="1504" w:type="dxa"/>
            <w:vAlign w:val="center"/>
          </w:tcPr>
          <w:p w:rsidR="00E02598" w:rsidRDefault="0006207F">
            <w:pPr>
              <w:jc w:val="center"/>
            </w:pPr>
            <w:r>
              <w:rPr>
                <w:rFonts w:eastAsiaTheme="minorEastAsia"/>
                <w:color w:val="000000" w:themeColor="text1"/>
                <w:szCs w:val="21"/>
              </w:rPr>
              <w:t>4</w:t>
            </w:r>
          </w:p>
        </w:tc>
        <w:tc>
          <w:tcPr>
            <w:tcW w:w="1504" w:type="dxa"/>
            <w:vAlign w:val="center"/>
          </w:tcPr>
          <w:p w:rsidR="00E02598" w:rsidRDefault="0006207F">
            <w:pPr>
              <w:jc w:val="center"/>
            </w:pPr>
            <w:r>
              <w:rPr>
                <w:rFonts w:eastAsiaTheme="minorEastAsia"/>
                <w:color w:val="000000" w:themeColor="text1"/>
                <w:szCs w:val="21"/>
              </w:rPr>
              <w:t>212300002</w:t>
            </w:r>
          </w:p>
        </w:tc>
        <w:tc>
          <w:tcPr>
            <w:tcW w:w="1504" w:type="dxa"/>
            <w:vAlign w:val="center"/>
          </w:tcPr>
          <w:p w:rsidR="00E02598" w:rsidRDefault="0006207F">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503" w:type="dxa"/>
            <w:vAlign w:val="center"/>
          </w:tcPr>
          <w:p w:rsidR="00E02598" w:rsidRDefault="0006207F">
            <w:pPr>
              <w:jc w:val="right"/>
            </w:pPr>
            <w:r>
              <w:rPr>
                <w:rFonts w:eastAsiaTheme="minorEastAsia"/>
                <w:color w:val="000000" w:themeColor="text1"/>
                <w:szCs w:val="21"/>
              </w:rPr>
              <w:t>5,500,000</w:t>
            </w:r>
          </w:p>
        </w:tc>
        <w:tc>
          <w:tcPr>
            <w:tcW w:w="1503" w:type="dxa"/>
            <w:vAlign w:val="center"/>
          </w:tcPr>
          <w:p w:rsidR="00E02598" w:rsidRDefault="0006207F">
            <w:pPr>
              <w:jc w:val="right"/>
            </w:pPr>
            <w:r>
              <w:rPr>
                <w:rFonts w:eastAsiaTheme="minorEastAsia"/>
                <w:color w:val="000000" w:themeColor="text1"/>
                <w:szCs w:val="21"/>
              </w:rPr>
              <w:t>550,833,888.14</w:t>
            </w:r>
          </w:p>
        </w:tc>
        <w:tc>
          <w:tcPr>
            <w:tcW w:w="1503" w:type="dxa"/>
            <w:vAlign w:val="center"/>
          </w:tcPr>
          <w:p w:rsidR="00E02598" w:rsidRDefault="0006207F">
            <w:pPr>
              <w:jc w:val="right"/>
            </w:pPr>
            <w:r>
              <w:rPr>
                <w:rFonts w:eastAsiaTheme="minorEastAsia"/>
                <w:color w:val="000000" w:themeColor="text1"/>
                <w:szCs w:val="21"/>
              </w:rPr>
              <w:t>6.74</w:t>
            </w:r>
          </w:p>
        </w:tc>
      </w:tr>
      <w:tr w:rsidR="00E02598">
        <w:tc>
          <w:tcPr>
            <w:tcW w:w="1504" w:type="dxa"/>
            <w:vAlign w:val="center"/>
          </w:tcPr>
          <w:p w:rsidR="00E02598" w:rsidRDefault="0006207F">
            <w:pPr>
              <w:jc w:val="center"/>
            </w:pPr>
            <w:r>
              <w:rPr>
                <w:rFonts w:eastAsiaTheme="minorEastAsia"/>
                <w:color w:val="000000" w:themeColor="text1"/>
                <w:szCs w:val="21"/>
              </w:rPr>
              <w:t>5</w:t>
            </w:r>
          </w:p>
        </w:tc>
        <w:tc>
          <w:tcPr>
            <w:tcW w:w="1504" w:type="dxa"/>
            <w:vAlign w:val="center"/>
          </w:tcPr>
          <w:p w:rsidR="00E02598" w:rsidRDefault="0006207F">
            <w:pPr>
              <w:jc w:val="center"/>
            </w:pPr>
            <w:r>
              <w:rPr>
                <w:rFonts w:eastAsiaTheme="minorEastAsia"/>
                <w:color w:val="000000" w:themeColor="text1"/>
                <w:szCs w:val="21"/>
              </w:rPr>
              <w:t>2328018</w:t>
            </w:r>
          </w:p>
        </w:tc>
        <w:tc>
          <w:tcPr>
            <w:tcW w:w="1504" w:type="dxa"/>
            <w:vAlign w:val="center"/>
          </w:tcPr>
          <w:p w:rsidR="00E02598" w:rsidRDefault="0006207F">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503" w:type="dxa"/>
            <w:vAlign w:val="center"/>
          </w:tcPr>
          <w:p w:rsidR="00E02598" w:rsidRDefault="0006207F">
            <w:pPr>
              <w:jc w:val="right"/>
            </w:pPr>
            <w:r>
              <w:rPr>
                <w:rFonts w:eastAsiaTheme="minorEastAsia"/>
                <w:color w:val="000000" w:themeColor="text1"/>
                <w:szCs w:val="21"/>
              </w:rPr>
              <w:t>5,200,000</w:t>
            </w:r>
          </w:p>
        </w:tc>
        <w:tc>
          <w:tcPr>
            <w:tcW w:w="1503" w:type="dxa"/>
            <w:vAlign w:val="center"/>
          </w:tcPr>
          <w:p w:rsidR="00E02598" w:rsidRDefault="0006207F">
            <w:pPr>
              <w:jc w:val="right"/>
            </w:pPr>
            <w:r>
              <w:rPr>
                <w:rFonts w:eastAsiaTheme="minorEastAsia"/>
                <w:color w:val="000000" w:themeColor="text1"/>
                <w:szCs w:val="21"/>
              </w:rPr>
              <w:t>520,875,700.16</w:t>
            </w:r>
          </w:p>
        </w:tc>
        <w:tc>
          <w:tcPr>
            <w:tcW w:w="1503" w:type="dxa"/>
            <w:vAlign w:val="center"/>
          </w:tcPr>
          <w:p w:rsidR="00E02598" w:rsidRDefault="0006207F">
            <w:pPr>
              <w:jc w:val="right"/>
            </w:pPr>
            <w:r>
              <w:rPr>
                <w:rFonts w:eastAsiaTheme="minorEastAsia"/>
                <w:color w:val="000000" w:themeColor="text1"/>
                <w:szCs w:val="21"/>
              </w:rPr>
              <w:t>6.37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江苏银行股份有限公司在报告编制日前一年内曾受到国家金融监督管理总局江苏监管局的处罚。宁波银行股份有限公司在报告编制日前一年内曾受到国家金融监督管理总局宁波监管局、国家外汇管理局宁波市分局的处罚。杭州银行股份有限公司在报告编制日前一年内曾受到国家金融监督管理总局浙江监管局的处罚。平安银行股份有限公司在报告编制日前一年内曾受到国家金融监督管理总局、国家金融监督管理总局深圳监管局、央行的处罚。中信银行股份有限公司在报告编制日前一年内曾受到国家金融监督管理总局的处罚。本基金对上述主体所发行证券的投资决策程序符合相关法律法规、基金合同及公司投资制度的要求。</w:t>
      </w:r>
    </w:p>
    <w:p w:rsidR="00E02598" w:rsidRDefault="0006207F">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02598">
        <w:tc>
          <w:tcPr>
            <w:tcW w:w="993" w:type="dxa"/>
            <w:vMerge w:val="restart"/>
            <w:vAlign w:val="center"/>
          </w:tcPr>
          <w:p w:rsidR="00E02598" w:rsidRDefault="0006207F">
            <w:r>
              <w:rPr>
                <w:bCs/>
                <w:color w:val="000000"/>
                <w:kern w:val="0"/>
                <w:szCs w:val="21"/>
              </w:rPr>
              <w:t>机构</w:t>
            </w:r>
          </w:p>
        </w:tc>
        <w:tc>
          <w:tcPr>
            <w:tcW w:w="992" w:type="dxa"/>
            <w:vAlign w:val="center"/>
          </w:tcPr>
          <w:p w:rsidR="00E02598" w:rsidRDefault="0006207F">
            <w:pPr>
              <w:jc w:val="center"/>
            </w:pPr>
            <w:r>
              <w:rPr>
                <w:color w:val="000000"/>
                <w:kern w:val="0"/>
                <w:szCs w:val="21"/>
              </w:rPr>
              <w:t>1</w:t>
            </w:r>
          </w:p>
        </w:tc>
        <w:tc>
          <w:tcPr>
            <w:tcW w:w="1843" w:type="dxa"/>
            <w:vAlign w:val="center"/>
          </w:tcPr>
          <w:p w:rsidR="00E02598" w:rsidRDefault="0006207F">
            <w:pPr>
              <w:jc w:val="center"/>
            </w:pPr>
            <w:r>
              <w:rPr>
                <w:color w:val="000000"/>
                <w:kern w:val="0"/>
                <w:szCs w:val="21"/>
              </w:rPr>
              <w:t>20240401-202406</w:t>
            </w:r>
            <w:r>
              <w:rPr>
                <w:color w:val="000000"/>
                <w:kern w:val="0"/>
                <w:szCs w:val="21"/>
              </w:rPr>
              <w:lastRenderedPageBreak/>
              <w:t>30</w:t>
            </w:r>
          </w:p>
        </w:tc>
        <w:tc>
          <w:tcPr>
            <w:tcW w:w="851" w:type="dxa"/>
            <w:vAlign w:val="center"/>
          </w:tcPr>
          <w:p w:rsidR="00E02598" w:rsidRDefault="0006207F">
            <w:pPr>
              <w:jc w:val="center"/>
            </w:pPr>
            <w:r>
              <w:rPr>
                <w:color w:val="000000"/>
                <w:kern w:val="0"/>
                <w:szCs w:val="21"/>
              </w:rPr>
              <w:lastRenderedPageBreak/>
              <w:t>2,036,9</w:t>
            </w:r>
            <w:r>
              <w:rPr>
                <w:color w:val="000000"/>
                <w:kern w:val="0"/>
                <w:szCs w:val="21"/>
              </w:rPr>
              <w:lastRenderedPageBreak/>
              <w:t>22,000.69</w:t>
            </w:r>
          </w:p>
        </w:tc>
        <w:tc>
          <w:tcPr>
            <w:tcW w:w="850" w:type="dxa"/>
            <w:vAlign w:val="center"/>
          </w:tcPr>
          <w:p w:rsidR="00E02598" w:rsidRDefault="0006207F">
            <w:pPr>
              <w:jc w:val="center"/>
            </w:pPr>
            <w:r>
              <w:rPr>
                <w:color w:val="000000"/>
                <w:kern w:val="0"/>
                <w:szCs w:val="21"/>
              </w:rPr>
              <w:lastRenderedPageBreak/>
              <w:t>0.00</w:t>
            </w:r>
          </w:p>
        </w:tc>
        <w:tc>
          <w:tcPr>
            <w:tcW w:w="1134" w:type="dxa"/>
            <w:vAlign w:val="center"/>
          </w:tcPr>
          <w:p w:rsidR="00E02598" w:rsidRDefault="0006207F">
            <w:pPr>
              <w:jc w:val="center"/>
            </w:pPr>
            <w:r>
              <w:rPr>
                <w:color w:val="000000"/>
                <w:kern w:val="0"/>
                <w:szCs w:val="21"/>
              </w:rPr>
              <w:t>0.00</w:t>
            </w:r>
          </w:p>
        </w:tc>
        <w:tc>
          <w:tcPr>
            <w:tcW w:w="1419" w:type="dxa"/>
            <w:vAlign w:val="center"/>
          </w:tcPr>
          <w:p w:rsidR="00E02598" w:rsidRDefault="0006207F">
            <w:pPr>
              <w:jc w:val="center"/>
            </w:pPr>
            <w:r>
              <w:rPr>
                <w:color w:val="000000"/>
                <w:kern w:val="0"/>
                <w:szCs w:val="21"/>
              </w:rPr>
              <w:t>2,036,922,00</w:t>
            </w:r>
            <w:r>
              <w:rPr>
                <w:color w:val="000000"/>
                <w:kern w:val="0"/>
                <w:szCs w:val="21"/>
              </w:rPr>
              <w:lastRenderedPageBreak/>
              <w:t>0.69</w:t>
            </w:r>
          </w:p>
        </w:tc>
        <w:tc>
          <w:tcPr>
            <w:tcW w:w="1130" w:type="dxa"/>
            <w:vAlign w:val="center"/>
          </w:tcPr>
          <w:p w:rsidR="00E02598" w:rsidRDefault="0006207F">
            <w:pPr>
              <w:jc w:val="center"/>
            </w:pPr>
            <w:r>
              <w:rPr>
                <w:color w:val="000000"/>
                <w:kern w:val="0"/>
                <w:szCs w:val="21"/>
              </w:rPr>
              <w:lastRenderedPageBreak/>
              <w:t>25.71%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E02598" w:rsidRDefault="0006207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、摩根基金管理（中国）有限公司开放式基金业务规则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6207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6207F">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6207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摩根瑞泰</w:t>
    </w:r>
    <w:r>
      <w:t>38</w:t>
    </w:r>
    <w:r>
      <w:t>个月定期开放债券型证券投资基金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07F"/>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598"/>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0C1B8-1974-4C3A-9F5A-E7502C2C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12</Pages>
  <Words>1058</Words>
  <Characters>6031</Characters>
  <Application>Microsoft Office Word</Application>
  <DocSecurity>0</DocSecurity>
  <Lines>50</Lines>
  <Paragraphs>14</Paragraphs>
  <ScaleCrop>false</ScaleCrop>
  <Company>TRT. Ltd. Co.</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2024-07-18T01:49:00Z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