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2,100,106,372.67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A637D" w:rsidRDefault="007F14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2,100,092,019.86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14,352.81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15,626,516.04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15,626,516.04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2,154,692,872.06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14,676.29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1.0225</w:t>
            </w:r>
          </w:p>
        </w:tc>
      </w:tr>
    </w:tbl>
    <w:p w:rsidR="001A637D" w:rsidRDefault="007F141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A637D">
        <w:tc>
          <w:tcPr>
            <w:tcW w:w="1290" w:type="dxa"/>
            <w:vAlign w:val="center"/>
          </w:tcPr>
          <w:p w:rsidR="001A637D" w:rsidRDefault="007F1418">
            <w:pPr>
              <w:jc w:val="left"/>
            </w:pPr>
            <w:r>
              <w:rPr>
                <w:rFonts w:eastAsiaTheme="minorEastAsia"/>
                <w:color w:val="000000" w:themeColor="text1"/>
                <w:szCs w:val="21"/>
              </w:rPr>
              <w:t>过去三个月</w:t>
            </w:r>
          </w:p>
        </w:tc>
        <w:tc>
          <w:tcPr>
            <w:tcW w:w="1291" w:type="dxa"/>
            <w:vAlign w:val="center"/>
          </w:tcPr>
          <w:p w:rsidR="001A637D" w:rsidRDefault="007F1418">
            <w:pPr>
              <w:jc w:val="right"/>
            </w:pPr>
            <w:r>
              <w:rPr>
                <w:rFonts w:eastAsiaTheme="minorEastAsia"/>
                <w:color w:val="000000" w:themeColor="text1"/>
                <w:szCs w:val="21"/>
              </w:rPr>
              <w:t>0.71%</w:t>
            </w:r>
          </w:p>
        </w:tc>
        <w:tc>
          <w:tcPr>
            <w:tcW w:w="1291" w:type="dxa"/>
            <w:vAlign w:val="center"/>
          </w:tcPr>
          <w:p w:rsidR="001A637D" w:rsidRDefault="007F1418">
            <w:pPr>
              <w:jc w:val="right"/>
            </w:pPr>
            <w:r>
              <w:rPr>
                <w:rFonts w:eastAsiaTheme="minorEastAsia"/>
                <w:color w:val="000000" w:themeColor="text1"/>
                <w:szCs w:val="21"/>
              </w:rPr>
              <w:t>0.02%</w:t>
            </w:r>
          </w:p>
        </w:tc>
        <w:tc>
          <w:tcPr>
            <w:tcW w:w="1291" w:type="dxa"/>
            <w:vAlign w:val="center"/>
          </w:tcPr>
          <w:p w:rsidR="001A637D" w:rsidRDefault="007F1418">
            <w:pPr>
              <w:jc w:val="right"/>
            </w:pPr>
            <w:r>
              <w:rPr>
                <w:rFonts w:eastAsiaTheme="minorEastAsia"/>
                <w:color w:val="000000" w:themeColor="text1"/>
                <w:szCs w:val="21"/>
              </w:rPr>
              <w:t>0.94%</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-0.23%</w:t>
            </w:r>
          </w:p>
        </w:tc>
        <w:tc>
          <w:tcPr>
            <w:tcW w:w="1291" w:type="dxa"/>
            <w:vAlign w:val="center"/>
          </w:tcPr>
          <w:p w:rsidR="001A637D" w:rsidRDefault="007F1418">
            <w:pPr>
              <w:jc w:val="right"/>
            </w:pPr>
            <w:r>
              <w:rPr>
                <w:rFonts w:eastAsiaTheme="minorEastAsia"/>
                <w:color w:val="000000" w:themeColor="text1"/>
                <w:szCs w:val="21"/>
              </w:rPr>
              <w:t>0.01%</w:t>
            </w:r>
          </w:p>
        </w:tc>
      </w:tr>
      <w:tr w:rsidR="001A637D">
        <w:tc>
          <w:tcPr>
            <w:tcW w:w="1290" w:type="dxa"/>
            <w:vAlign w:val="center"/>
          </w:tcPr>
          <w:p w:rsidR="001A637D" w:rsidRDefault="007F1418">
            <w:pPr>
              <w:jc w:val="left"/>
            </w:pPr>
            <w:r>
              <w:rPr>
                <w:rFonts w:eastAsiaTheme="minorEastAsia"/>
                <w:color w:val="000000" w:themeColor="text1"/>
                <w:szCs w:val="21"/>
              </w:rPr>
              <w:t>过去六个月</w:t>
            </w:r>
          </w:p>
        </w:tc>
        <w:tc>
          <w:tcPr>
            <w:tcW w:w="1291" w:type="dxa"/>
            <w:vAlign w:val="center"/>
          </w:tcPr>
          <w:p w:rsidR="001A637D" w:rsidRDefault="007F1418">
            <w:pPr>
              <w:jc w:val="right"/>
            </w:pPr>
            <w:r>
              <w:rPr>
                <w:rFonts w:eastAsiaTheme="minorEastAsia"/>
                <w:color w:val="000000" w:themeColor="text1"/>
                <w:szCs w:val="21"/>
              </w:rPr>
              <w:t>1.36%</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1.90%</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-0.54%</w:t>
            </w:r>
          </w:p>
        </w:tc>
        <w:tc>
          <w:tcPr>
            <w:tcW w:w="1291" w:type="dxa"/>
            <w:vAlign w:val="center"/>
          </w:tcPr>
          <w:p w:rsidR="001A637D" w:rsidRDefault="007F1418">
            <w:pPr>
              <w:jc w:val="right"/>
            </w:pPr>
            <w:r>
              <w:rPr>
                <w:rFonts w:eastAsiaTheme="minorEastAsia"/>
                <w:color w:val="000000" w:themeColor="text1"/>
                <w:szCs w:val="21"/>
              </w:rPr>
              <w:t>0.00%</w:t>
            </w:r>
          </w:p>
        </w:tc>
      </w:tr>
      <w:tr w:rsidR="001A637D">
        <w:tc>
          <w:tcPr>
            <w:tcW w:w="1290" w:type="dxa"/>
            <w:vAlign w:val="center"/>
          </w:tcPr>
          <w:p w:rsidR="001A637D" w:rsidRDefault="007F1418">
            <w:pPr>
              <w:jc w:val="left"/>
            </w:pPr>
            <w:r>
              <w:rPr>
                <w:rFonts w:eastAsiaTheme="minorEastAsia"/>
                <w:color w:val="000000" w:themeColor="text1"/>
                <w:szCs w:val="21"/>
              </w:rPr>
              <w:t>过去一年</w:t>
            </w:r>
          </w:p>
        </w:tc>
        <w:tc>
          <w:tcPr>
            <w:tcW w:w="1291" w:type="dxa"/>
            <w:vAlign w:val="center"/>
          </w:tcPr>
          <w:p w:rsidR="001A637D" w:rsidRDefault="007F1418">
            <w:pPr>
              <w:jc w:val="right"/>
            </w:pPr>
            <w:r>
              <w:rPr>
                <w:rFonts w:eastAsiaTheme="minorEastAsia"/>
                <w:color w:val="000000" w:themeColor="text1"/>
                <w:szCs w:val="21"/>
              </w:rPr>
              <w:t>2.71%</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3.80%</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-1.09%</w:t>
            </w:r>
          </w:p>
        </w:tc>
        <w:tc>
          <w:tcPr>
            <w:tcW w:w="1291" w:type="dxa"/>
            <w:vAlign w:val="center"/>
          </w:tcPr>
          <w:p w:rsidR="001A637D" w:rsidRDefault="007F1418">
            <w:pPr>
              <w:jc w:val="right"/>
            </w:pPr>
            <w:r>
              <w:rPr>
                <w:rFonts w:eastAsiaTheme="minorEastAsia"/>
                <w:color w:val="000000" w:themeColor="text1"/>
                <w:szCs w:val="21"/>
              </w:rPr>
              <w:t>0.00%</w:t>
            </w:r>
          </w:p>
        </w:tc>
      </w:tr>
      <w:tr w:rsidR="001A637D">
        <w:tc>
          <w:tcPr>
            <w:tcW w:w="1290" w:type="dxa"/>
            <w:vAlign w:val="center"/>
          </w:tcPr>
          <w:p w:rsidR="001A637D" w:rsidRDefault="007F1418">
            <w:pPr>
              <w:jc w:val="left"/>
            </w:pPr>
            <w:r>
              <w:rPr>
                <w:rFonts w:eastAsiaTheme="minorEastAsia"/>
                <w:color w:val="000000" w:themeColor="text1"/>
                <w:szCs w:val="21"/>
              </w:rPr>
              <w:t>过去三年</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r>
      <w:tr w:rsidR="001A637D">
        <w:tc>
          <w:tcPr>
            <w:tcW w:w="1290" w:type="dxa"/>
            <w:vAlign w:val="center"/>
          </w:tcPr>
          <w:p w:rsidR="001A637D" w:rsidRDefault="007F1418">
            <w:pPr>
              <w:jc w:val="left"/>
            </w:pPr>
            <w:r>
              <w:rPr>
                <w:rFonts w:eastAsiaTheme="minorEastAsia"/>
                <w:color w:val="000000" w:themeColor="text1"/>
                <w:szCs w:val="21"/>
              </w:rPr>
              <w:t>过去五年</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r>
      <w:tr w:rsidR="001A637D">
        <w:tc>
          <w:tcPr>
            <w:tcW w:w="1290" w:type="dxa"/>
            <w:vAlign w:val="center"/>
          </w:tcPr>
          <w:p w:rsidR="001A637D" w:rsidRDefault="007F1418">
            <w:pPr>
              <w:jc w:val="left"/>
            </w:pPr>
            <w:r>
              <w:rPr>
                <w:rFonts w:eastAsiaTheme="minorEastAsia"/>
                <w:color w:val="000000" w:themeColor="text1"/>
                <w:szCs w:val="21"/>
              </w:rPr>
              <w:t>自基金合同生效起至今</w:t>
            </w:r>
          </w:p>
        </w:tc>
        <w:tc>
          <w:tcPr>
            <w:tcW w:w="1291" w:type="dxa"/>
            <w:vAlign w:val="center"/>
          </w:tcPr>
          <w:p w:rsidR="001A637D" w:rsidRDefault="007F1418">
            <w:pPr>
              <w:jc w:val="right"/>
            </w:pPr>
            <w:r>
              <w:rPr>
                <w:rFonts w:eastAsiaTheme="minorEastAsia"/>
                <w:color w:val="000000" w:themeColor="text1"/>
                <w:szCs w:val="21"/>
              </w:rPr>
              <w:t>4.54%</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7.75%</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-3.21%</w:t>
            </w:r>
          </w:p>
        </w:tc>
        <w:tc>
          <w:tcPr>
            <w:tcW w:w="1291" w:type="dxa"/>
            <w:vAlign w:val="center"/>
          </w:tcPr>
          <w:p w:rsidR="001A637D" w:rsidRDefault="007F1418">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A637D">
        <w:tc>
          <w:tcPr>
            <w:tcW w:w="1290" w:type="dxa"/>
            <w:vAlign w:val="center"/>
          </w:tcPr>
          <w:p w:rsidR="001A637D" w:rsidRDefault="007F1418">
            <w:pPr>
              <w:jc w:val="left"/>
            </w:pPr>
            <w:r>
              <w:rPr>
                <w:rFonts w:eastAsiaTheme="minorEastAsia"/>
                <w:color w:val="000000" w:themeColor="text1"/>
                <w:szCs w:val="21"/>
              </w:rPr>
              <w:t>过去三个月</w:t>
            </w:r>
          </w:p>
        </w:tc>
        <w:tc>
          <w:tcPr>
            <w:tcW w:w="1291" w:type="dxa"/>
            <w:vAlign w:val="center"/>
          </w:tcPr>
          <w:p w:rsidR="001A637D" w:rsidRDefault="007F1418">
            <w:pPr>
              <w:jc w:val="right"/>
            </w:pPr>
            <w:r>
              <w:rPr>
                <w:rFonts w:eastAsiaTheme="minorEastAsia"/>
                <w:color w:val="000000" w:themeColor="text1"/>
                <w:szCs w:val="21"/>
              </w:rPr>
              <w:t>0.64%</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0.94%</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-0.30%</w:t>
            </w:r>
          </w:p>
        </w:tc>
        <w:tc>
          <w:tcPr>
            <w:tcW w:w="1291" w:type="dxa"/>
            <w:vAlign w:val="center"/>
          </w:tcPr>
          <w:p w:rsidR="001A637D" w:rsidRDefault="007F1418">
            <w:pPr>
              <w:jc w:val="right"/>
            </w:pPr>
            <w:r>
              <w:rPr>
                <w:rFonts w:eastAsiaTheme="minorEastAsia"/>
                <w:color w:val="000000" w:themeColor="text1"/>
                <w:szCs w:val="21"/>
              </w:rPr>
              <w:t>0.00%</w:t>
            </w:r>
          </w:p>
        </w:tc>
      </w:tr>
      <w:tr w:rsidR="001A637D">
        <w:tc>
          <w:tcPr>
            <w:tcW w:w="1290" w:type="dxa"/>
            <w:vAlign w:val="center"/>
          </w:tcPr>
          <w:p w:rsidR="001A637D" w:rsidRDefault="007F1418">
            <w:pPr>
              <w:jc w:val="left"/>
            </w:pPr>
            <w:r>
              <w:rPr>
                <w:rFonts w:eastAsiaTheme="minorEastAsia"/>
                <w:color w:val="000000" w:themeColor="text1"/>
                <w:szCs w:val="21"/>
              </w:rPr>
              <w:t>过去六个月</w:t>
            </w:r>
          </w:p>
        </w:tc>
        <w:tc>
          <w:tcPr>
            <w:tcW w:w="1291" w:type="dxa"/>
            <w:vAlign w:val="center"/>
          </w:tcPr>
          <w:p w:rsidR="001A637D" w:rsidRDefault="007F1418">
            <w:pPr>
              <w:jc w:val="right"/>
            </w:pPr>
            <w:r>
              <w:rPr>
                <w:rFonts w:eastAsiaTheme="minorEastAsia"/>
                <w:color w:val="000000" w:themeColor="text1"/>
                <w:szCs w:val="21"/>
              </w:rPr>
              <w:t>1.23%</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1.90%</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-0.67%</w:t>
            </w:r>
          </w:p>
        </w:tc>
        <w:tc>
          <w:tcPr>
            <w:tcW w:w="1291" w:type="dxa"/>
            <w:vAlign w:val="center"/>
          </w:tcPr>
          <w:p w:rsidR="001A637D" w:rsidRDefault="007F1418">
            <w:pPr>
              <w:jc w:val="right"/>
            </w:pPr>
            <w:r>
              <w:rPr>
                <w:rFonts w:eastAsiaTheme="minorEastAsia"/>
                <w:color w:val="000000" w:themeColor="text1"/>
                <w:szCs w:val="21"/>
              </w:rPr>
              <w:t>0.00%</w:t>
            </w:r>
          </w:p>
        </w:tc>
      </w:tr>
      <w:tr w:rsidR="001A637D">
        <w:tc>
          <w:tcPr>
            <w:tcW w:w="1290" w:type="dxa"/>
            <w:vAlign w:val="center"/>
          </w:tcPr>
          <w:p w:rsidR="001A637D" w:rsidRDefault="007F1418">
            <w:pPr>
              <w:jc w:val="left"/>
            </w:pPr>
            <w:r>
              <w:rPr>
                <w:rFonts w:eastAsiaTheme="minorEastAsia"/>
                <w:color w:val="000000" w:themeColor="text1"/>
                <w:szCs w:val="21"/>
              </w:rPr>
              <w:t>过去一年</w:t>
            </w:r>
          </w:p>
        </w:tc>
        <w:tc>
          <w:tcPr>
            <w:tcW w:w="1291" w:type="dxa"/>
            <w:vAlign w:val="center"/>
          </w:tcPr>
          <w:p w:rsidR="001A637D" w:rsidRDefault="007F1418">
            <w:pPr>
              <w:jc w:val="right"/>
            </w:pPr>
            <w:r>
              <w:rPr>
                <w:rFonts w:eastAsiaTheme="minorEastAsia"/>
                <w:color w:val="000000" w:themeColor="text1"/>
                <w:szCs w:val="21"/>
              </w:rPr>
              <w:t>2.45%</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3.80%</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-1.35%</w:t>
            </w:r>
          </w:p>
        </w:tc>
        <w:tc>
          <w:tcPr>
            <w:tcW w:w="1291" w:type="dxa"/>
            <w:vAlign w:val="center"/>
          </w:tcPr>
          <w:p w:rsidR="001A637D" w:rsidRDefault="007F1418">
            <w:pPr>
              <w:jc w:val="right"/>
            </w:pPr>
            <w:r>
              <w:rPr>
                <w:rFonts w:eastAsiaTheme="minorEastAsia"/>
                <w:color w:val="000000" w:themeColor="text1"/>
                <w:szCs w:val="21"/>
              </w:rPr>
              <w:t>0.00%</w:t>
            </w:r>
          </w:p>
        </w:tc>
      </w:tr>
      <w:tr w:rsidR="001A637D">
        <w:tc>
          <w:tcPr>
            <w:tcW w:w="1290" w:type="dxa"/>
            <w:vAlign w:val="center"/>
          </w:tcPr>
          <w:p w:rsidR="001A637D" w:rsidRDefault="007F1418">
            <w:pPr>
              <w:jc w:val="left"/>
            </w:pPr>
            <w:r>
              <w:rPr>
                <w:rFonts w:eastAsiaTheme="minorEastAsia"/>
                <w:color w:val="000000" w:themeColor="text1"/>
                <w:szCs w:val="21"/>
              </w:rPr>
              <w:t>过去三年</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r>
      <w:tr w:rsidR="001A637D">
        <w:tc>
          <w:tcPr>
            <w:tcW w:w="1290" w:type="dxa"/>
            <w:vAlign w:val="center"/>
          </w:tcPr>
          <w:p w:rsidR="001A637D" w:rsidRDefault="007F1418">
            <w:pPr>
              <w:jc w:val="left"/>
            </w:pPr>
            <w:r>
              <w:rPr>
                <w:rFonts w:eastAsiaTheme="minorEastAsia"/>
                <w:color w:val="000000" w:themeColor="text1"/>
                <w:szCs w:val="21"/>
              </w:rPr>
              <w:t>过去五年</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c>
          <w:tcPr>
            <w:tcW w:w="1291" w:type="dxa"/>
            <w:vAlign w:val="center"/>
          </w:tcPr>
          <w:p w:rsidR="001A637D" w:rsidRDefault="007F1418">
            <w:pPr>
              <w:jc w:val="right"/>
            </w:pPr>
            <w:r>
              <w:rPr>
                <w:rFonts w:eastAsiaTheme="minorEastAsia"/>
                <w:color w:val="000000" w:themeColor="text1"/>
                <w:szCs w:val="21"/>
              </w:rPr>
              <w:t>-</w:t>
            </w:r>
          </w:p>
        </w:tc>
      </w:tr>
      <w:tr w:rsidR="001A637D">
        <w:tc>
          <w:tcPr>
            <w:tcW w:w="1290" w:type="dxa"/>
            <w:vAlign w:val="center"/>
          </w:tcPr>
          <w:p w:rsidR="001A637D" w:rsidRDefault="007F1418">
            <w:pPr>
              <w:jc w:val="left"/>
            </w:pPr>
            <w:r>
              <w:rPr>
                <w:rFonts w:eastAsiaTheme="minorEastAsia"/>
                <w:color w:val="000000" w:themeColor="text1"/>
                <w:szCs w:val="21"/>
              </w:rPr>
              <w:t>自基金合同生效起至今</w:t>
            </w:r>
          </w:p>
        </w:tc>
        <w:tc>
          <w:tcPr>
            <w:tcW w:w="1291" w:type="dxa"/>
            <w:vAlign w:val="center"/>
          </w:tcPr>
          <w:p w:rsidR="001A637D" w:rsidRDefault="007F1418">
            <w:pPr>
              <w:jc w:val="right"/>
            </w:pPr>
            <w:r>
              <w:rPr>
                <w:rFonts w:eastAsiaTheme="minorEastAsia"/>
                <w:color w:val="000000" w:themeColor="text1"/>
                <w:szCs w:val="21"/>
              </w:rPr>
              <w:t>4.00%</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7.75%</w:t>
            </w:r>
          </w:p>
        </w:tc>
        <w:tc>
          <w:tcPr>
            <w:tcW w:w="1291" w:type="dxa"/>
            <w:vAlign w:val="center"/>
          </w:tcPr>
          <w:p w:rsidR="001A637D" w:rsidRDefault="007F1418">
            <w:pPr>
              <w:jc w:val="right"/>
            </w:pPr>
            <w:r>
              <w:rPr>
                <w:rFonts w:eastAsiaTheme="minorEastAsia"/>
                <w:color w:val="000000" w:themeColor="text1"/>
                <w:szCs w:val="21"/>
              </w:rPr>
              <w:t>0.01%</w:t>
            </w:r>
          </w:p>
        </w:tc>
        <w:tc>
          <w:tcPr>
            <w:tcW w:w="1291" w:type="dxa"/>
            <w:vAlign w:val="center"/>
          </w:tcPr>
          <w:p w:rsidR="001A637D" w:rsidRDefault="007F1418">
            <w:pPr>
              <w:jc w:val="right"/>
            </w:pPr>
            <w:r>
              <w:rPr>
                <w:rFonts w:eastAsiaTheme="minorEastAsia"/>
                <w:color w:val="000000" w:themeColor="text1"/>
                <w:szCs w:val="21"/>
              </w:rPr>
              <w:t>-3.75%</w:t>
            </w:r>
          </w:p>
        </w:tc>
        <w:tc>
          <w:tcPr>
            <w:tcW w:w="1291" w:type="dxa"/>
            <w:vAlign w:val="center"/>
          </w:tcPr>
          <w:p w:rsidR="001A637D" w:rsidRDefault="007F1418">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A637D">
        <w:tc>
          <w:tcPr>
            <w:tcW w:w="952" w:type="dxa"/>
            <w:vAlign w:val="center"/>
          </w:tcPr>
          <w:p w:rsidR="001A637D" w:rsidRDefault="007F1418">
            <w:pPr>
              <w:jc w:val="center"/>
            </w:pPr>
            <w:r>
              <w:rPr>
                <w:rFonts w:eastAsiaTheme="minorEastAsia"/>
                <w:color w:val="000000" w:themeColor="text1"/>
                <w:szCs w:val="21"/>
              </w:rPr>
              <w:t>任翔</w:t>
            </w:r>
          </w:p>
        </w:tc>
        <w:tc>
          <w:tcPr>
            <w:tcW w:w="930" w:type="dxa"/>
            <w:vAlign w:val="center"/>
          </w:tcPr>
          <w:p w:rsidR="001A637D" w:rsidRDefault="007F1418">
            <w:pPr>
              <w:jc w:val="center"/>
            </w:pPr>
            <w:r>
              <w:rPr>
                <w:rFonts w:eastAsiaTheme="minorEastAsia"/>
                <w:color w:val="000000" w:themeColor="text1"/>
                <w:szCs w:val="21"/>
              </w:rPr>
              <w:t>本基金基金经理、固收研究部总监</w:t>
            </w:r>
          </w:p>
        </w:tc>
        <w:tc>
          <w:tcPr>
            <w:tcW w:w="1210" w:type="dxa"/>
            <w:vAlign w:val="center"/>
          </w:tcPr>
          <w:p w:rsidR="001A637D" w:rsidRDefault="007F1418">
            <w:pPr>
              <w:jc w:val="center"/>
            </w:pPr>
            <w:r>
              <w:rPr>
                <w:rFonts w:eastAsiaTheme="minorEastAsia"/>
                <w:color w:val="000000" w:themeColor="text1"/>
                <w:szCs w:val="21"/>
              </w:rPr>
              <w:t>2020-03-18</w:t>
            </w:r>
          </w:p>
        </w:tc>
        <w:tc>
          <w:tcPr>
            <w:tcW w:w="1309" w:type="dxa"/>
            <w:vAlign w:val="center"/>
          </w:tcPr>
          <w:p w:rsidR="001A637D" w:rsidRDefault="007F1418">
            <w:pPr>
              <w:jc w:val="center"/>
            </w:pPr>
            <w:r>
              <w:rPr>
                <w:rFonts w:eastAsiaTheme="minorEastAsia"/>
                <w:color w:val="000000" w:themeColor="text1"/>
                <w:szCs w:val="21"/>
              </w:rPr>
              <w:t>-</w:t>
            </w:r>
          </w:p>
        </w:tc>
        <w:tc>
          <w:tcPr>
            <w:tcW w:w="1254" w:type="dxa"/>
            <w:vAlign w:val="center"/>
          </w:tcPr>
          <w:p w:rsidR="001A637D" w:rsidRDefault="007F1418">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1A637D" w:rsidRDefault="007F1418">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w:t>
            </w:r>
          </w:p>
        </w:tc>
      </w:tr>
    </w:tbl>
    <w:p w:rsidR="001A637D" w:rsidRDefault="007F141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1A637D" w:rsidRDefault="007F141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跨入</w:t>
      </w:r>
      <w:r>
        <w:rPr>
          <w:rFonts w:eastAsiaTheme="minorEastAsia"/>
          <w:color w:val="000000" w:themeColor="text1"/>
          <w:szCs w:val="21"/>
        </w:rPr>
        <w:t>2022</w:t>
      </w:r>
      <w:r>
        <w:rPr>
          <w:rFonts w:eastAsiaTheme="minorEastAsia"/>
          <w:color w:val="000000" w:themeColor="text1"/>
          <w:szCs w:val="21"/>
        </w:rPr>
        <w:t>年，资金面稳定，市场波澜不惊。</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w:t>
      </w:r>
      <w:r>
        <w:rPr>
          <w:rFonts w:eastAsiaTheme="minorEastAsia"/>
          <w:color w:val="000000" w:themeColor="text1"/>
          <w:szCs w:val="21"/>
        </w:rPr>
        <w:t>MLF</w:t>
      </w:r>
      <w:r>
        <w:rPr>
          <w:rFonts w:eastAsiaTheme="minorEastAsia"/>
          <w:color w:val="000000" w:themeColor="text1"/>
          <w:szCs w:val="21"/>
        </w:rPr>
        <w:t>利率超预期下调</w:t>
      </w:r>
      <w:r>
        <w:rPr>
          <w:rFonts w:eastAsiaTheme="minorEastAsia"/>
          <w:color w:val="000000" w:themeColor="text1"/>
          <w:szCs w:val="21"/>
        </w:rPr>
        <w:t>10bp</w:t>
      </w:r>
      <w:r>
        <w:rPr>
          <w:rFonts w:eastAsiaTheme="minorEastAsia"/>
          <w:color w:val="000000" w:themeColor="text1"/>
          <w:szCs w:val="21"/>
        </w:rPr>
        <w:t>，债市多头行情启动，收益率快速下行。此轮行情延续至春节前最后一周，在止盈情绪影响下，收益率进入震荡盘整。跨过春节，金融数据公布，新增社融及信贷规模均大超预期，债市开启调整。随后部分地区房地产政策出现边际放松，同时俄乌冲突推升通胀担忧，债市调整延续，回吐此前涨幅。</w:t>
      </w:r>
      <w:r>
        <w:rPr>
          <w:rFonts w:eastAsiaTheme="minorEastAsia"/>
          <w:color w:val="000000" w:themeColor="text1"/>
          <w:szCs w:val="21"/>
        </w:rPr>
        <w:t>3</w:t>
      </w:r>
      <w:r>
        <w:rPr>
          <w:rFonts w:eastAsiaTheme="minorEastAsia"/>
          <w:color w:val="000000" w:themeColor="text1"/>
          <w:szCs w:val="21"/>
        </w:rPr>
        <w:t>月中旬，随着大幅低于预期的社融数据公布，市场重燃做多热情，并开始交易降息预期。虽然此后公布的</w:t>
      </w:r>
      <w:r>
        <w:rPr>
          <w:rFonts w:eastAsiaTheme="minorEastAsia"/>
          <w:color w:val="000000" w:themeColor="text1"/>
          <w:szCs w:val="21"/>
        </w:rPr>
        <w:t>1-2</w:t>
      </w:r>
      <w:r>
        <w:rPr>
          <w:rFonts w:eastAsiaTheme="minorEastAsia"/>
          <w:color w:val="000000" w:themeColor="text1"/>
          <w:szCs w:val="21"/>
        </w:rPr>
        <w:t>月经济数据好于预期，并且当月</w:t>
      </w:r>
      <w:r>
        <w:rPr>
          <w:rFonts w:eastAsiaTheme="minorEastAsia"/>
          <w:color w:val="000000" w:themeColor="text1"/>
          <w:szCs w:val="21"/>
        </w:rPr>
        <w:t>MLF</w:t>
      </w:r>
      <w:r>
        <w:rPr>
          <w:rFonts w:eastAsiaTheme="minorEastAsia"/>
          <w:color w:val="000000" w:themeColor="text1"/>
          <w:szCs w:val="21"/>
        </w:rPr>
        <w:t>降息落空，但在</w:t>
      </w:r>
      <w:r>
        <w:rPr>
          <w:rFonts w:eastAsiaTheme="minorEastAsia"/>
          <w:color w:val="000000" w:themeColor="text1"/>
          <w:szCs w:val="21"/>
        </w:rPr>
        <w:t>“</w:t>
      </w:r>
      <w:r>
        <w:rPr>
          <w:rFonts w:eastAsiaTheme="minorEastAsia"/>
          <w:color w:val="000000" w:themeColor="text1"/>
          <w:szCs w:val="21"/>
        </w:rPr>
        <w:t>金稳会</w:t>
      </w:r>
      <w:r>
        <w:rPr>
          <w:rFonts w:eastAsiaTheme="minorEastAsia"/>
          <w:color w:val="000000" w:themeColor="text1"/>
          <w:szCs w:val="21"/>
        </w:rPr>
        <w:t>”</w:t>
      </w:r>
      <w:r>
        <w:rPr>
          <w:rFonts w:eastAsiaTheme="minorEastAsia"/>
          <w:color w:val="000000" w:themeColor="text1"/>
          <w:szCs w:val="21"/>
        </w:rPr>
        <w:t>强调货币政策要主动应对以及新冠疫情在多地扩散的影响下，市场对基本面的预期转弱，推动收益率继续下行。</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本基金在一季度保持了既有配置，维持基金杠杆率。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当下疫情对经济增长短期冲击明显，叠加房地产市场惯性下滑，短期看，债券市场风险不高，货币政策预计仍将维持宽松，以配合稳增长，仍可交易经济数据趋弱以及货币政策进一步宽松可能性。与此同时，国内宽信用政策预计将进一步加码，美联储延续加息，年中或推进缩表。中长期看，利率或逐步触底回升。后续应密切关注社融和地产相关数据的边际变化。</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本报告期上投摩根瑞泰</w:t>
      </w:r>
      <w:r>
        <w:rPr>
          <w:rFonts w:eastAsiaTheme="minorEastAsia"/>
          <w:color w:val="000000" w:themeColor="text1"/>
          <w:szCs w:val="21"/>
        </w:rPr>
        <w:t>38</w:t>
      </w:r>
      <w:r>
        <w:rPr>
          <w:rFonts w:eastAsiaTheme="minorEastAsia"/>
          <w:color w:val="000000" w:themeColor="text1"/>
          <w:szCs w:val="21"/>
        </w:rPr>
        <w:t>个月定期开放债券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:0.71%</w:t>
      </w:r>
      <w:r>
        <w:rPr>
          <w:rFonts w:eastAsiaTheme="minorEastAsia"/>
          <w:color w:val="000000" w:themeColor="text1"/>
          <w:szCs w:val="21"/>
        </w:rPr>
        <w:t>，同期业绩比较基准收益率为</w:t>
      </w:r>
      <w:r>
        <w:rPr>
          <w:rFonts w:eastAsiaTheme="minorEastAsia"/>
          <w:color w:val="000000" w:themeColor="text1"/>
          <w:szCs w:val="21"/>
        </w:rPr>
        <w:t>:0.94%,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:0.64%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3,548,916,081.89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99.88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3,548,916,081.89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99.88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4,124,002.25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3,553,040,084.14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3,499,817,075.19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162.43</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2,168,869,081.18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49,099,006.70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3,548,916,081.89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164.71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851"/>
        <w:gridCol w:w="1559"/>
        <w:gridCol w:w="2102"/>
        <w:gridCol w:w="1503"/>
        <w:gridCol w:w="1503"/>
        <w:gridCol w:w="1503"/>
      </w:tblGrid>
      <w:tr w:rsidR="005E6DF3" w:rsidRPr="00B27A29" w:rsidTr="002D3DDC">
        <w:tc>
          <w:tcPr>
            <w:tcW w:w="851"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5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2102"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A637D" w:rsidTr="002D3DDC">
        <w:tc>
          <w:tcPr>
            <w:tcW w:w="851" w:type="dxa"/>
            <w:vAlign w:val="center"/>
          </w:tcPr>
          <w:p w:rsidR="001A637D" w:rsidRDefault="007F1418">
            <w:pPr>
              <w:jc w:val="center"/>
            </w:pPr>
            <w:r>
              <w:rPr>
                <w:rFonts w:eastAsiaTheme="minorEastAsia"/>
                <w:color w:val="000000" w:themeColor="text1"/>
                <w:szCs w:val="21"/>
              </w:rPr>
              <w:t>1</w:t>
            </w:r>
          </w:p>
        </w:tc>
        <w:tc>
          <w:tcPr>
            <w:tcW w:w="1559" w:type="dxa"/>
            <w:vAlign w:val="center"/>
          </w:tcPr>
          <w:p w:rsidR="001A637D" w:rsidRDefault="007F1418">
            <w:pPr>
              <w:jc w:val="center"/>
            </w:pPr>
            <w:r>
              <w:rPr>
                <w:rFonts w:eastAsiaTheme="minorEastAsia"/>
                <w:color w:val="000000" w:themeColor="text1"/>
                <w:szCs w:val="21"/>
              </w:rPr>
              <w:t>160417</w:t>
            </w:r>
          </w:p>
        </w:tc>
        <w:tc>
          <w:tcPr>
            <w:tcW w:w="2102" w:type="dxa"/>
            <w:vAlign w:val="center"/>
          </w:tcPr>
          <w:p w:rsidR="001A637D" w:rsidRDefault="007F1418">
            <w:pPr>
              <w:jc w:val="center"/>
            </w:pPr>
            <w:r>
              <w:rPr>
                <w:rFonts w:eastAsiaTheme="minorEastAsia"/>
                <w:color w:val="000000" w:themeColor="text1"/>
                <w:szCs w:val="21"/>
              </w:rPr>
              <w:t>16</w:t>
            </w:r>
            <w:r>
              <w:rPr>
                <w:rFonts w:eastAsiaTheme="minorEastAsia"/>
                <w:color w:val="000000" w:themeColor="text1"/>
                <w:szCs w:val="21"/>
              </w:rPr>
              <w:t>农发</w:t>
            </w:r>
            <w:r>
              <w:rPr>
                <w:rFonts w:eastAsiaTheme="minorEastAsia"/>
                <w:color w:val="000000" w:themeColor="text1"/>
                <w:szCs w:val="21"/>
              </w:rPr>
              <w:t>17</w:t>
            </w:r>
          </w:p>
        </w:tc>
        <w:tc>
          <w:tcPr>
            <w:tcW w:w="1503" w:type="dxa"/>
            <w:vAlign w:val="center"/>
          </w:tcPr>
          <w:p w:rsidR="001A637D" w:rsidRDefault="007F1418">
            <w:pPr>
              <w:jc w:val="right"/>
            </w:pPr>
            <w:r>
              <w:rPr>
                <w:rFonts w:eastAsiaTheme="minorEastAsia"/>
                <w:color w:val="000000" w:themeColor="text1"/>
                <w:szCs w:val="21"/>
              </w:rPr>
              <w:t>10,150,000</w:t>
            </w:r>
          </w:p>
        </w:tc>
        <w:tc>
          <w:tcPr>
            <w:tcW w:w="1503" w:type="dxa"/>
            <w:vAlign w:val="center"/>
          </w:tcPr>
          <w:p w:rsidR="001A637D" w:rsidRDefault="007F1418">
            <w:pPr>
              <w:jc w:val="right"/>
            </w:pPr>
            <w:r w:rsidRPr="007F1418">
              <w:rPr>
                <w:rFonts w:eastAsiaTheme="minorEastAsia"/>
                <w:color w:val="000000" w:themeColor="text1"/>
                <w:szCs w:val="21"/>
              </w:rPr>
              <w:t>1</w:t>
            </w:r>
            <w:r>
              <w:rPr>
                <w:rFonts w:eastAsiaTheme="minorEastAsia"/>
                <w:color w:val="000000" w:themeColor="text1"/>
                <w:szCs w:val="21"/>
              </w:rPr>
              <w:t>,</w:t>
            </w:r>
            <w:r w:rsidRPr="007F1418">
              <w:rPr>
                <w:rFonts w:eastAsiaTheme="minorEastAsia"/>
                <w:color w:val="000000" w:themeColor="text1"/>
                <w:szCs w:val="21"/>
              </w:rPr>
              <w:t>054</w:t>
            </w:r>
            <w:r>
              <w:rPr>
                <w:rFonts w:eastAsiaTheme="minorEastAsia"/>
                <w:color w:val="000000" w:themeColor="text1"/>
                <w:szCs w:val="21"/>
              </w:rPr>
              <w:t>,</w:t>
            </w:r>
            <w:r w:rsidRPr="007F1418">
              <w:rPr>
                <w:rFonts w:eastAsiaTheme="minorEastAsia"/>
                <w:color w:val="000000" w:themeColor="text1"/>
                <w:szCs w:val="21"/>
              </w:rPr>
              <w:t>026</w:t>
            </w:r>
            <w:r>
              <w:rPr>
                <w:rFonts w:eastAsiaTheme="minorEastAsia"/>
                <w:color w:val="000000" w:themeColor="text1"/>
                <w:szCs w:val="21"/>
              </w:rPr>
              <w:t>,</w:t>
            </w:r>
            <w:r w:rsidRPr="007F1418">
              <w:rPr>
                <w:rFonts w:eastAsiaTheme="minorEastAsia"/>
                <w:color w:val="000000" w:themeColor="text1"/>
                <w:szCs w:val="21"/>
              </w:rPr>
              <w:t>267.43</w:t>
            </w:r>
          </w:p>
        </w:tc>
        <w:tc>
          <w:tcPr>
            <w:tcW w:w="1503" w:type="dxa"/>
            <w:vAlign w:val="center"/>
          </w:tcPr>
          <w:p w:rsidR="001A637D" w:rsidRDefault="007F1418">
            <w:pPr>
              <w:jc w:val="right"/>
            </w:pPr>
            <w:r w:rsidRPr="007F1418">
              <w:rPr>
                <w:rFonts w:eastAsiaTheme="minorEastAsia"/>
                <w:color w:val="000000" w:themeColor="text1"/>
                <w:szCs w:val="21"/>
              </w:rPr>
              <w:t>48</w:t>
            </w:r>
            <w:r>
              <w:rPr>
                <w:rFonts w:eastAsiaTheme="minorEastAsia"/>
                <w:color w:val="000000" w:themeColor="text1"/>
                <w:szCs w:val="21"/>
              </w:rPr>
              <w:t>.</w:t>
            </w:r>
            <w:r w:rsidRPr="007F1418">
              <w:rPr>
                <w:rFonts w:eastAsiaTheme="minorEastAsia"/>
                <w:color w:val="000000" w:themeColor="text1"/>
                <w:szCs w:val="21"/>
              </w:rPr>
              <w:t>92</w:t>
            </w:r>
          </w:p>
        </w:tc>
      </w:tr>
      <w:tr w:rsidR="001A637D" w:rsidTr="002D3DDC">
        <w:tc>
          <w:tcPr>
            <w:tcW w:w="851" w:type="dxa"/>
            <w:vAlign w:val="center"/>
          </w:tcPr>
          <w:p w:rsidR="001A637D" w:rsidRDefault="007F1418">
            <w:pPr>
              <w:jc w:val="center"/>
            </w:pPr>
            <w:r>
              <w:rPr>
                <w:rFonts w:eastAsiaTheme="minorEastAsia"/>
                <w:color w:val="000000" w:themeColor="text1"/>
                <w:szCs w:val="21"/>
              </w:rPr>
              <w:t>2</w:t>
            </w:r>
          </w:p>
        </w:tc>
        <w:tc>
          <w:tcPr>
            <w:tcW w:w="1559" w:type="dxa"/>
            <w:vAlign w:val="center"/>
          </w:tcPr>
          <w:p w:rsidR="001A637D" w:rsidRDefault="007F1418">
            <w:pPr>
              <w:jc w:val="center"/>
            </w:pPr>
            <w:r>
              <w:rPr>
                <w:rFonts w:eastAsiaTheme="minorEastAsia"/>
                <w:color w:val="000000" w:themeColor="text1"/>
                <w:szCs w:val="21"/>
              </w:rPr>
              <w:t>200402</w:t>
            </w:r>
          </w:p>
        </w:tc>
        <w:tc>
          <w:tcPr>
            <w:tcW w:w="2102" w:type="dxa"/>
            <w:vAlign w:val="center"/>
          </w:tcPr>
          <w:p w:rsidR="001A637D" w:rsidRDefault="007F1418">
            <w:pPr>
              <w:jc w:val="center"/>
            </w:pPr>
            <w:r>
              <w:rPr>
                <w:rFonts w:eastAsiaTheme="minorEastAsia"/>
                <w:color w:val="000000" w:themeColor="text1"/>
                <w:szCs w:val="21"/>
              </w:rPr>
              <w:t>20</w:t>
            </w:r>
            <w:r>
              <w:rPr>
                <w:rFonts w:eastAsiaTheme="minorEastAsia"/>
                <w:color w:val="000000" w:themeColor="text1"/>
                <w:szCs w:val="21"/>
              </w:rPr>
              <w:t>农发</w:t>
            </w:r>
            <w:r>
              <w:rPr>
                <w:rFonts w:eastAsiaTheme="minorEastAsia"/>
                <w:color w:val="000000" w:themeColor="text1"/>
                <w:szCs w:val="21"/>
              </w:rPr>
              <w:t>02</w:t>
            </w:r>
          </w:p>
        </w:tc>
        <w:tc>
          <w:tcPr>
            <w:tcW w:w="1503" w:type="dxa"/>
            <w:vAlign w:val="center"/>
          </w:tcPr>
          <w:p w:rsidR="001A637D" w:rsidRDefault="007F1418">
            <w:pPr>
              <w:jc w:val="right"/>
            </w:pPr>
            <w:r>
              <w:rPr>
                <w:rFonts w:eastAsiaTheme="minorEastAsia"/>
                <w:color w:val="000000" w:themeColor="text1"/>
                <w:szCs w:val="21"/>
              </w:rPr>
              <w:t>8,900,000</w:t>
            </w:r>
          </w:p>
        </w:tc>
        <w:tc>
          <w:tcPr>
            <w:tcW w:w="1503" w:type="dxa"/>
            <w:vAlign w:val="center"/>
          </w:tcPr>
          <w:p w:rsidR="001A637D" w:rsidRDefault="007F1418">
            <w:pPr>
              <w:jc w:val="right"/>
            </w:pPr>
            <w:r w:rsidRPr="007F1418">
              <w:rPr>
                <w:rFonts w:eastAsiaTheme="minorEastAsia"/>
                <w:color w:val="000000" w:themeColor="text1"/>
                <w:szCs w:val="21"/>
              </w:rPr>
              <w:t>902</w:t>
            </w:r>
            <w:r>
              <w:rPr>
                <w:rFonts w:eastAsiaTheme="minorEastAsia"/>
                <w:color w:val="000000" w:themeColor="text1"/>
                <w:szCs w:val="21"/>
              </w:rPr>
              <w:t>,</w:t>
            </w:r>
            <w:r w:rsidRPr="007F1418">
              <w:rPr>
                <w:rFonts w:eastAsiaTheme="minorEastAsia"/>
                <w:color w:val="000000" w:themeColor="text1"/>
                <w:szCs w:val="21"/>
              </w:rPr>
              <w:t>481</w:t>
            </w:r>
            <w:r>
              <w:rPr>
                <w:rFonts w:eastAsiaTheme="minorEastAsia"/>
                <w:color w:val="000000" w:themeColor="text1"/>
                <w:szCs w:val="21"/>
              </w:rPr>
              <w:t>,</w:t>
            </w:r>
            <w:r w:rsidRPr="007F1418">
              <w:rPr>
                <w:rFonts w:eastAsiaTheme="minorEastAsia"/>
                <w:color w:val="000000" w:themeColor="text1"/>
                <w:szCs w:val="21"/>
              </w:rPr>
              <w:t>084.18</w:t>
            </w:r>
          </w:p>
        </w:tc>
        <w:tc>
          <w:tcPr>
            <w:tcW w:w="1503" w:type="dxa"/>
            <w:vAlign w:val="center"/>
          </w:tcPr>
          <w:p w:rsidR="001A637D" w:rsidRDefault="007F1418">
            <w:pPr>
              <w:jc w:val="right"/>
            </w:pPr>
            <w:r w:rsidRPr="007F1418">
              <w:rPr>
                <w:rFonts w:eastAsiaTheme="minorEastAsia"/>
                <w:color w:val="000000" w:themeColor="text1"/>
                <w:szCs w:val="21"/>
              </w:rPr>
              <w:t>41</w:t>
            </w:r>
            <w:r>
              <w:rPr>
                <w:rFonts w:eastAsiaTheme="minorEastAsia"/>
                <w:color w:val="000000" w:themeColor="text1"/>
                <w:szCs w:val="21"/>
              </w:rPr>
              <w:t>.</w:t>
            </w:r>
            <w:r w:rsidRPr="007F1418">
              <w:rPr>
                <w:rFonts w:eastAsiaTheme="minorEastAsia"/>
                <w:color w:val="000000" w:themeColor="text1"/>
                <w:szCs w:val="21"/>
              </w:rPr>
              <w:t>88</w:t>
            </w:r>
          </w:p>
        </w:tc>
      </w:tr>
      <w:tr w:rsidR="001A637D" w:rsidTr="002D3DDC">
        <w:tc>
          <w:tcPr>
            <w:tcW w:w="851" w:type="dxa"/>
            <w:vAlign w:val="center"/>
          </w:tcPr>
          <w:p w:rsidR="001A637D" w:rsidRDefault="007F1418">
            <w:pPr>
              <w:jc w:val="center"/>
            </w:pPr>
            <w:r>
              <w:rPr>
                <w:rFonts w:eastAsiaTheme="minorEastAsia"/>
                <w:color w:val="000000" w:themeColor="text1"/>
                <w:szCs w:val="21"/>
              </w:rPr>
              <w:t>3</w:t>
            </w:r>
          </w:p>
        </w:tc>
        <w:tc>
          <w:tcPr>
            <w:tcW w:w="1559" w:type="dxa"/>
            <w:vAlign w:val="center"/>
          </w:tcPr>
          <w:p w:rsidR="001A637D" w:rsidRDefault="007F1418">
            <w:pPr>
              <w:jc w:val="center"/>
            </w:pPr>
            <w:r>
              <w:rPr>
                <w:rFonts w:eastAsiaTheme="minorEastAsia"/>
                <w:color w:val="000000" w:themeColor="text1"/>
                <w:szCs w:val="21"/>
              </w:rPr>
              <w:t>2028008</w:t>
            </w:r>
          </w:p>
        </w:tc>
        <w:tc>
          <w:tcPr>
            <w:tcW w:w="2102" w:type="dxa"/>
            <w:vAlign w:val="center"/>
          </w:tcPr>
          <w:p w:rsidR="001A637D" w:rsidRDefault="007F1418">
            <w:pPr>
              <w:jc w:val="center"/>
            </w:pPr>
            <w:r>
              <w:rPr>
                <w:rFonts w:eastAsiaTheme="minorEastAsia"/>
                <w:color w:val="000000" w:themeColor="text1"/>
                <w:szCs w:val="21"/>
              </w:rPr>
              <w:t>20</w:t>
            </w:r>
            <w:r>
              <w:rPr>
                <w:rFonts w:eastAsiaTheme="minorEastAsia"/>
                <w:color w:val="000000" w:themeColor="text1"/>
                <w:szCs w:val="21"/>
              </w:rPr>
              <w:t>民生银行小微债</w:t>
            </w:r>
            <w:r>
              <w:rPr>
                <w:rFonts w:eastAsiaTheme="minorEastAsia"/>
                <w:color w:val="000000" w:themeColor="text1"/>
                <w:szCs w:val="21"/>
              </w:rPr>
              <w:t>01</w:t>
            </w:r>
          </w:p>
        </w:tc>
        <w:tc>
          <w:tcPr>
            <w:tcW w:w="1503" w:type="dxa"/>
            <w:vAlign w:val="center"/>
          </w:tcPr>
          <w:p w:rsidR="001A637D" w:rsidRDefault="007F1418">
            <w:pPr>
              <w:jc w:val="right"/>
            </w:pPr>
            <w:r>
              <w:rPr>
                <w:rFonts w:eastAsiaTheme="minorEastAsia"/>
                <w:color w:val="000000" w:themeColor="text1"/>
                <w:szCs w:val="21"/>
              </w:rPr>
              <w:t>1,900,000</w:t>
            </w:r>
          </w:p>
        </w:tc>
        <w:tc>
          <w:tcPr>
            <w:tcW w:w="1503" w:type="dxa"/>
            <w:vAlign w:val="center"/>
          </w:tcPr>
          <w:p w:rsidR="001A637D" w:rsidRDefault="007F1418">
            <w:pPr>
              <w:jc w:val="right"/>
            </w:pPr>
            <w:r w:rsidRPr="007F1418">
              <w:rPr>
                <w:rFonts w:eastAsiaTheme="minorEastAsia"/>
                <w:color w:val="000000" w:themeColor="text1"/>
                <w:szCs w:val="21"/>
              </w:rPr>
              <w:t>191</w:t>
            </w:r>
            <w:r>
              <w:rPr>
                <w:rFonts w:eastAsiaTheme="minorEastAsia"/>
                <w:color w:val="000000" w:themeColor="text1"/>
                <w:szCs w:val="21"/>
              </w:rPr>
              <w:t>,</w:t>
            </w:r>
            <w:r w:rsidRPr="007F1418">
              <w:rPr>
                <w:rFonts w:eastAsiaTheme="minorEastAsia"/>
                <w:color w:val="000000" w:themeColor="text1"/>
                <w:szCs w:val="21"/>
              </w:rPr>
              <w:t>014</w:t>
            </w:r>
            <w:r>
              <w:rPr>
                <w:rFonts w:eastAsiaTheme="minorEastAsia"/>
                <w:color w:val="000000" w:themeColor="text1"/>
                <w:szCs w:val="21"/>
              </w:rPr>
              <w:t>,</w:t>
            </w:r>
            <w:r w:rsidRPr="007F1418">
              <w:rPr>
                <w:rFonts w:eastAsiaTheme="minorEastAsia"/>
                <w:color w:val="000000" w:themeColor="text1"/>
                <w:szCs w:val="21"/>
              </w:rPr>
              <w:t>312.51</w:t>
            </w:r>
          </w:p>
        </w:tc>
        <w:tc>
          <w:tcPr>
            <w:tcW w:w="1503" w:type="dxa"/>
            <w:vAlign w:val="center"/>
          </w:tcPr>
          <w:p w:rsidR="001A637D" w:rsidRDefault="007F1418">
            <w:pPr>
              <w:jc w:val="right"/>
            </w:pPr>
            <w:r w:rsidRPr="007F1418">
              <w:rPr>
                <w:rFonts w:eastAsiaTheme="minorEastAsia"/>
                <w:color w:val="000000" w:themeColor="text1"/>
                <w:szCs w:val="21"/>
              </w:rPr>
              <w:t>8</w:t>
            </w:r>
            <w:r>
              <w:rPr>
                <w:rFonts w:eastAsiaTheme="minorEastAsia"/>
                <w:color w:val="000000" w:themeColor="text1"/>
                <w:szCs w:val="21"/>
              </w:rPr>
              <w:t>.</w:t>
            </w:r>
            <w:r w:rsidRPr="007F1418">
              <w:rPr>
                <w:rFonts w:eastAsiaTheme="minorEastAsia"/>
                <w:color w:val="000000" w:themeColor="text1"/>
                <w:szCs w:val="21"/>
              </w:rPr>
              <w:t>87</w:t>
            </w:r>
          </w:p>
        </w:tc>
      </w:tr>
      <w:tr w:rsidR="001A637D" w:rsidTr="002D3DDC">
        <w:tc>
          <w:tcPr>
            <w:tcW w:w="851" w:type="dxa"/>
            <w:vAlign w:val="center"/>
          </w:tcPr>
          <w:p w:rsidR="001A637D" w:rsidRDefault="007F1418">
            <w:pPr>
              <w:jc w:val="center"/>
            </w:pPr>
            <w:r>
              <w:rPr>
                <w:rFonts w:eastAsiaTheme="minorEastAsia"/>
                <w:color w:val="000000" w:themeColor="text1"/>
                <w:szCs w:val="21"/>
              </w:rPr>
              <w:t>4</w:t>
            </w:r>
          </w:p>
        </w:tc>
        <w:tc>
          <w:tcPr>
            <w:tcW w:w="1559" w:type="dxa"/>
            <w:vAlign w:val="center"/>
          </w:tcPr>
          <w:p w:rsidR="001A637D" w:rsidRDefault="007F1418">
            <w:pPr>
              <w:jc w:val="center"/>
            </w:pPr>
            <w:r>
              <w:rPr>
                <w:rFonts w:eastAsiaTheme="minorEastAsia"/>
                <w:color w:val="000000" w:themeColor="text1"/>
                <w:szCs w:val="21"/>
              </w:rPr>
              <w:t>2028015</w:t>
            </w:r>
          </w:p>
        </w:tc>
        <w:tc>
          <w:tcPr>
            <w:tcW w:w="2102" w:type="dxa"/>
            <w:vAlign w:val="center"/>
          </w:tcPr>
          <w:p w:rsidR="001A637D" w:rsidRDefault="007F1418">
            <w:pPr>
              <w:jc w:val="center"/>
            </w:pPr>
            <w:r>
              <w:rPr>
                <w:rFonts w:eastAsiaTheme="minorEastAsia"/>
                <w:color w:val="000000" w:themeColor="text1"/>
                <w:szCs w:val="21"/>
              </w:rPr>
              <w:t>20</w:t>
            </w:r>
            <w:r>
              <w:rPr>
                <w:rFonts w:eastAsiaTheme="minorEastAsia"/>
                <w:color w:val="000000" w:themeColor="text1"/>
                <w:szCs w:val="21"/>
              </w:rPr>
              <w:t>兴业银行小微债</w:t>
            </w:r>
            <w:r>
              <w:rPr>
                <w:rFonts w:eastAsiaTheme="minorEastAsia"/>
                <w:color w:val="000000" w:themeColor="text1"/>
                <w:szCs w:val="21"/>
              </w:rPr>
              <w:t>01</w:t>
            </w:r>
          </w:p>
        </w:tc>
        <w:tc>
          <w:tcPr>
            <w:tcW w:w="1503" w:type="dxa"/>
            <w:vAlign w:val="center"/>
          </w:tcPr>
          <w:p w:rsidR="001A637D" w:rsidRDefault="007F1418">
            <w:pPr>
              <w:jc w:val="right"/>
            </w:pPr>
            <w:r>
              <w:rPr>
                <w:rFonts w:eastAsiaTheme="minorEastAsia"/>
                <w:color w:val="000000" w:themeColor="text1"/>
                <w:szCs w:val="21"/>
              </w:rPr>
              <w:t>1,700,000</w:t>
            </w:r>
          </w:p>
        </w:tc>
        <w:tc>
          <w:tcPr>
            <w:tcW w:w="1503" w:type="dxa"/>
            <w:vAlign w:val="center"/>
          </w:tcPr>
          <w:p w:rsidR="001A637D" w:rsidRDefault="007F1418">
            <w:pPr>
              <w:jc w:val="right"/>
            </w:pPr>
            <w:r w:rsidRPr="007F1418">
              <w:rPr>
                <w:rFonts w:eastAsiaTheme="minorEastAsia"/>
                <w:color w:val="000000" w:themeColor="text1"/>
                <w:szCs w:val="21"/>
              </w:rPr>
              <w:t>172</w:t>
            </w:r>
            <w:r>
              <w:rPr>
                <w:rFonts w:eastAsiaTheme="minorEastAsia"/>
                <w:color w:val="000000" w:themeColor="text1"/>
                <w:szCs w:val="21"/>
              </w:rPr>
              <w:t>,</w:t>
            </w:r>
            <w:r w:rsidRPr="007F1418">
              <w:rPr>
                <w:rFonts w:eastAsiaTheme="minorEastAsia"/>
                <w:color w:val="000000" w:themeColor="text1"/>
                <w:szCs w:val="21"/>
              </w:rPr>
              <w:t>390</w:t>
            </w:r>
            <w:r>
              <w:rPr>
                <w:rFonts w:eastAsiaTheme="minorEastAsia"/>
                <w:color w:val="000000" w:themeColor="text1"/>
                <w:szCs w:val="21"/>
              </w:rPr>
              <w:t>,</w:t>
            </w:r>
            <w:r w:rsidRPr="007F1418">
              <w:rPr>
                <w:rFonts w:eastAsiaTheme="minorEastAsia"/>
                <w:color w:val="000000" w:themeColor="text1"/>
                <w:szCs w:val="21"/>
              </w:rPr>
              <w:t>640.58</w:t>
            </w:r>
          </w:p>
        </w:tc>
        <w:tc>
          <w:tcPr>
            <w:tcW w:w="1503" w:type="dxa"/>
            <w:vAlign w:val="center"/>
          </w:tcPr>
          <w:p w:rsidR="001A637D" w:rsidRDefault="007F1418">
            <w:pPr>
              <w:jc w:val="right"/>
            </w:pPr>
            <w:r w:rsidRPr="007F1418">
              <w:rPr>
                <w:rFonts w:eastAsiaTheme="minorEastAsia"/>
                <w:color w:val="000000" w:themeColor="text1"/>
                <w:szCs w:val="21"/>
              </w:rPr>
              <w:t>8</w:t>
            </w:r>
            <w:r>
              <w:rPr>
                <w:rFonts w:eastAsiaTheme="minorEastAsia"/>
                <w:color w:val="000000" w:themeColor="text1"/>
                <w:szCs w:val="21"/>
              </w:rPr>
              <w:t>.</w:t>
            </w:r>
            <w:r w:rsidRPr="007F1418">
              <w:rPr>
                <w:rFonts w:eastAsiaTheme="minorEastAsia"/>
                <w:color w:val="000000" w:themeColor="text1"/>
                <w:szCs w:val="21"/>
              </w:rPr>
              <w:t>00</w:t>
            </w:r>
          </w:p>
        </w:tc>
      </w:tr>
      <w:tr w:rsidR="001A637D" w:rsidTr="002D3DDC">
        <w:tc>
          <w:tcPr>
            <w:tcW w:w="851" w:type="dxa"/>
            <w:vAlign w:val="center"/>
          </w:tcPr>
          <w:p w:rsidR="001A637D" w:rsidRDefault="007F1418">
            <w:pPr>
              <w:jc w:val="center"/>
            </w:pPr>
            <w:r>
              <w:rPr>
                <w:rFonts w:eastAsiaTheme="minorEastAsia"/>
                <w:color w:val="000000" w:themeColor="text1"/>
                <w:szCs w:val="21"/>
              </w:rPr>
              <w:t>5</w:t>
            </w:r>
          </w:p>
        </w:tc>
        <w:tc>
          <w:tcPr>
            <w:tcW w:w="1559" w:type="dxa"/>
            <w:vAlign w:val="center"/>
          </w:tcPr>
          <w:p w:rsidR="001A637D" w:rsidRDefault="007F1418">
            <w:pPr>
              <w:jc w:val="center"/>
            </w:pPr>
            <w:r>
              <w:rPr>
                <w:rFonts w:eastAsiaTheme="minorEastAsia"/>
                <w:color w:val="000000" w:themeColor="text1"/>
                <w:szCs w:val="21"/>
              </w:rPr>
              <w:t>1820013</w:t>
            </w:r>
          </w:p>
        </w:tc>
        <w:tc>
          <w:tcPr>
            <w:tcW w:w="2102" w:type="dxa"/>
            <w:vAlign w:val="center"/>
          </w:tcPr>
          <w:p w:rsidR="001A637D" w:rsidRDefault="007F1418">
            <w:pPr>
              <w:jc w:val="center"/>
            </w:pPr>
            <w:r>
              <w:rPr>
                <w:rFonts w:eastAsiaTheme="minorEastAsia"/>
                <w:color w:val="000000" w:themeColor="text1"/>
                <w:szCs w:val="21"/>
              </w:rPr>
              <w:t>18</w:t>
            </w:r>
            <w:r>
              <w:rPr>
                <w:rFonts w:eastAsiaTheme="minorEastAsia"/>
                <w:color w:val="000000" w:themeColor="text1"/>
                <w:szCs w:val="21"/>
              </w:rPr>
              <w:t>江苏银行</w:t>
            </w:r>
            <w:r>
              <w:rPr>
                <w:rFonts w:eastAsiaTheme="minorEastAsia"/>
                <w:color w:val="000000" w:themeColor="text1"/>
                <w:szCs w:val="21"/>
              </w:rPr>
              <w:t>01</w:t>
            </w:r>
          </w:p>
        </w:tc>
        <w:tc>
          <w:tcPr>
            <w:tcW w:w="1503" w:type="dxa"/>
            <w:vAlign w:val="center"/>
          </w:tcPr>
          <w:p w:rsidR="001A637D" w:rsidRDefault="007F1418">
            <w:pPr>
              <w:jc w:val="right"/>
            </w:pPr>
            <w:r>
              <w:rPr>
                <w:rFonts w:eastAsiaTheme="minorEastAsia"/>
                <w:color w:val="000000" w:themeColor="text1"/>
                <w:szCs w:val="21"/>
              </w:rPr>
              <w:t>1,300,000</w:t>
            </w:r>
          </w:p>
        </w:tc>
        <w:tc>
          <w:tcPr>
            <w:tcW w:w="1503" w:type="dxa"/>
            <w:vAlign w:val="center"/>
          </w:tcPr>
          <w:p w:rsidR="001A637D" w:rsidRDefault="007F1418">
            <w:pPr>
              <w:jc w:val="right"/>
            </w:pPr>
            <w:r w:rsidRPr="007F1418">
              <w:rPr>
                <w:rFonts w:eastAsiaTheme="minorEastAsia"/>
                <w:color w:val="000000" w:themeColor="text1"/>
                <w:szCs w:val="21"/>
              </w:rPr>
              <w:t>138</w:t>
            </w:r>
            <w:r>
              <w:rPr>
                <w:rFonts w:eastAsiaTheme="minorEastAsia"/>
                <w:color w:val="000000" w:themeColor="text1"/>
                <w:szCs w:val="21"/>
              </w:rPr>
              <w:t>,</w:t>
            </w:r>
            <w:r w:rsidRPr="007F1418">
              <w:rPr>
                <w:rFonts w:eastAsiaTheme="minorEastAsia"/>
                <w:color w:val="000000" w:themeColor="text1"/>
                <w:szCs w:val="21"/>
              </w:rPr>
              <w:t>484</w:t>
            </w:r>
            <w:r>
              <w:rPr>
                <w:rFonts w:eastAsiaTheme="minorEastAsia"/>
                <w:color w:val="000000" w:themeColor="text1"/>
                <w:szCs w:val="21"/>
              </w:rPr>
              <w:t>,</w:t>
            </w:r>
            <w:r w:rsidRPr="007F1418">
              <w:rPr>
                <w:rFonts w:eastAsiaTheme="minorEastAsia"/>
                <w:color w:val="000000" w:themeColor="text1"/>
                <w:szCs w:val="21"/>
              </w:rPr>
              <w:t>685.98</w:t>
            </w:r>
          </w:p>
        </w:tc>
        <w:tc>
          <w:tcPr>
            <w:tcW w:w="1503" w:type="dxa"/>
            <w:vAlign w:val="center"/>
          </w:tcPr>
          <w:p w:rsidR="001A637D" w:rsidRDefault="007F1418">
            <w:pPr>
              <w:jc w:val="right"/>
            </w:pPr>
            <w:r w:rsidRPr="007F1418">
              <w:rPr>
                <w:rFonts w:eastAsiaTheme="minorEastAsia"/>
                <w:color w:val="000000" w:themeColor="text1"/>
                <w:szCs w:val="21"/>
              </w:rPr>
              <w:t>6</w:t>
            </w:r>
            <w:r>
              <w:rPr>
                <w:rFonts w:eastAsiaTheme="minorEastAsia"/>
                <w:color w:val="000000" w:themeColor="text1"/>
                <w:szCs w:val="21"/>
              </w:rPr>
              <w:t>.</w:t>
            </w:r>
            <w:r w:rsidRPr="007F1418">
              <w:rPr>
                <w:rFonts w:eastAsiaTheme="minorEastAsia"/>
                <w:color w:val="000000" w:themeColor="text1"/>
                <w:szCs w:val="21"/>
              </w:rPr>
              <w:t>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2D3DDC" w:rsidRPr="002D3DDC" w:rsidRDefault="002D3DDC" w:rsidP="002D3DDC">
      <w:pPr>
        <w:autoSpaceDE w:val="0"/>
        <w:autoSpaceDN w:val="0"/>
        <w:adjustRightInd w:val="0"/>
        <w:spacing w:line="360" w:lineRule="auto"/>
        <w:ind w:firstLine="420"/>
        <w:rPr>
          <w:rFonts w:eastAsiaTheme="minorEastAsia"/>
          <w:color w:val="000000" w:themeColor="text1"/>
          <w:szCs w:val="21"/>
        </w:rPr>
      </w:pPr>
      <w:r w:rsidRPr="002D3DDC">
        <w:rPr>
          <w:rFonts w:eastAsiaTheme="minorEastAsia" w:hint="eastAsia"/>
          <w:color w:val="000000" w:themeColor="text1"/>
          <w:szCs w:val="21"/>
        </w:rPr>
        <w:t>本基金本报告期</w:t>
      </w:r>
      <w:r w:rsidR="0031157E">
        <w:rPr>
          <w:rFonts w:eastAsiaTheme="minorEastAsia" w:hint="eastAsia"/>
          <w:color w:val="000000" w:themeColor="text1"/>
          <w:szCs w:val="21"/>
        </w:rPr>
        <w:t>末</w:t>
      </w:r>
      <w:bookmarkStart w:id="1" w:name="_GoBack"/>
      <w:bookmarkEnd w:id="1"/>
      <w:r w:rsidRPr="002D3DDC">
        <w:rPr>
          <w:rFonts w:eastAsiaTheme="minorEastAsia" w:hint="eastAsia"/>
          <w:color w:val="000000" w:themeColor="text1"/>
          <w:szCs w:val="21"/>
        </w:rPr>
        <w:t>无其他资产构成。</w:t>
      </w:r>
    </w:p>
    <w:p w:rsidR="005E6DF3" w:rsidRPr="00B27A29" w:rsidRDefault="005C671B" w:rsidP="002D3DDC">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2,100,092,019.86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14,352.81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2,100,092,019.86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14,352.81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1A637D">
        <w:tc>
          <w:tcPr>
            <w:tcW w:w="993" w:type="dxa"/>
            <w:vMerge w:val="restart"/>
            <w:vAlign w:val="center"/>
          </w:tcPr>
          <w:p w:rsidR="001A637D" w:rsidRDefault="007F1418">
            <w:r>
              <w:rPr>
                <w:bCs/>
                <w:color w:val="000000"/>
                <w:kern w:val="0"/>
                <w:szCs w:val="21"/>
              </w:rPr>
              <w:t>机构</w:t>
            </w:r>
          </w:p>
        </w:tc>
        <w:tc>
          <w:tcPr>
            <w:tcW w:w="992" w:type="dxa"/>
            <w:vAlign w:val="center"/>
          </w:tcPr>
          <w:p w:rsidR="001A637D" w:rsidRDefault="007F1418">
            <w:pPr>
              <w:jc w:val="center"/>
            </w:pPr>
            <w:r>
              <w:rPr>
                <w:color w:val="000000"/>
                <w:kern w:val="0"/>
                <w:szCs w:val="21"/>
              </w:rPr>
              <w:t>1</w:t>
            </w:r>
          </w:p>
        </w:tc>
        <w:tc>
          <w:tcPr>
            <w:tcW w:w="1843" w:type="dxa"/>
            <w:vAlign w:val="center"/>
          </w:tcPr>
          <w:p w:rsidR="001A637D" w:rsidRDefault="007F1418">
            <w:pPr>
              <w:jc w:val="center"/>
            </w:pPr>
            <w:r>
              <w:rPr>
                <w:color w:val="000000"/>
                <w:kern w:val="0"/>
                <w:szCs w:val="21"/>
              </w:rPr>
              <w:t>20220101-20220331</w:t>
            </w:r>
          </w:p>
        </w:tc>
        <w:tc>
          <w:tcPr>
            <w:tcW w:w="851" w:type="dxa"/>
            <w:vAlign w:val="center"/>
          </w:tcPr>
          <w:p w:rsidR="001A637D" w:rsidRDefault="007F1418">
            <w:pPr>
              <w:jc w:val="center"/>
            </w:pPr>
            <w:r>
              <w:rPr>
                <w:color w:val="000000"/>
                <w:kern w:val="0"/>
                <w:szCs w:val="21"/>
              </w:rPr>
              <w:t>999,999,000.00</w:t>
            </w:r>
          </w:p>
        </w:tc>
        <w:tc>
          <w:tcPr>
            <w:tcW w:w="850" w:type="dxa"/>
            <w:vAlign w:val="center"/>
          </w:tcPr>
          <w:p w:rsidR="001A637D" w:rsidRDefault="007F1418">
            <w:pPr>
              <w:jc w:val="center"/>
            </w:pPr>
            <w:r>
              <w:rPr>
                <w:color w:val="000000"/>
                <w:kern w:val="0"/>
                <w:szCs w:val="21"/>
              </w:rPr>
              <w:t>0.00</w:t>
            </w:r>
          </w:p>
        </w:tc>
        <w:tc>
          <w:tcPr>
            <w:tcW w:w="1134" w:type="dxa"/>
            <w:vAlign w:val="center"/>
          </w:tcPr>
          <w:p w:rsidR="001A637D" w:rsidRDefault="007F1418">
            <w:pPr>
              <w:jc w:val="center"/>
            </w:pPr>
            <w:r>
              <w:rPr>
                <w:color w:val="000000"/>
                <w:kern w:val="0"/>
                <w:szCs w:val="21"/>
              </w:rPr>
              <w:t>0.00</w:t>
            </w:r>
          </w:p>
        </w:tc>
        <w:tc>
          <w:tcPr>
            <w:tcW w:w="1419" w:type="dxa"/>
            <w:vAlign w:val="center"/>
          </w:tcPr>
          <w:p w:rsidR="001A637D" w:rsidRDefault="007F1418">
            <w:pPr>
              <w:jc w:val="center"/>
            </w:pPr>
            <w:r>
              <w:rPr>
                <w:color w:val="000000"/>
                <w:kern w:val="0"/>
                <w:szCs w:val="21"/>
              </w:rPr>
              <w:t>999,999,000.00</w:t>
            </w:r>
          </w:p>
        </w:tc>
        <w:tc>
          <w:tcPr>
            <w:tcW w:w="1130" w:type="dxa"/>
            <w:vAlign w:val="center"/>
          </w:tcPr>
          <w:p w:rsidR="001A637D" w:rsidRDefault="007F1418">
            <w:pPr>
              <w:jc w:val="center"/>
            </w:pPr>
            <w:r>
              <w:rPr>
                <w:color w:val="000000"/>
                <w:kern w:val="0"/>
                <w:szCs w:val="21"/>
              </w:rPr>
              <w:t>47.62%</w:t>
            </w:r>
          </w:p>
        </w:tc>
      </w:tr>
      <w:tr w:rsidR="001A637D">
        <w:tc>
          <w:tcPr>
            <w:tcW w:w="993" w:type="dxa"/>
            <w:vMerge/>
          </w:tcPr>
          <w:p w:rsidR="001A637D" w:rsidRDefault="001A637D"/>
        </w:tc>
        <w:tc>
          <w:tcPr>
            <w:tcW w:w="992" w:type="dxa"/>
            <w:vAlign w:val="center"/>
          </w:tcPr>
          <w:p w:rsidR="001A637D" w:rsidRDefault="007F1418">
            <w:pPr>
              <w:jc w:val="center"/>
            </w:pPr>
            <w:r>
              <w:rPr>
                <w:color w:val="000000"/>
                <w:kern w:val="0"/>
                <w:szCs w:val="21"/>
              </w:rPr>
              <w:t>2</w:t>
            </w:r>
          </w:p>
        </w:tc>
        <w:tc>
          <w:tcPr>
            <w:tcW w:w="1843" w:type="dxa"/>
            <w:vAlign w:val="center"/>
          </w:tcPr>
          <w:p w:rsidR="001A637D" w:rsidRDefault="007F1418">
            <w:pPr>
              <w:jc w:val="center"/>
            </w:pPr>
            <w:r>
              <w:rPr>
                <w:color w:val="000000"/>
                <w:kern w:val="0"/>
                <w:szCs w:val="21"/>
              </w:rPr>
              <w:t>20220101-20220331</w:t>
            </w:r>
          </w:p>
        </w:tc>
        <w:tc>
          <w:tcPr>
            <w:tcW w:w="851" w:type="dxa"/>
            <w:vAlign w:val="center"/>
          </w:tcPr>
          <w:p w:rsidR="001A637D" w:rsidRDefault="007F1418">
            <w:pPr>
              <w:jc w:val="center"/>
            </w:pPr>
            <w:r>
              <w:rPr>
                <w:color w:val="000000"/>
                <w:kern w:val="0"/>
                <w:szCs w:val="21"/>
              </w:rPr>
              <w:t>599,999,000.00</w:t>
            </w:r>
          </w:p>
        </w:tc>
        <w:tc>
          <w:tcPr>
            <w:tcW w:w="850" w:type="dxa"/>
            <w:vAlign w:val="center"/>
          </w:tcPr>
          <w:p w:rsidR="001A637D" w:rsidRDefault="007F1418">
            <w:pPr>
              <w:jc w:val="center"/>
            </w:pPr>
            <w:r>
              <w:rPr>
                <w:color w:val="000000"/>
                <w:kern w:val="0"/>
                <w:szCs w:val="21"/>
              </w:rPr>
              <w:t>0.00</w:t>
            </w:r>
          </w:p>
        </w:tc>
        <w:tc>
          <w:tcPr>
            <w:tcW w:w="1134" w:type="dxa"/>
            <w:vAlign w:val="center"/>
          </w:tcPr>
          <w:p w:rsidR="001A637D" w:rsidRDefault="007F1418">
            <w:pPr>
              <w:jc w:val="center"/>
            </w:pPr>
            <w:r>
              <w:rPr>
                <w:color w:val="000000"/>
                <w:kern w:val="0"/>
                <w:szCs w:val="21"/>
              </w:rPr>
              <w:t>0.00</w:t>
            </w:r>
          </w:p>
        </w:tc>
        <w:tc>
          <w:tcPr>
            <w:tcW w:w="1419" w:type="dxa"/>
            <w:vAlign w:val="center"/>
          </w:tcPr>
          <w:p w:rsidR="001A637D" w:rsidRDefault="007F1418">
            <w:pPr>
              <w:jc w:val="center"/>
            </w:pPr>
            <w:r>
              <w:rPr>
                <w:color w:val="000000"/>
                <w:kern w:val="0"/>
                <w:szCs w:val="21"/>
              </w:rPr>
              <w:t>599,999,000.00</w:t>
            </w:r>
          </w:p>
        </w:tc>
        <w:tc>
          <w:tcPr>
            <w:tcW w:w="1130" w:type="dxa"/>
            <w:vAlign w:val="center"/>
          </w:tcPr>
          <w:p w:rsidR="001A637D" w:rsidRDefault="007F1418">
            <w:pPr>
              <w:jc w:val="center"/>
            </w:pPr>
            <w:r>
              <w:rPr>
                <w:color w:val="000000"/>
                <w:kern w:val="0"/>
                <w:szCs w:val="21"/>
              </w:rPr>
              <w:t>28.57%</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、中国证监会准予上投摩根瑞泰</w:t>
      </w:r>
      <w:r>
        <w:rPr>
          <w:rFonts w:eastAsiaTheme="minorEastAsia"/>
          <w:color w:val="000000" w:themeColor="text1"/>
          <w:szCs w:val="21"/>
        </w:rPr>
        <w:t>38</w:t>
      </w:r>
      <w:r>
        <w:rPr>
          <w:rFonts w:eastAsiaTheme="minorEastAsia"/>
          <w:color w:val="000000" w:themeColor="text1"/>
          <w:szCs w:val="21"/>
        </w:rPr>
        <w:t>个月定期开放债券型证券投资基金募集注册的文件</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1A637D" w:rsidRDefault="007F141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、上投摩根基金管理有限公司开放式基金业务规则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A792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A792E">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A792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上投摩根瑞泰</w:t>
    </w:r>
    <w:r>
      <w:t>38</w:t>
    </w:r>
    <w:r>
      <w:t>个月定期开放债券型证券投资基金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92E"/>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37D"/>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3DDC"/>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57E"/>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418"/>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47A5"/>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0F264-1EEF-43CC-B8C3-4AD19113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28</TotalTime>
  <Pages>13</Pages>
  <Words>1077</Words>
  <Characters>6139</Characters>
  <Application>Microsoft Office Word</Application>
  <DocSecurity>0</DocSecurity>
  <Lines>51</Lines>
  <Paragraphs>14</Paragraphs>
  <ScaleCrop>false</ScaleCrop>
  <Company>TRT. Ltd. Co.</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222</cp:revision>
  <cp:lastPrinted>2007-07-19T00:46:00Z</cp:lastPrinted>
  <dcterms:created xsi:type="dcterms:W3CDTF">2013-06-21T06:56:00Z</dcterms:created>
  <dcterms:modified xsi:type="dcterms:W3CDTF">2022-04-21T07:36:00Z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