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2,100,106,372.67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56347" w:rsidRDefault="004646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2,100,092,019.86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14,352.81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13,278,166.63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13,278,166.63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2,146,554,510.29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14,639.45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1.0200</w:t>
            </w:r>
          </w:p>
        </w:tc>
      </w:tr>
    </w:tbl>
    <w:p w:rsidR="00256347" w:rsidRDefault="004646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56347">
        <w:tc>
          <w:tcPr>
            <w:tcW w:w="1290" w:type="dxa"/>
            <w:vAlign w:val="center"/>
          </w:tcPr>
          <w:p w:rsidR="00256347" w:rsidRDefault="0046466B">
            <w:pPr>
              <w:jc w:val="left"/>
            </w:pPr>
            <w:r>
              <w:rPr>
                <w:rFonts w:eastAsiaTheme="minorEastAsia"/>
                <w:color w:val="000000" w:themeColor="text1"/>
                <w:szCs w:val="21"/>
              </w:rPr>
              <w:t>过去三个月</w:t>
            </w:r>
          </w:p>
        </w:tc>
        <w:tc>
          <w:tcPr>
            <w:tcW w:w="1291" w:type="dxa"/>
            <w:vAlign w:val="center"/>
          </w:tcPr>
          <w:p w:rsidR="00256347" w:rsidRDefault="0046466B">
            <w:pPr>
              <w:jc w:val="right"/>
            </w:pPr>
            <w:r>
              <w:rPr>
                <w:rFonts w:eastAsiaTheme="minorEastAsia"/>
                <w:color w:val="000000" w:themeColor="text1"/>
                <w:szCs w:val="21"/>
              </w:rPr>
              <w:t>0.62%</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0.96%</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-0.34%</w:t>
            </w:r>
          </w:p>
        </w:tc>
        <w:tc>
          <w:tcPr>
            <w:tcW w:w="1291" w:type="dxa"/>
            <w:vAlign w:val="center"/>
          </w:tcPr>
          <w:p w:rsidR="00256347" w:rsidRDefault="0046466B">
            <w:pPr>
              <w:jc w:val="right"/>
            </w:pPr>
            <w:r>
              <w:rPr>
                <w:rFonts w:eastAsiaTheme="minorEastAsia"/>
                <w:color w:val="000000" w:themeColor="text1"/>
                <w:szCs w:val="21"/>
              </w:rPr>
              <w:t>0.00%</w:t>
            </w:r>
          </w:p>
        </w:tc>
      </w:tr>
      <w:tr w:rsidR="00256347">
        <w:tc>
          <w:tcPr>
            <w:tcW w:w="1290" w:type="dxa"/>
            <w:vAlign w:val="center"/>
          </w:tcPr>
          <w:p w:rsidR="00256347" w:rsidRDefault="0046466B">
            <w:pPr>
              <w:jc w:val="left"/>
            </w:pPr>
            <w:r>
              <w:rPr>
                <w:rFonts w:eastAsiaTheme="minorEastAsia"/>
                <w:color w:val="000000" w:themeColor="text1"/>
                <w:szCs w:val="21"/>
              </w:rPr>
              <w:t>过去六个月</w:t>
            </w:r>
          </w:p>
        </w:tc>
        <w:tc>
          <w:tcPr>
            <w:tcW w:w="1291" w:type="dxa"/>
            <w:vAlign w:val="center"/>
          </w:tcPr>
          <w:p w:rsidR="00256347" w:rsidRDefault="0046466B">
            <w:pPr>
              <w:jc w:val="right"/>
            </w:pPr>
            <w:r>
              <w:rPr>
                <w:rFonts w:eastAsiaTheme="minorEastAsia"/>
                <w:color w:val="000000" w:themeColor="text1"/>
                <w:szCs w:val="21"/>
              </w:rPr>
              <w:t>1.33%</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1.91%</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-0.58%</w:t>
            </w:r>
          </w:p>
        </w:tc>
        <w:tc>
          <w:tcPr>
            <w:tcW w:w="1291" w:type="dxa"/>
            <w:vAlign w:val="center"/>
          </w:tcPr>
          <w:p w:rsidR="00256347" w:rsidRDefault="0046466B">
            <w:pPr>
              <w:jc w:val="right"/>
            </w:pPr>
            <w:r>
              <w:rPr>
                <w:rFonts w:eastAsiaTheme="minorEastAsia"/>
                <w:color w:val="000000" w:themeColor="text1"/>
                <w:szCs w:val="21"/>
              </w:rPr>
              <w:t>0.00%</w:t>
            </w:r>
          </w:p>
        </w:tc>
      </w:tr>
      <w:tr w:rsidR="00256347">
        <w:tc>
          <w:tcPr>
            <w:tcW w:w="1290" w:type="dxa"/>
            <w:vAlign w:val="center"/>
          </w:tcPr>
          <w:p w:rsidR="00256347" w:rsidRDefault="0046466B">
            <w:pPr>
              <w:jc w:val="left"/>
            </w:pPr>
            <w:r>
              <w:rPr>
                <w:rFonts w:eastAsiaTheme="minorEastAsia"/>
                <w:color w:val="000000" w:themeColor="text1"/>
                <w:szCs w:val="21"/>
              </w:rPr>
              <w:t>过去一年</w:t>
            </w:r>
          </w:p>
        </w:tc>
        <w:tc>
          <w:tcPr>
            <w:tcW w:w="1291" w:type="dxa"/>
            <w:vAlign w:val="center"/>
          </w:tcPr>
          <w:p w:rsidR="00256347" w:rsidRDefault="0046466B">
            <w:pPr>
              <w:jc w:val="right"/>
            </w:pPr>
            <w:r>
              <w:rPr>
                <w:rFonts w:eastAsiaTheme="minorEastAsia"/>
                <w:color w:val="000000" w:themeColor="text1"/>
                <w:szCs w:val="21"/>
              </w:rPr>
              <w:t>2.39%</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3.80%</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-1.41%</w:t>
            </w:r>
          </w:p>
        </w:tc>
        <w:tc>
          <w:tcPr>
            <w:tcW w:w="1291" w:type="dxa"/>
            <w:vAlign w:val="center"/>
          </w:tcPr>
          <w:p w:rsidR="00256347" w:rsidRDefault="0046466B">
            <w:pPr>
              <w:jc w:val="right"/>
            </w:pPr>
            <w:r>
              <w:rPr>
                <w:rFonts w:eastAsiaTheme="minorEastAsia"/>
                <w:color w:val="000000" w:themeColor="text1"/>
                <w:szCs w:val="21"/>
              </w:rPr>
              <w:t>0.00%</w:t>
            </w:r>
          </w:p>
        </w:tc>
      </w:tr>
      <w:tr w:rsidR="00256347">
        <w:tc>
          <w:tcPr>
            <w:tcW w:w="1290" w:type="dxa"/>
            <w:vAlign w:val="center"/>
          </w:tcPr>
          <w:p w:rsidR="00256347" w:rsidRDefault="0046466B">
            <w:pPr>
              <w:jc w:val="left"/>
            </w:pPr>
            <w:r>
              <w:rPr>
                <w:rFonts w:eastAsiaTheme="minorEastAsia"/>
                <w:color w:val="000000" w:themeColor="text1"/>
                <w:szCs w:val="21"/>
              </w:rPr>
              <w:t>过去三年</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r>
      <w:tr w:rsidR="00256347">
        <w:tc>
          <w:tcPr>
            <w:tcW w:w="1290" w:type="dxa"/>
            <w:vAlign w:val="center"/>
          </w:tcPr>
          <w:p w:rsidR="00256347" w:rsidRDefault="0046466B">
            <w:pPr>
              <w:jc w:val="left"/>
            </w:pPr>
            <w:r>
              <w:rPr>
                <w:rFonts w:eastAsiaTheme="minorEastAsia"/>
                <w:color w:val="000000" w:themeColor="text1"/>
                <w:szCs w:val="21"/>
              </w:rPr>
              <w:t>过去五年</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r>
      <w:tr w:rsidR="00256347">
        <w:tc>
          <w:tcPr>
            <w:tcW w:w="1290" w:type="dxa"/>
            <w:vAlign w:val="center"/>
          </w:tcPr>
          <w:p w:rsidR="00256347" w:rsidRDefault="0046466B">
            <w:pPr>
              <w:jc w:val="left"/>
            </w:pPr>
            <w:r>
              <w:rPr>
                <w:rFonts w:eastAsiaTheme="minorEastAsia"/>
                <w:color w:val="000000" w:themeColor="text1"/>
                <w:szCs w:val="21"/>
              </w:rPr>
              <w:t>自基金合同生效起至今</w:t>
            </w:r>
          </w:p>
        </w:tc>
        <w:tc>
          <w:tcPr>
            <w:tcW w:w="1291" w:type="dxa"/>
            <w:vAlign w:val="center"/>
          </w:tcPr>
          <w:p w:rsidR="00256347" w:rsidRDefault="0046466B">
            <w:pPr>
              <w:jc w:val="right"/>
            </w:pPr>
            <w:r>
              <w:rPr>
                <w:rFonts w:eastAsiaTheme="minorEastAsia"/>
                <w:color w:val="000000" w:themeColor="text1"/>
                <w:szCs w:val="21"/>
              </w:rPr>
              <w:t>3.14%</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5.85%</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-2.71%</w:t>
            </w:r>
          </w:p>
        </w:tc>
        <w:tc>
          <w:tcPr>
            <w:tcW w:w="1291" w:type="dxa"/>
            <w:vAlign w:val="center"/>
          </w:tcPr>
          <w:p w:rsidR="00256347" w:rsidRDefault="0046466B">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56347">
        <w:tc>
          <w:tcPr>
            <w:tcW w:w="1290" w:type="dxa"/>
            <w:vAlign w:val="center"/>
          </w:tcPr>
          <w:p w:rsidR="00256347" w:rsidRDefault="0046466B">
            <w:pPr>
              <w:jc w:val="left"/>
            </w:pPr>
            <w:r>
              <w:rPr>
                <w:rFonts w:eastAsiaTheme="minorEastAsia"/>
                <w:color w:val="000000" w:themeColor="text1"/>
                <w:szCs w:val="21"/>
              </w:rPr>
              <w:t>过去三个月</w:t>
            </w:r>
          </w:p>
        </w:tc>
        <w:tc>
          <w:tcPr>
            <w:tcW w:w="1291" w:type="dxa"/>
            <w:vAlign w:val="center"/>
          </w:tcPr>
          <w:p w:rsidR="00256347" w:rsidRDefault="0046466B">
            <w:pPr>
              <w:jc w:val="right"/>
            </w:pPr>
            <w:r>
              <w:rPr>
                <w:rFonts w:eastAsiaTheme="minorEastAsia"/>
                <w:color w:val="000000" w:themeColor="text1"/>
                <w:szCs w:val="21"/>
              </w:rPr>
              <w:t>0.56%</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0.96%</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-0.40%</w:t>
            </w:r>
          </w:p>
        </w:tc>
        <w:tc>
          <w:tcPr>
            <w:tcW w:w="1291" w:type="dxa"/>
            <w:vAlign w:val="center"/>
          </w:tcPr>
          <w:p w:rsidR="00256347" w:rsidRDefault="0046466B">
            <w:pPr>
              <w:jc w:val="right"/>
            </w:pPr>
            <w:r>
              <w:rPr>
                <w:rFonts w:eastAsiaTheme="minorEastAsia"/>
                <w:color w:val="000000" w:themeColor="text1"/>
                <w:szCs w:val="21"/>
              </w:rPr>
              <w:t>0.00%</w:t>
            </w:r>
          </w:p>
        </w:tc>
      </w:tr>
      <w:tr w:rsidR="00256347">
        <w:tc>
          <w:tcPr>
            <w:tcW w:w="1290" w:type="dxa"/>
            <w:vAlign w:val="center"/>
          </w:tcPr>
          <w:p w:rsidR="00256347" w:rsidRDefault="0046466B">
            <w:pPr>
              <w:jc w:val="left"/>
            </w:pPr>
            <w:r>
              <w:rPr>
                <w:rFonts w:eastAsiaTheme="minorEastAsia"/>
                <w:color w:val="000000" w:themeColor="text1"/>
                <w:szCs w:val="21"/>
              </w:rPr>
              <w:t>过去六个月</w:t>
            </w:r>
          </w:p>
        </w:tc>
        <w:tc>
          <w:tcPr>
            <w:tcW w:w="1291" w:type="dxa"/>
            <w:vAlign w:val="center"/>
          </w:tcPr>
          <w:p w:rsidR="00256347" w:rsidRDefault="0046466B">
            <w:pPr>
              <w:jc w:val="right"/>
            </w:pPr>
            <w:r>
              <w:rPr>
                <w:rFonts w:eastAsiaTheme="minorEastAsia"/>
                <w:color w:val="000000" w:themeColor="text1"/>
                <w:szCs w:val="21"/>
              </w:rPr>
              <w:t>1.21%</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1.91%</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-0.70%</w:t>
            </w:r>
          </w:p>
        </w:tc>
        <w:tc>
          <w:tcPr>
            <w:tcW w:w="1291" w:type="dxa"/>
            <w:vAlign w:val="center"/>
          </w:tcPr>
          <w:p w:rsidR="00256347" w:rsidRDefault="0046466B">
            <w:pPr>
              <w:jc w:val="right"/>
            </w:pPr>
            <w:r>
              <w:rPr>
                <w:rFonts w:eastAsiaTheme="minorEastAsia"/>
                <w:color w:val="000000" w:themeColor="text1"/>
                <w:szCs w:val="21"/>
              </w:rPr>
              <w:t>0.00%</w:t>
            </w:r>
          </w:p>
        </w:tc>
      </w:tr>
      <w:tr w:rsidR="00256347">
        <w:tc>
          <w:tcPr>
            <w:tcW w:w="1290" w:type="dxa"/>
            <w:vAlign w:val="center"/>
          </w:tcPr>
          <w:p w:rsidR="00256347" w:rsidRDefault="0046466B">
            <w:pPr>
              <w:jc w:val="left"/>
            </w:pPr>
            <w:r>
              <w:rPr>
                <w:rFonts w:eastAsiaTheme="minorEastAsia"/>
                <w:color w:val="000000" w:themeColor="text1"/>
                <w:szCs w:val="21"/>
              </w:rPr>
              <w:t>过去一年</w:t>
            </w:r>
          </w:p>
        </w:tc>
        <w:tc>
          <w:tcPr>
            <w:tcW w:w="1291" w:type="dxa"/>
            <w:vAlign w:val="center"/>
          </w:tcPr>
          <w:p w:rsidR="00256347" w:rsidRDefault="0046466B">
            <w:pPr>
              <w:jc w:val="right"/>
            </w:pPr>
            <w:r>
              <w:rPr>
                <w:rFonts w:eastAsiaTheme="minorEastAsia"/>
                <w:color w:val="000000" w:themeColor="text1"/>
                <w:szCs w:val="21"/>
              </w:rPr>
              <w:t>2.14%</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3.80%</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-1.66%</w:t>
            </w:r>
          </w:p>
        </w:tc>
        <w:tc>
          <w:tcPr>
            <w:tcW w:w="1291" w:type="dxa"/>
            <w:vAlign w:val="center"/>
          </w:tcPr>
          <w:p w:rsidR="00256347" w:rsidRDefault="0046466B">
            <w:pPr>
              <w:jc w:val="right"/>
            </w:pPr>
            <w:r>
              <w:rPr>
                <w:rFonts w:eastAsiaTheme="minorEastAsia"/>
                <w:color w:val="000000" w:themeColor="text1"/>
                <w:szCs w:val="21"/>
              </w:rPr>
              <w:t>0.00%</w:t>
            </w:r>
          </w:p>
        </w:tc>
      </w:tr>
      <w:tr w:rsidR="00256347">
        <w:tc>
          <w:tcPr>
            <w:tcW w:w="1290" w:type="dxa"/>
            <w:vAlign w:val="center"/>
          </w:tcPr>
          <w:p w:rsidR="00256347" w:rsidRDefault="0046466B">
            <w:pPr>
              <w:jc w:val="left"/>
            </w:pPr>
            <w:r>
              <w:rPr>
                <w:rFonts w:eastAsiaTheme="minorEastAsia"/>
                <w:color w:val="000000" w:themeColor="text1"/>
                <w:szCs w:val="21"/>
              </w:rPr>
              <w:t>过去三年</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r>
      <w:tr w:rsidR="00256347">
        <w:tc>
          <w:tcPr>
            <w:tcW w:w="1290" w:type="dxa"/>
            <w:vAlign w:val="center"/>
          </w:tcPr>
          <w:p w:rsidR="00256347" w:rsidRDefault="0046466B">
            <w:pPr>
              <w:jc w:val="left"/>
            </w:pPr>
            <w:r>
              <w:rPr>
                <w:rFonts w:eastAsiaTheme="minorEastAsia"/>
                <w:color w:val="000000" w:themeColor="text1"/>
                <w:szCs w:val="21"/>
              </w:rPr>
              <w:t>过去五年</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c>
          <w:tcPr>
            <w:tcW w:w="1291" w:type="dxa"/>
            <w:vAlign w:val="center"/>
          </w:tcPr>
          <w:p w:rsidR="00256347" w:rsidRDefault="0046466B">
            <w:pPr>
              <w:jc w:val="right"/>
            </w:pPr>
            <w:r>
              <w:rPr>
                <w:rFonts w:eastAsiaTheme="minorEastAsia"/>
                <w:color w:val="000000" w:themeColor="text1"/>
                <w:szCs w:val="21"/>
              </w:rPr>
              <w:t>-</w:t>
            </w:r>
          </w:p>
        </w:tc>
      </w:tr>
      <w:tr w:rsidR="00256347">
        <w:tc>
          <w:tcPr>
            <w:tcW w:w="1290" w:type="dxa"/>
            <w:vAlign w:val="center"/>
          </w:tcPr>
          <w:p w:rsidR="00256347" w:rsidRDefault="0046466B">
            <w:pPr>
              <w:jc w:val="left"/>
            </w:pPr>
            <w:r>
              <w:rPr>
                <w:rFonts w:eastAsiaTheme="minorEastAsia"/>
                <w:color w:val="000000" w:themeColor="text1"/>
                <w:szCs w:val="21"/>
              </w:rPr>
              <w:t>自基金合同生效起至今</w:t>
            </w:r>
          </w:p>
        </w:tc>
        <w:tc>
          <w:tcPr>
            <w:tcW w:w="1291" w:type="dxa"/>
            <w:vAlign w:val="center"/>
          </w:tcPr>
          <w:p w:rsidR="00256347" w:rsidRDefault="0046466B">
            <w:pPr>
              <w:jc w:val="right"/>
            </w:pPr>
            <w:r>
              <w:rPr>
                <w:rFonts w:eastAsiaTheme="minorEastAsia"/>
                <w:color w:val="000000" w:themeColor="text1"/>
                <w:szCs w:val="21"/>
              </w:rPr>
              <w:t>2.74%</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5.85%</w:t>
            </w:r>
          </w:p>
        </w:tc>
        <w:tc>
          <w:tcPr>
            <w:tcW w:w="1291" w:type="dxa"/>
            <w:vAlign w:val="center"/>
          </w:tcPr>
          <w:p w:rsidR="00256347" w:rsidRDefault="0046466B">
            <w:pPr>
              <w:jc w:val="right"/>
            </w:pPr>
            <w:r>
              <w:rPr>
                <w:rFonts w:eastAsiaTheme="minorEastAsia"/>
                <w:color w:val="000000" w:themeColor="text1"/>
                <w:szCs w:val="21"/>
              </w:rPr>
              <w:t>0.01%</w:t>
            </w:r>
          </w:p>
        </w:tc>
        <w:tc>
          <w:tcPr>
            <w:tcW w:w="1291" w:type="dxa"/>
            <w:vAlign w:val="center"/>
          </w:tcPr>
          <w:p w:rsidR="00256347" w:rsidRDefault="0046466B">
            <w:pPr>
              <w:jc w:val="right"/>
            </w:pPr>
            <w:r>
              <w:rPr>
                <w:rFonts w:eastAsiaTheme="minorEastAsia"/>
                <w:color w:val="000000" w:themeColor="text1"/>
                <w:szCs w:val="21"/>
              </w:rPr>
              <w:t>-3.11%</w:t>
            </w:r>
          </w:p>
        </w:tc>
        <w:tc>
          <w:tcPr>
            <w:tcW w:w="1291" w:type="dxa"/>
            <w:vAlign w:val="center"/>
          </w:tcPr>
          <w:p w:rsidR="00256347" w:rsidRDefault="0046466B">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56347">
        <w:tc>
          <w:tcPr>
            <w:tcW w:w="952" w:type="dxa"/>
            <w:vAlign w:val="center"/>
          </w:tcPr>
          <w:p w:rsidR="00256347" w:rsidRDefault="0046466B">
            <w:pPr>
              <w:jc w:val="center"/>
            </w:pPr>
            <w:r>
              <w:rPr>
                <w:rFonts w:eastAsiaTheme="minorEastAsia"/>
                <w:color w:val="000000" w:themeColor="text1"/>
                <w:szCs w:val="21"/>
              </w:rPr>
              <w:t>任翔</w:t>
            </w:r>
          </w:p>
        </w:tc>
        <w:tc>
          <w:tcPr>
            <w:tcW w:w="930" w:type="dxa"/>
            <w:vAlign w:val="center"/>
          </w:tcPr>
          <w:p w:rsidR="00256347" w:rsidRDefault="0046466B">
            <w:pPr>
              <w:jc w:val="center"/>
            </w:pPr>
            <w:r>
              <w:rPr>
                <w:rFonts w:eastAsiaTheme="minorEastAsia"/>
                <w:color w:val="000000" w:themeColor="text1"/>
                <w:szCs w:val="21"/>
              </w:rPr>
              <w:t>本基金基金经理、固收研究部总监</w:t>
            </w:r>
          </w:p>
        </w:tc>
        <w:tc>
          <w:tcPr>
            <w:tcW w:w="1210" w:type="dxa"/>
            <w:vAlign w:val="center"/>
          </w:tcPr>
          <w:p w:rsidR="00256347" w:rsidRDefault="0046466B">
            <w:pPr>
              <w:jc w:val="center"/>
            </w:pPr>
            <w:r>
              <w:rPr>
                <w:rFonts w:eastAsiaTheme="minorEastAsia"/>
                <w:color w:val="000000" w:themeColor="text1"/>
                <w:szCs w:val="21"/>
              </w:rPr>
              <w:t>2020-03-18</w:t>
            </w:r>
          </w:p>
        </w:tc>
        <w:tc>
          <w:tcPr>
            <w:tcW w:w="1309" w:type="dxa"/>
            <w:vAlign w:val="center"/>
          </w:tcPr>
          <w:p w:rsidR="00256347" w:rsidRDefault="0046466B">
            <w:pPr>
              <w:jc w:val="center"/>
            </w:pPr>
            <w:r>
              <w:rPr>
                <w:rFonts w:eastAsiaTheme="minorEastAsia"/>
                <w:color w:val="000000" w:themeColor="text1"/>
                <w:szCs w:val="21"/>
              </w:rPr>
              <w:t>-</w:t>
            </w:r>
          </w:p>
        </w:tc>
        <w:tc>
          <w:tcPr>
            <w:tcW w:w="1254" w:type="dxa"/>
            <w:vAlign w:val="center"/>
          </w:tcPr>
          <w:p w:rsidR="00256347" w:rsidRDefault="0046466B">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256347" w:rsidRDefault="0046466B">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w:t>
            </w:r>
          </w:p>
        </w:tc>
      </w:tr>
    </w:tbl>
    <w:p w:rsidR="00256347" w:rsidRDefault="004646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56347" w:rsidRDefault="004646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跨过半年末，资金面波澜不惊，</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日，国务院常务会议决定</w:t>
      </w:r>
      <w:r>
        <w:rPr>
          <w:rFonts w:eastAsiaTheme="minorEastAsia"/>
          <w:color w:val="000000" w:themeColor="text1"/>
          <w:szCs w:val="21"/>
        </w:rPr>
        <w:t>“</w:t>
      </w:r>
      <w:r>
        <w:rPr>
          <w:rFonts w:eastAsiaTheme="minorEastAsia"/>
          <w:color w:val="000000" w:themeColor="text1"/>
          <w:szCs w:val="21"/>
        </w:rPr>
        <w:t>适时运用降准等货币政策工</w:t>
      </w:r>
      <w:r>
        <w:rPr>
          <w:rFonts w:eastAsiaTheme="minorEastAsia"/>
          <w:color w:val="000000" w:themeColor="text1"/>
          <w:szCs w:val="21"/>
        </w:rPr>
        <w:lastRenderedPageBreak/>
        <w:t>具，进一步加强金融对实体经济特别是中小微企业的支持，促进综合融资成本稳中有降。</w:t>
      </w:r>
      <w:r>
        <w:rPr>
          <w:rFonts w:eastAsiaTheme="minorEastAsia"/>
          <w:color w:val="000000" w:themeColor="text1"/>
          <w:szCs w:val="21"/>
        </w:rPr>
        <w:t>”</w:t>
      </w:r>
      <w:r>
        <w:rPr>
          <w:rFonts w:eastAsiaTheme="minorEastAsia"/>
          <w:color w:val="000000" w:themeColor="text1"/>
          <w:szCs w:val="21"/>
        </w:rPr>
        <w:t>这一消息显著超出市场预期，债市做多情绪被点燃，</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日，央行宣布下调存款准备金率</w:t>
      </w:r>
      <w:r>
        <w:rPr>
          <w:rFonts w:eastAsiaTheme="minorEastAsia"/>
          <w:color w:val="000000" w:themeColor="text1"/>
          <w:szCs w:val="21"/>
        </w:rPr>
        <w:t>0.5</w:t>
      </w:r>
      <w:r>
        <w:rPr>
          <w:rFonts w:eastAsiaTheme="minorEastAsia"/>
          <w:color w:val="000000" w:themeColor="text1"/>
          <w:szCs w:val="21"/>
        </w:rPr>
        <w:t>个百分点，收益率再下一城。同时公布的社融数据虽超预期，但在全面降准的利好影响下，并未对债市造成冲击。</w:t>
      </w:r>
      <w:r>
        <w:rPr>
          <w:rFonts w:eastAsiaTheme="minorEastAsia"/>
          <w:color w:val="000000" w:themeColor="text1"/>
          <w:szCs w:val="21"/>
        </w:rPr>
        <w:t>7</w:t>
      </w:r>
      <w:r>
        <w:rPr>
          <w:rFonts w:eastAsiaTheme="minorEastAsia"/>
          <w:color w:val="000000" w:themeColor="text1"/>
          <w:szCs w:val="21"/>
        </w:rPr>
        <w:t>月末，多重因素促成收益率再度下行：德尔塔病毒在南京扩散使得避险情绪升温；政治局会议未再提</w:t>
      </w:r>
      <w:r>
        <w:rPr>
          <w:rFonts w:eastAsiaTheme="minorEastAsia"/>
          <w:color w:val="000000" w:themeColor="text1"/>
          <w:szCs w:val="21"/>
        </w:rPr>
        <w:t>“</w:t>
      </w:r>
      <w:r>
        <w:rPr>
          <w:rFonts w:eastAsiaTheme="minorEastAsia"/>
          <w:color w:val="000000" w:themeColor="text1"/>
          <w:szCs w:val="21"/>
        </w:rPr>
        <w:t>稳增长压力较小窗口期</w:t>
      </w:r>
      <w:r>
        <w:rPr>
          <w:rFonts w:eastAsiaTheme="minorEastAsia"/>
          <w:color w:val="000000" w:themeColor="text1"/>
          <w:szCs w:val="21"/>
        </w:rPr>
        <w:t>”</w:t>
      </w:r>
      <w:r>
        <w:rPr>
          <w:rFonts w:eastAsiaTheme="minorEastAsia"/>
          <w:color w:val="000000" w:themeColor="text1"/>
          <w:szCs w:val="21"/>
        </w:rPr>
        <w:t>，透露出对下半年经济的谨慎态度；同时美联储议息会议</w:t>
      </w:r>
      <w:r>
        <w:rPr>
          <w:rFonts w:eastAsiaTheme="minorEastAsia"/>
          <w:color w:val="000000" w:themeColor="text1"/>
          <w:szCs w:val="21"/>
        </w:rPr>
        <w:t>亦释放偏鸽派信号。收益率经历大幅下行后，在止盈压力下，迎来短暂回调。此后，影响债市的因素多空交织，市场进入震荡行情。一方面经济数据和</w:t>
      </w:r>
      <w:r>
        <w:rPr>
          <w:rFonts w:eastAsiaTheme="minorEastAsia"/>
          <w:color w:val="000000" w:themeColor="text1"/>
          <w:szCs w:val="21"/>
        </w:rPr>
        <w:t>PMI</w:t>
      </w:r>
      <w:r>
        <w:rPr>
          <w:rFonts w:eastAsiaTheme="minorEastAsia"/>
          <w:color w:val="000000" w:themeColor="text1"/>
          <w:szCs w:val="21"/>
        </w:rPr>
        <w:t>数据偏弱，另一方面货币政策保持相对克制，银行理财整改也给债市带来一定冲击。全季度看，</w:t>
      </w:r>
      <w:r>
        <w:rPr>
          <w:rFonts w:eastAsiaTheme="minorEastAsia"/>
          <w:color w:val="000000" w:themeColor="text1"/>
          <w:szCs w:val="21"/>
        </w:rPr>
        <w:t>10</w:t>
      </w:r>
      <w:r>
        <w:rPr>
          <w:rFonts w:eastAsiaTheme="minorEastAsia"/>
          <w:color w:val="000000" w:themeColor="text1"/>
          <w:szCs w:val="21"/>
        </w:rPr>
        <w:t>年期国债收益率下行</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2.88%</w:t>
      </w:r>
      <w:r>
        <w:rPr>
          <w:rFonts w:eastAsiaTheme="minorEastAsia"/>
          <w:color w:val="000000" w:themeColor="text1"/>
          <w:szCs w:val="21"/>
        </w:rPr>
        <w:t>。</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预计经济增长仍将面临挑战，结构性问题依然突出。前期支持经济的货币政策及财政政策的效果有待显现。四季度美联储有较高概率启动缩减量化宽松，中美利差面临考验。与此同时，通胀数据、理财产品净值化转型、地方债发行进度、中美贸易关系等均是影响四季度债市的重要因素，须保持密切跟踪，伺机而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本报告期上投摩根瑞泰</w:t>
      </w:r>
      <w:r>
        <w:rPr>
          <w:rFonts w:eastAsiaTheme="minorEastAsia"/>
          <w:color w:val="000000" w:themeColor="text1"/>
          <w:szCs w:val="21"/>
        </w:rPr>
        <w:t>38</w:t>
      </w:r>
      <w:r>
        <w:rPr>
          <w:rFonts w:eastAsiaTheme="minorEastAsia"/>
          <w:color w:val="000000" w:themeColor="text1"/>
          <w:szCs w:val="21"/>
        </w:rPr>
        <w:t>个月定期开放债券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:0.62%</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3,464,382,956.19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98.61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3,464,382,956.19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98.61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2,669,793.38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46,256,136.39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3,513,308,885.96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3,464,382,956.19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161.39</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2,092,478,455.06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3,464,382,956.19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56347">
        <w:tc>
          <w:tcPr>
            <w:tcW w:w="1504" w:type="dxa"/>
            <w:vAlign w:val="center"/>
          </w:tcPr>
          <w:p w:rsidR="00256347" w:rsidRDefault="0046466B">
            <w:pPr>
              <w:jc w:val="center"/>
            </w:pPr>
            <w:r>
              <w:rPr>
                <w:rFonts w:eastAsiaTheme="minorEastAsia"/>
                <w:color w:val="000000" w:themeColor="text1"/>
                <w:szCs w:val="21"/>
              </w:rPr>
              <w:t>1</w:t>
            </w:r>
          </w:p>
        </w:tc>
        <w:tc>
          <w:tcPr>
            <w:tcW w:w="1504" w:type="dxa"/>
            <w:vAlign w:val="center"/>
          </w:tcPr>
          <w:p w:rsidR="00256347" w:rsidRDefault="0046466B">
            <w:pPr>
              <w:jc w:val="center"/>
            </w:pPr>
            <w:r>
              <w:rPr>
                <w:rFonts w:eastAsiaTheme="minorEastAsia"/>
                <w:color w:val="000000" w:themeColor="text1"/>
                <w:szCs w:val="21"/>
              </w:rPr>
              <w:t>160417</w:t>
            </w:r>
          </w:p>
        </w:tc>
        <w:tc>
          <w:tcPr>
            <w:tcW w:w="1504" w:type="dxa"/>
            <w:vAlign w:val="center"/>
          </w:tcPr>
          <w:p w:rsidR="00256347" w:rsidRDefault="0046466B">
            <w:pPr>
              <w:jc w:val="center"/>
            </w:pPr>
            <w:r>
              <w:rPr>
                <w:rFonts w:eastAsiaTheme="minorEastAsia"/>
                <w:color w:val="000000" w:themeColor="text1"/>
                <w:szCs w:val="21"/>
              </w:rPr>
              <w:t>16</w:t>
            </w:r>
            <w:r>
              <w:rPr>
                <w:rFonts w:eastAsiaTheme="minorEastAsia"/>
                <w:color w:val="000000" w:themeColor="text1"/>
                <w:szCs w:val="21"/>
              </w:rPr>
              <w:t>农发</w:t>
            </w:r>
            <w:r>
              <w:rPr>
                <w:rFonts w:eastAsiaTheme="minorEastAsia"/>
                <w:color w:val="000000" w:themeColor="text1"/>
                <w:szCs w:val="21"/>
              </w:rPr>
              <w:t>17</w:t>
            </w:r>
          </w:p>
        </w:tc>
        <w:tc>
          <w:tcPr>
            <w:tcW w:w="1503" w:type="dxa"/>
            <w:vAlign w:val="center"/>
          </w:tcPr>
          <w:p w:rsidR="00256347" w:rsidRDefault="0046466B">
            <w:pPr>
              <w:jc w:val="right"/>
            </w:pPr>
            <w:r>
              <w:rPr>
                <w:rFonts w:eastAsiaTheme="minorEastAsia"/>
                <w:color w:val="000000" w:themeColor="text1"/>
                <w:szCs w:val="21"/>
              </w:rPr>
              <w:t>10,150,000</w:t>
            </w:r>
          </w:p>
        </w:tc>
        <w:tc>
          <w:tcPr>
            <w:tcW w:w="1503" w:type="dxa"/>
            <w:vAlign w:val="center"/>
          </w:tcPr>
          <w:p w:rsidR="00256347" w:rsidRDefault="0046466B">
            <w:pPr>
              <w:jc w:val="right"/>
            </w:pPr>
            <w:r>
              <w:rPr>
                <w:rFonts w:eastAsiaTheme="minorEastAsia"/>
                <w:color w:val="000000" w:themeColor="text1"/>
                <w:szCs w:val="21"/>
              </w:rPr>
              <w:t>1,022,539,490.56</w:t>
            </w:r>
          </w:p>
        </w:tc>
        <w:tc>
          <w:tcPr>
            <w:tcW w:w="1503" w:type="dxa"/>
            <w:vAlign w:val="center"/>
          </w:tcPr>
          <w:p w:rsidR="00256347" w:rsidRDefault="0046466B">
            <w:pPr>
              <w:jc w:val="right"/>
            </w:pPr>
            <w:r>
              <w:rPr>
                <w:rFonts w:eastAsiaTheme="minorEastAsia"/>
                <w:color w:val="000000" w:themeColor="text1"/>
                <w:szCs w:val="21"/>
              </w:rPr>
              <w:t>47.64</w:t>
            </w:r>
          </w:p>
        </w:tc>
      </w:tr>
      <w:tr w:rsidR="00256347">
        <w:tc>
          <w:tcPr>
            <w:tcW w:w="1504" w:type="dxa"/>
            <w:vAlign w:val="center"/>
          </w:tcPr>
          <w:p w:rsidR="00256347" w:rsidRDefault="0046466B">
            <w:pPr>
              <w:jc w:val="center"/>
            </w:pPr>
            <w:r>
              <w:rPr>
                <w:rFonts w:eastAsiaTheme="minorEastAsia"/>
                <w:color w:val="000000" w:themeColor="text1"/>
                <w:szCs w:val="21"/>
              </w:rPr>
              <w:t>2</w:t>
            </w:r>
          </w:p>
        </w:tc>
        <w:tc>
          <w:tcPr>
            <w:tcW w:w="1504" w:type="dxa"/>
            <w:vAlign w:val="center"/>
          </w:tcPr>
          <w:p w:rsidR="00256347" w:rsidRDefault="0046466B">
            <w:pPr>
              <w:jc w:val="center"/>
            </w:pPr>
            <w:r>
              <w:rPr>
                <w:rFonts w:eastAsiaTheme="minorEastAsia"/>
                <w:color w:val="000000" w:themeColor="text1"/>
                <w:szCs w:val="21"/>
              </w:rPr>
              <w:t>200402</w:t>
            </w:r>
          </w:p>
        </w:tc>
        <w:tc>
          <w:tcPr>
            <w:tcW w:w="1504" w:type="dxa"/>
            <w:vAlign w:val="center"/>
          </w:tcPr>
          <w:p w:rsidR="00256347" w:rsidRDefault="0046466B">
            <w:pPr>
              <w:jc w:val="center"/>
            </w:pPr>
            <w:r>
              <w:rPr>
                <w:rFonts w:eastAsiaTheme="minorEastAsia"/>
                <w:color w:val="000000" w:themeColor="text1"/>
                <w:szCs w:val="21"/>
              </w:rPr>
              <w:t>20</w:t>
            </w:r>
            <w:r>
              <w:rPr>
                <w:rFonts w:eastAsiaTheme="minorEastAsia"/>
                <w:color w:val="000000" w:themeColor="text1"/>
                <w:szCs w:val="21"/>
              </w:rPr>
              <w:t>农发</w:t>
            </w:r>
            <w:r>
              <w:rPr>
                <w:rFonts w:eastAsiaTheme="minorEastAsia"/>
                <w:color w:val="000000" w:themeColor="text1"/>
                <w:szCs w:val="21"/>
              </w:rPr>
              <w:t>02</w:t>
            </w:r>
          </w:p>
        </w:tc>
        <w:tc>
          <w:tcPr>
            <w:tcW w:w="1503" w:type="dxa"/>
            <w:vAlign w:val="center"/>
          </w:tcPr>
          <w:p w:rsidR="00256347" w:rsidRDefault="0046466B">
            <w:pPr>
              <w:jc w:val="right"/>
            </w:pPr>
            <w:r>
              <w:rPr>
                <w:rFonts w:eastAsiaTheme="minorEastAsia"/>
                <w:color w:val="000000" w:themeColor="text1"/>
                <w:szCs w:val="21"/>
              </w:rPr>
              <w:t>8,900,000</w:t>
            </w:r>
          </w:p>
        </w:tc>
        <w:tc>
          <w:tcPr>
            <w:tcW w:w="1503" w:type="dxa"/>
            <w:vAlign w:val="center"/>
          </w:tcPr>
          <w:p w:rsidR="00256347" w:rsidRDefault="0046466B">
            <w:pPr>
              <w:jc w:val="right"/>
            </w:pPr>
            <w:r>
              <w:rPr>
                <w:rFonts w:eastAsiaTheme="minorEastAsia"/>
                <w:color w:val="000000" w:themeColor="text1"/>
                <w:szCs w:val="21"/>
              </w:rPr>
              <w:t>879,440,381.65</w:t>
            </w:r>
          </w:p>
        </w:tc>
        <w:tc>
          <w:tcPr>
            <w:tcW w:w="1503" w:type="dxa"/>
            <w:vAlign w:val="center"/>
          </w:tcPr>
          <w:p w:rsidR="00256347" w:rsidRDefault="0046466B">
            <w:pPr>
              <w:jc w:val="right"/>
            </w:pPr>
            <w:r>
              <w:rPr>
                <w:rFonts w:eastAsiaTheme="minorEastAsia"/>
                <w:color w:val="000000" w:themeColor="text1"/>
                <w:szCs w:val="21"/>
              </w:rPr>
              <w:t>40.97</w:t>
            </w:r>
          </w:p>
        </w:tc>
      </w:tr>
      <w:tr w:rsidR="00256347">
        <w:tc>
          <w:tcPr>
            <w:tcW w:w="1504" w:type="dxa"/>
            <w:vAlign w:val="center"/>
          </w:tcPr>
          <w:p w:rsidR="00256347" w:rsidRDefault="0046466B">
            <w:pPr>
              <w:jc w:val="center"/>
            </w:pPr>
            <w:r>
              <w:rPr>
                <w:rFonts w:eastAsiaTheme="minorEastAsia"/>
                <w:color w:val="000000" w:themeColor="text1"/>
                <w:szCs w:val="21"/>
              </w:rPr>
              <w:t>3</w:t>
            </w:r>
          </w:p>
        </w:tc>
        <w:tc>
          <w:tcPr>
            <w:tcW w:w="1504" w:type="dxa"/>
            <w:vAlign w:val="center"/>
          </w:tcPr>
          <w:p w:rsidR="00256347" w:rsidRDefault="0046466B">
            <w:pPr>
              <w:jc w:val="center"/>
            </w:pPr>
            <w:r>
              <w:rPr>
                <w:rFonts w:eastAsiaTheme="minorEastAsia"/>
                <w:color w:val="000000" w:themeColor="text1"/>
                <w:szCs w:val="21"/>
              </w:rPr>
              <w:t>2028008</w:t>
            </w:r>
          </w:p>
        </w:tc>
        <w:tc>
          <w:tcPr>
            <w:tcW w:w="1504" w:type="dxa"/>
            <w:vAlign w:val="center"/>
          </w:tcPr>
          <w:p w:rsidR="00256347" w:rsidRDefault="0046466B">
            <w:pPr>
              <w:jc w:val="center"/>
            </w:pPr>
            <w:r>
              <w:rPr>
                <w:rFonts w:eastAsiaTheme="minorEastAsia"/>
                <w:color w:val="000000" w:themeColor="text1"/>
                <w:szCs w:val="21"/>
              </w:rPr>
              <w:t>20</w:t>
            </w:r>
            <w:r>
              <w:rPr>
                <w:rFonts w:eastAsiaTheme="minorEastAsia"/>
                <w:color w:val="000000" w:themeColor="text1"/>
                <w:szCs w:val="21"/>
              </w:rPr>
              <w:t>民生银行小微债</w:t>
            </w:r>
            <w:r>
              <w:rPr>
                <w:rFonts w:eastAsiaTheme="minorEastAsia"/>
                <w:color w:val="000000" w:themeColor="text1"/>
                <w:szCs w:val="21"/>
              </w:rPr>
              <w:t>01</w:t>
            </w:r>
          </w:p>
        </w:tc>
        <w:tc>
          <w:tcPr>
            <w:tcW w:w="1503" w:type="dxa"/>
            <w:vAlign w:val="center"/>
          </w:tcPr>
          <w:p w:rsidR="00256347" w:rsidRDefault="0046466B">
            <w:pPr>
              <w:jc w:val="right"/>
            </w:pPr>
            <w:r>
              <w:rPr>
                <w:rFonts w:eastAsiaTheme="minorEastAsia"/>
                <w:color w:val="000000" w:themeColor="text1"/>
                <w:szCs w:val="21"/>
              </w:rPr>
              <w:t>1,900,000</w:t>
            </w:r>
          </w:p>
        </w:tc>
        <w:tc>
          <w:tcPr>
            <w:tcW w:w="1503" w:type="dxa"/>
            <w:vAlign w:val="center"/>
          </w:tcPr>
          <w:p w:rsidR="00256347" w:rsidRDefault="0046466B">
            <w:pPr>
              <w:jc w:val="right"/>
            </w:pPr>
            <w:r>
              <w:rPr>
                <w:rFonts w:eastAsiaTheme="minorEastAsia"/>
                <w:color w:val="000000" w:themeColor="text1"/>
                <w:szCs w:val="21"/>
              </w:rPr>
              <w:t>191,375,003.69</w:t>
            </w:r>
          </w:p>
        </w:tc>
        <w:tc>
          <w:tcPr>
            <w:tcW w:w="1503" w:type="dxa"/>
            <w:vAlign w:val="center"/>
          </w:tcPr>
          <w:p w:rsidR="00256347" w:rsidRDefault="0046466B">
            <w:pPr>
              <w:jc w:val="right"/>
            </w:pPr>
            <w:r>
              <w:rPr>
                <w:rFonts w:eastAsiaTheme="minorEastAsia"/>
                <w:color w:val="000000" w:themeColor="text1"/>
                <w:szCs w:val="21"/>
              </w:rPr>
              <w:t>8.92</w:t>
            </w:r>
          </w:p>
        </w:tc>
      </w:tr>
      <w:tr w:rsidR="00256347">
        <w:tc>
          <w:tcPr>
            <w:tcW w:w="1504" w:type="dxa"/>
            <w:vAlign w:val="center"/>
          </w:tcPr>
          <w:p w:rsidR="00256347" w:rsidRDefault="0046466B">
            <w:pPr>
              <w:jc w:val="center"/>
            </w:pPr>
            <w:r>
              <w:rPr>
                <w:rFonts w:eastAsiaTheme="minorEastAsia"/>
                <w:color w:val="000000" w:themeColor="text1"/>
                <w:szCs w:val="21"/>
              </w:rPr>
              <w:t>4</w:t>
            </w:r>
          </w:p>
        </w:tc>
        <w:tc>
          <w:tcPr>
            <w:tcW w:w="1504" w:type="dxa"/>
            <w:vAlign w:val="center"/>
          </w:tcPr>
          <w:p w:rsidR="00256347" w:rsidRDefault="0046466B">
            <w:pPr>
              <w:jc w:val="center"/>
            </w:pPr>
            <w:r>
              <w:rPr>
                <w:rFonts w:eastAsiaTheme="minorEastAsia"/>
                <w:color w:val="000000" w:themeColor="text1"/>
                <w:szCs w:val="21"/>
              </w:rPr>
              <w:t>2028015</w:t>
            </w:r>
          </w:p>
        </w:tc>
        <w:tc>
          <w:tcPr>
            <w:tcW w:w="1504" w:type="dxa"/>
            <w:vAlign w:val="center"/>
          </w:tcPr>
          <w:p w:rsidR="00256347" w:rsidRDefault="0046466B">
            <w:pPr>
              <w:jc w:val="center"/>
            </w:pPr>
            <w:r>
              <w:rPr>
                <w:rFonts w:eastAsiaTheme="minorEastAsia"/>
                <w:color w:val="000000" w:themeColor="text1"/>
                <w:szCs w:val="21"/>
              </w:rPr>
              <w:t>20</w:t>
            </w:r>
            <w:r>
              <w:rPr>
                <w:rFonts w:eastAsiaTheme="minorEastAsia"/>
                <w:color w:val="000000" w:themeColor="text1"/>
                <w:szCs w:val="21"/>
              </w:rPr>
              <w:t>兴业银行小微债</w:t>
            </w:r>
            <w:r>
              <w:rPr>
                <w:rFonts w:eastAsiaTheme="minorEastAsia"/>
                <w:color w:val="000000" w:themeColor="text1"/>
                <w:szCs w:val="21"/>
              </w:rPr>
              <w:t>01</w:t>
            </w:r>
          </w:p>
        </w:tc>
        <w:tc>
          <w:tcPr>
            <w:tcW w:w="1503" w:type="dxa"/>
            <w:vAlign w:val="center"/>
          </w:tcPr>
          <w:p w:rsidR="00256347" w:rsidRDefault="0046466B">
            <w:pPr>
              <w:jc w:val="right"/>
            </w:pPr>
            <w:r>
              <w:rPr>
                <w:rFonts w:eastAsiaTheme="minorEastAsia"/>
                <w:color w:val="000000" w:themeColor="text1"/>
                <w:szCs w:val="21"/>
              </w:rPr>
              <w:t>1,700,000</w:t>
            </w:r>
          </w:p>
        </w:tc>
        <w:tc>
          <w:tcPr>
            <w:tcW w:w="1503" w:type="dxa"/>
            <w:vAlign w:val="center"/>
          </w:tcPr>
          <w:p w:rsidR="00256347" w:rsidRDefault="0046466B">
            <w:pPr>
              <w:jc w:val="right"/>
            </w:pPr>
            <w:r>
              <w:rPr>
                <w:rFonts w:eastAsiaTheme="minorEastAsia"/>
                <w:color w:val="000000" w:themeColor="text1"/>
                <w:szCs w:val="21"/>
              </w:rPr>
              <w:t>169,643,956.20</w:t>
            </w:r>
          </w:p>
        </w:tc>
        <w:tc>
          <w:tcPr>
            <w:tcW w:w="1503" w:type="dxa"/>
            <w:vAlign w:val="center"/>
          </w:tcPr>
          <w:p w:rsidR="00256347" w:rsidRDefault="0046466B">
            <w:pPr>
              <w:jc w:val="right"/>
            </w:pPr>
            <w:r>
              <w:rPr>
                <w:rFonts w:eastAsiaTheme="minorEastAsia"/>
                <w:color w:val="000000" w:themeColor="text1"/>
                <w:szCs w:val="21"/>
              </w:rPr>
              <w:t>7.90</w:t>
            </w:r>
          </w:p>
        </w:tc>
      </w:tr>
      <w:tr w:rsidR="00256347">
        <w:tc>
          <w:tcPr>
            <w:tcW w:w="1504" w:type="dxa"/>
            <w:vAlign w:val="center"/>
          </w:tcPr>
          <w:p w:rsidR="00256347" w:rsidRDefault="0046466B">
            <w:pPr>
              <w:jc w:val="center"/>
            </w:pPr>
            <w:r>
              <w:rPr>
                <w:rFonts w:eastAsiaTheme="minorEastAsia"/>
                <w:color w:val="000000" w:themeColor="text1"/>
                <w:szCs w:val="21"/>
              </w:rPr>
              <w:t>5</w:t>
            </w:r>
          </w:p>
        </w:tc>
        <w:tc>
          <w:tcPr>
            <w:tcW w:w="1504" w:type="dxa"/>
            <w:vAlign w:val="center"/>
          </w:tcPr>
          <w:p w:rsidR="00256347" w:rsidRDefault="0046466B">
            <w:pPr>
              <w:jc w:val="center"/>
            </w:pPr>
            <w:r>
              <w:rPr>
                <w:rFonts w:eastAsiaTheme="minorEastAsia"/>
                <w:color w:val="000000" w:themeColor="text1"/>
                <w:szCs w:val="21"/>
              </w:rPr>
              <w:t>1820013</w:t>
            </w:r>
          </w:p>
        </w:tc>
        <w:tc>
          <w:tcPr>
            <w:tcW w:w="1504" w:type="dxa"/>
            <w:vAlign w:val="center"/>
          </w:tcPr>
          <w:p w:rsidR="00256347" w:rsidRDefault="0046466B">
            <w:pPr>
              <w:jc w:val="center"/>
            </w:pPr>
            <w:r>
              <w:rPr>
                <w:rFonts w:eastAsiaTheme="minorEastAsia"/>
                <w:color w:val="000000" w:themeColor="text1"/>
                <w:szCs w:val="21"/>
              </w:rPr>
              <w:t>18</w:t>
            </w:r>
            <w:r>
              <w:rPr>
                <w:rFonts w:eastAsiaTheme="minorEastAsia"/>
                <w:color w:val="000000" w:themeColor="text1"/>
                <w:szCs w:val="21"/>
              </w:rPr>
              <w:t>江苏银行</w:t>
            </w:r>
            <w:r>
              <w:rPr>
                <w:rFonts w:eastAsiaTheme="minorEastAsia"/>
                <w:color w:val="000000" w:themeColor="text1"/>
                <w:szCs w:val="21"/>
              </w:rPr>
              <w:t>01</w:t>
            </w:r>
          </w:p>
        </w:tc>
        <w:tc>
          <w:tcPr>
            <w:tcW w:w="1503" w:type="dxa"/>
            <w:vAlign w:val="center"/>
          </w:tcPr>
          <w:p w:rsidR="00256347" w:rsidRDefault="0046466B">
            <w:pPr>
              <w:jc w:val="right"/>
            </w:pPr>
            <w:r>
              <w:rPr>
                <w:rFonts w:eastAsiaTheme="minorEastAsia"/>
                <w:color w:val="000000" w:themeColor="text1"/>
                <w:szCs w:val="21"/>
              </w:rPr>
              <w:t>1,300,000</w:t>
            </w:r>
          </w:p>
        </w:tc>
        <w:tc>
          <w:tcPr>
            <w:tcW w:w="1503" w:type="dxa"/>
            <w:vAlign w:val="center"/>
          </w:tcPr>
          <w:p w:rsidR="00256347" w:rsidRDefault="0046466B">
            <w:pPr>
              <w:jc w:val="right"/>
            </w:pPr>
            <w:r>
              <w:rPr>
                <w:rFonts w:eastAsiaTheme="minorEastAsia"/>
                <w:color w:val="000000" w:themeColor="text1"/>
                <w:szCs w:val="21"/>
              </w:rPr>
              <w:t>134,959,866.75</w:t>
            </w:r>
          </w:p>
        </w:tc>
        <w:tc>
          <w:tcPr>
            <w:tcW w:w="1503" w:type="dxa"/>
            <w:vAlign w:val="center"/>
          </w:tcPr>
          <w:p w:rsidR="00256347" w:rsidRDefault="0046466B">
            <w:pPr>
              <w:jc w:val="right"/>
            </w:pPr>
            <w:r>
              <w:rPr>
                <w:rFonts w:eastAsiaTheme="minorEastAsia"/>
                <w:color w:val="000000" w:themeColor="text1"/>
                <w:szCs w:val="21"/>
              </w:rPr>
              <w:t>6.29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46,256,136.39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46,256,136.39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2,100,092,019.86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14,352.81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2,100,092,019.86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14,352.81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256347">
        <w:tc>
          <w:tcPr>
            <w:tcW w:w="993" w:type="dxa"/>
            <w:vMerge w:val="restart"/>
            <w:vAlign w:val="center"/>
          </w:tcPr>
          <w:p w:rsidR="00256347" w:rsidRDefault="0046466B">
            <w:r>
              <w:rPr>
                <w:bCs/>
                <w:color w:val="000000"/>
                <w:kern w:val="0"/>
                <w:szCs w:val="21"/>
              </w:rPr>
              <w:t>机构</w:t>
            </w:r>
          </w:p>
        </w:tc>
        <w:tc>
          <w:tcPr>
            <w:tcW w:w="992" w:type="dxa"/>
            <w:vAlign w:val="center"/>
          </w:tcPr>
          <w:p w:rsidR="00256347" w:rsidRDefault="0046466B">
            <w:pPr>
              <w:jc w:val="center"/>
            </w:pPr>
            <w:r>
              <w:rPr>
                <w:color w:val="000000"/>
                <w:kern w:val="0"/>
                <w:szCs w:val="21"/>
              </w:rPr>
              <w:t>1</w:t>
            </w:r>
          </w:p>
        </w:tc>
        <w:tc>
          <w:tcPr>
            <w:tcW w:w="1843" w:type="dxa"/>
            <w:vAlign w:val="center"/>
          </w:tcPr>
          <w:p w:rsidR="00256347" w:rsidRDefault="0046466B">
            <w:pPr>
              <w:jc w:val="center"/>
            </w:pPr>
            <w:r>
              <w:rPr>
                <w:color w:val="000000"/>
                <w:kern w:val="0"/>
                <w:szCs w:val="21"/>
              </w:rPr>
              <w:t>20210701-20210930</w:t>
            </w:r>
          </w:p>
        </w:tc>
        <w:tc>
          <w:tcPr>
            <w:tcW w:w="851" w:type="dxa"/>
            <w:vAlign w:val="center"/>
          </w:tcPr>
          <w:p w:rsidR="00256347" w:rsidRDefault="0046466B">
            <w:pPr>
              <w:jc w:val="center"/>
            </w:pPr>
            <w:r>
              <w:rPr>
                <w:color w:val="000000"/>
                <w:kern w:val="0"/>
                <w:szCs w:val="21"/>
              </w:rPr>
              <w:t>999,999,000.00</w:t>
            </w:r>
          </w:p>
        </w:tc>
        <w:tc>
          <w:tcPr>
            <w:tcW w:w="850" w:type="dxa"/>
            <w:vAlign w:val="center"/>
          </w:tcPr>
          <w:p w:rsidR="00256347" w:rsidRDefault="0046466B">
            <w:pPr>
              <w:jc w:val="center"/>
            </w:pPr>
            <w:r>
              <w:rPr>
                <w:color w:val="000000"/>
                <w:kern w:val="0"/>
                <w:szCs w:val="21"/>
              </w:rPr>
              <w:t>0.00</w:t>
            </w:r>
          </w:p>
        </w:tc>
        <w:tc>
          <w:tcPr>
            <w:tcW w:w="1134" w:type="dxa"/>
            <w:vAlign w:val="center"/>
          </w:tcPr>
          <w:p w:rsidR="00256347" w:rsidRDefault="0046466B">
            <w:pPr>
              <w:jc w:val="center"/>
            </w:pPr>
            <w:r>
              <w:rPr>
                <w:color w:val="000000"/>
                <w:kern w:val="0"/>
                <w:szCs w:val="21"/>
              </w:rPr>
              <w:t>0.00</w:t>
            </w:r>
          </w:p>
        </w:tc>
        <w:tc>
          <w:tcPr>
            <w:tcW w:w="1419" w:type="dxa"/>
            <w:vAlign w:val="center"/>
          </w:tcPr>
          <w:p w:rsidR="00256347" w:rsidRDefault="0046466B">
            <w:pPr>
              <w:jc w:val="center"/>
            </w:pPr>
            <w:r>
              <w:rPr>
                <w:color w:val="000000"/>
                <w:kern w:val="0"/>
                <w:szCs w:val="21"/>
              </w:rPr>
              <w:t>999,999,000.00</w:t>
            </w:r>
          </w:p>
        </w:tc>
        <w:tc>
          <w:tcPr>
            <w:tcW w:w="1130" w:type="dxa"/>
            <w:vAlign w:val="center"/>
          </w:tcPr>
          <w:p w:rsidR="00256347" w:rsidRDefault="0046466B">
            <w:pPr>
              <w:jc w:val="center"/>
            </w:pPr>
            <w:r>
              <w:rPr>
                <w:color w:val="000000"/>
                <w:kern w:val="0"/>
                <w:szCs w:val="21"/>
              </w:rPr>
              <w:t>47.62%</w:t>
            </w:r>
          </w:p>
        </w:tc>
      </w:tr>
      <w:tr w:rsidR="00256347">
        <w:tc>
          <w:tcPr>
            <w:tcW w:w="993" w:type="dxa"/>
            <w:vMerge/>
          </w:tcPr>
          <w:p w:rsidR="00256347" w:rsidRDefault="00256347"/>
        </w:tc>
        <w:tc>
          <w:tcPr>
            <w:tcW w:w="992" w:type="dxa"/>
            <w:vAlign w:val="center"/>
          </w:tcPr>
          <w:p w:rsidR="00256347" w:rsidRDefault="0046466B">
            <w:pPr>
              <w:jc w:val="center"/>
            </w:pPr>
            <w:r>
              <w:rPr>
                <w:color w:val="000000"/>
                <w:kern w:val="0"/>
                <w:szCs w:val="21"/>
              </w:rPr>
              <w:t>2</w:t>
            </w:r>
          </w:p>
        </w:tc>
        <w:tc>
          <w:tcPr>
            <w:tcW w:w="1843" w:type="dxa"/>
            <w:vAlign w:val="center"/>
          </w:tcPr>
          <w:p w:rsidR="00256347" w:rsidRDefault="0046466B">
            <w:pPr>
              <w:jc w:val="center"/>
            </w:pPr>
            <w:r>
              <w:rPr>
                <w:color w:val="000000"/>
                <w:kern w:val="0"/>
                <w:szCs w:val="21"/>
              </w:rPr>
              <w:t>20210701-20210930</w:t>
            </w:r>
          </w:p>
        </w:tc>
        <w:tc>
          <w:tcPr>
            <w:tcW w:w="851" w:type="dxa"/>
            <w:vAlign w:val="center"/>
          </w:tcPr>
          <w:p w:rsidR="00256347" w:rsidRDefault="0046466B">
            <w:pPr>
              <w:jc w:val="center"/>
            </w:pPr>
            <w:r>
              <w:rPr>
                <w:color w:val="000000"/>
                <w:kern w:val="0"/>
                <w:szCs w:val="21"/>
              </w:rPr>
              <w:t>599,999,000.00</w:t>
            </w:r>
          </w:p>
        </w:tc>
        <w:tc>
          <w:tcPr>
            <w:tcW w:w="850" w:type="dxa"/>
            <w:vAlign w:val="center"/>
          </w:tcPr>
          <w:p w:rsidR="00256347" w:rsidRDefault="0046466B">
            <w:pPr>
              <w:jc w:val="center"/>
            </w:pPr>
            <w:r>
              <w:rPr>
                <w:color w:val="000000"/>
                <w:kern w:val="0"/>
                <w:szCs w:val="21"/>
              </w:rPr>
              <w:t>0.00</w:t>
            </w:r>
          </w:p>
        </w:tc>
        <w:tc>
          <w:tcPr>
            <w:tcW w:w="1134" w:type="dxa"/>
            <w:vAlign w:val="center"/>
          </w:tcPr>
          <w:p w:rsidR="00256347" w:rsidRDefault="0046466B">
            <w:pPr>
              <w:jc w:val="center"/>
            </w:pPr>
            <w:r>
              <w:rPr>
                <w:color w:val="000000"/>
                <w:kern w:val="0"/>
                <w:szCs w:val="21"/>
              </w:rPr>
              <w:t>0.00</w:t>
            </w:r>
          </w:p>
        </w:tc>
        <w:tc>
          <w:tcPr>
            <w:tcW w:w="1419" w:type="dxa"/>
            <w:vAlign w:val="center"/>
          </w:tcPr>
          <w:p w:rsidR="00256347" w:rsidRDefault="0046466B">
            <w:pPr>
              <w:jc w:val="center"/>
            </w:pPr>
            <w:r>
              <w:rPr>
                <w:color w:val="000000"/>
                <w:kern w:val="0"/>
                <w:szCs w:val="21"/>
              </w:rPr>
              <w:t>599,999,000.00</w:t>
            </w:r>
          </w:p>
        </w:tc>
        <w:tc>
          <w:tcPr>
            <w:tcW w:w="1130" w:type="dxa"/>
            <w:vAlign w:val="center"/>
          </w:tcPr>
          <w:p w:rsidR="00256347" w:rsidRDefault="0046466B">
            <w:pPr>
              <w:jc w:val="center"/>
            </w:pPr>
            <w:r>
              <w:rPr>
                <w:color w:val="000000"/>
                <w:kern w:val="0"/>
                <w:szCs w:val="21"/>
              </w:rPr>
              <w:t>28.57%</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、中国证监会准予上投摩根瑞泰</w:t>
      </w:r>
      <w:r>
        <w:rPr>
          <w:rFonts w:eastAsiaTheme="minorEastAsia"/>
          <w:color w:val="000000" w:themeColor="text1"/>
          <w:szCs w:val="21"/>
        </w:rPr>
        <w:t>38</w:t>
      </w:r>
      <w:r>
        <w:rPr>
          <w:rFonts w:eastAsiaTheme="minorEastAsia"/>
          <w:color w:val="000000" w:themeColor="text1"/>
          <w:szCs w:val="21"/>
        </w:rPr>
        <w:t>个月定期开放债券型证券投资基金募集注册的文件</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256347" w:rsidRDefault="0046466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6</w:t>
      </w:r>
      <w:r w:rsidRPr="00B27A29">
        <w:rPr>
          <w:rFonts w:eastAsiaTheme="minorEastAsia"/>
          <w:color w:val="000000" w:themeColor="text1"/>
          <w:szCs w:val="21"/>
        </w:rPr>
        <w:t>、上投摩根基金管理有限公司开放式基金业务规则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466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6466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6466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上投摩根瑞泰</w:t>
    </w:r>
    <w:r>
      <w:t>38</w:t>
    </w:r>
    <w:r>
      <w:t>个月定期开放债券型证券投资基金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63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466B"/>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BBA1C-B539-41D9-9329-D1A6EC4B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1097</Words>
  <Characters>6258</Characters>
  <Application>Microsoft Office Word</Application>
  <DocSecurity>0</DocSecurity>
  <Lines>52</Lines>
  <Paragraphs>14</Paragraphs>
  <ScaleCrop>false</ScaleCrop>
  <Company>TRT. Ltd. Co.</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2021-10-26T05:55:00Z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