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上投摩根瑞泰</w:t>
      </w:r>
      <w:r w:rsidRPr="00B27A29">
        <w:rPr>
          <w:rFonts w:eastAsiaTheme="minorEastAsia"/>
          <w:b/>
          <w:color w:val="000000" w:themeColor="text1"/>
          <w:sz w:val="36"/>
          <w:szCs w:val="36"/>
        </w:rPr>
        <w:t>38</w:t>
      </w:r>
      <w:r w:rsidRPr="00B27A29">
        <w:rPr>
          <w:rFonts w:eastAsiaTheme="minorEastAsia"/>
          <w:b/>
          <w:color w:val="000000" w:themeColor="text1"/>
          <w:sz w:val="36"/>
          <w:szCs w:val="36"/>
        </w:rPr>
        <w:t>个月定期开放债券型证券投资基金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2021</w:t>
      </w:r>
      <w:r w:rsidRPr="00B27A29">
        <w:rPr>
          <w:rFonts w:eastAsiaTheme="minorEastAsia"/>
          <w:b/>
          <w:color w:val="000000" w:themeColor="text1"/>
          <w:sz w:val="36"/>
          <w:szCs w:val="36"/>
        </w:rPr>
        <w:t>年第</w:t>
      </w:r>
      <w:r w:rsidRPr="00B27A29">
        <w:rPr>
          <w:rFonts w:eastAsiaTheme="minorEastAsia"/>
          <w:b/>
          <w:color w:val="000000" w:themeColor="text1"/>
          <w:sz w:val="36"/>
          <w:szCs w:val="36"/>
        </w:rPr>
        <w:t>2</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2021</w:t>
      </w:r>
      <w:r w:rsidRPr="00B27A29">
        <w:rPr>
          <w:rFonts w:eastAsiaTheme="minorEastAsia"/>
          <w:b/>
          <w:color w:val="000000" w:themeColor="text1"/>
          <w:sz w:val="36"/>
          <w:szCs w:val="36"/>
        </w:rPr>
        <w:t>年</w:t>
      </w:r>
      <w:r w:rsidRPr="00B27A29">
        <w:rPr>
          <w:rFonts w:eastAsiaTheme="minorEastAsia"/>
          <w:b/>
          <w:color w:val="000000" w:themeColor="text1"/>
          <w:sz w:val="36"/>
          <w:szCs w:val="36"/>
        </w:rPr>
        <w:t>6</w:t>
      </w:r>
      <w:r w:rsidRPr="00B27A29">
        <w:rPr>
          <w:rFonts w:eastAsiaTheme="minorEastAsia"/>
          <w:b/>
          <w:color w:val="000000" w:themeColor="text1"/>
          <w:sz w:val="36"/>
          <w:szCs w:val="36"/>
        </w:rPr>
        <w:t>月</w:t>
      </w:r>
      <w:r w:rsidRPr="00B27A29">
        <w:rPr>
          <w:rFonts w:eastAsiaTheme="minorEastAsia"/>
          <w:b/>
          <w:color w:val="000000" w:themeColor="text1"/>
          <w:sz w:val="36"/>
          <w:szCs w:val="36"/>
        </w:rPr>
        <w:t>30</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bookmarkStart w:id="0" w:name="_GoBack"/>
      <w:bookmarkEnd w:id="0"/>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基金管理人：上投摩根基金管理有限公司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基金托管人：中国邮政储蓄银行股份有限公司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报告送出日期：二〇二一年七月二十一日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B01673" w:rsidRDefault="0021488F">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B01673" w:rsidRDefault="0021488F">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基金托管人中国邮政储蓄银行股份有限公司根据本基金合同规定，于</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20</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B01673" w:rsidRDefault="0021488F">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B01673" w:rsidRDefault="0021488F">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B01673" w:rsidRDefault="0021488F">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2021</w:t>
      </w:r>
      <w:r w:rsidRPr="00B27A29">
        <w:rPr>
          <w:rFonts w:eastAsiaTheme="minorEastAsia"/>
          <w:color w:val="000000" w:themeColor="text1"/>
          <w:szCs w:val="21"/>
        </w:rPr>
        <w:t>年</w:t>
      </w:r>
      <w:r w:rsidRPr="00B27A29">
        <w:rPr>
          <w:rFonts w:eastAsiaTheme="minorEastAsia"/>
          <w:color w:val="000000" w:themeColor="text1"/>
          <w:szCs w:val="21"/>
        </w:rPr>
        <w:t>4</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6</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上投摩根瑞泰</w:t>
            </w:r>
            <w:r w:rsidRPr="00B27A29">
              <w:rPr>
                <w:rFonts w:eastAsiaTheme="minorEastAsia"/>
                <w:color w:val="000000" w:themeColor="text1"/>
                <w:kern w:val="0"/>
                <w:szCs w:val="21"/>
              </w:rPr>
              <w:t>38</w:t>
            </w:r>
            <w:r w:rsidRPr="00B27A29">
              <w:rPr>
                <w:rFonts w:eastAsiaTheme="minorEastAsia"/>
                <w:color w:val="000000" w:themeColor="text1"/>
                <w:kern w:val="0"/>
                <w:szCs w:val="21"/>
              </w:rPr>
              <w:t>个月定期开放债券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008759</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契约型定期开放式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2020</w:t>
            </w:r>
            <w:r w:rsidRPr="00B27A29">
              <w:rPr>
                <w:rFonts w:eastAsiaTheme="minorEastAsia"/>
                <w:color w:val="000000" w:themeColor="text1"/>
                <w:kern w:val="0"/>
                <w:szCs w:val="21"/>
              </w:rPr>
              <w:t>年</w:t>
            </w:r>
            <w:r w:rsidRPr="00B27A29">
              <w:rPr>
                <w:rFonts w:eastAsiaTheme="minorEastAsia"/>
                <w:color w:val="000000" w:themeColor="text1"/>
                <w:kern w:val="0"/>
                <w:szCs w:val="21"/>
              </w:rPr>
              <w:t>3</w:t>
            </w:r>
            <w:r w:rsidRPr="00B27A29">
              <w:rPr>
                <w:rFonts w:eastAsiaTheme="minorEastAsia"/>
                <w:color w:val="000000" w:themeColor="text1"/>
                <w:kern w:val="0"/>
                <w:szCs w:val="21"/>
              </w:rPr>
              <w:t>月</w:t>
            </w:r>
            <w:r w:rsidRPr="00B27A29">
              <w:rPr>
                <w:rFonts w:eastAsiaTheme="minorEastAsia"/>
                <w:color w:val="000000" w:themeColor="text1"/>
                <w:kern w:val="0"/>
                <w:szCs w:val="21"/>
              </w:rPr>
              <w:t>18</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2,100,106,372.67</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 xml:space="preserve"> </w:t>
            </w:r>
            <w:r w:rsidRPr="00B27A29">
              <w:rPr>
                <w:rFonts w:eastAsiaTheme="minorEastAsia"/>
                <w:color w:val="000000" w:themeColor="text1"/>
                <w:kern w:val="0"/>
                <w:szCs w:val="21"/>
              </w:rPr>
              <w:t>在严格控制风险的前提下，采用持有到期策略，力争实现长期稳定的投资回报。</w:t>
            </w:r>
            <w:r w:rsidRPr="00B27A29">
              <w:rPr>
                <w:rFonts w:eastAsiaTheme="minorEastAsia"/>
                <w:color w:val="000000" w:themeColor="text1"/>
                <w:kern w:val="0"/>
                <w:szCs w:val="21"/>
              </w:rPr>
              <w:t xml:space="preserve">          </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B01673" w:rsidRDefault="0021488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以封闭期为周期进行投资运作。为力争基金资产在开放前可完全变现，本基金在封闭期内采用买入并持有到期投资策略，所投金融资产以收取合同现金流量为目的并持有到期，所投资产到期日（或回售日）不得晚于封闭运作期到期日。开放期内，将保持资产适当的流动性，以应付当时市场条件下的赎回要求，并降低资产的流动性风险，做好流动性管理。</w:t>
            </w:r>
            <w:r>
              <w:rPr>
                <w:rFonts w:eastAsiaTheme="minorEastAsia"/>
                <w:color w:val="000000" w:themeColor="text1"/>
                <w:kern w:val="0"/>
                <w:szCs w:val="21"/>
              </w:rPr>
              <w:t xml:space="preserve">  </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具体策略包括：封闭期投资策略（包括封闭期配置策略、信用债投资策略、杠杆投资策略、资产支持证券投资策略、封闭期现金管理策略）、开放期投资策略。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在每个封闭期，本基金的业绩比较基准为该封闭期起始日公布的三年定期存款利率（税后）</w:t>
            </w:r>
            <w:r w:rsidRPr="00B27A29">
              <w:rPr>
                <w:rFonts w:eastAsiaTheme="minorEastAsia"/>
                <w:color w:val="000000" w:themeColor="text1"/>
                <w:kern w:val="0"/>
                <w:szCs w:val="21"/>
              </w:rPr>
              <w:t>+1%</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本基金为债券型基金，一般而言，其长期平均风险和预期收益率低于股票型基金、混合型基金，高于货币市场基金。</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上投摩根基金管理有限公司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中国邮政储蓄银行股份有限公司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上投摩根瑞泰</w:t>
            </w:r>
            <w:r w:rsidRPr="00B27A29">
              <w:rPr>
                <w:rFonts w:eastAsiaTheme="minorEastAsia"/>
                <w:color w:val="000000" w:themeColor="text1"/>
                <w:szCs w:val="21"/>
              </w:rPr>
              <w:t>38</w:t>
            </w:r>
            <w:r w:rsidRPr="00B27A29">
              <w:rPr>
                <w:rFonts w:eastAsiaTheme="minorEastAsia"/>
                <w:color w:val="000000" w:themeColor="text1"/>
                <w:szCs w:val="21"/>
              </w:rPr>
              <w:t>个月定期开放债券</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上投摩根瑞泰</w:t>
            </w:r>
            <w:r w:rsidRPr="00B27A29">
              <w:rPr>
                <w:rFonts w:eastAsiaTheme="minorEastAsia"/>
                <w:color w:val="000000" w:themeColor="text1"/>
                <w:szCs w:val="21"/>
              </w:rPr>
              <w:t>38</w:t>
            </w:r>
            <w:r w:rsidRPr="00B27A29">
              <w:rPr>
                <w:rFonts w:eastAsiaTheme="minorEastAsia"/>
                <w:color w:val="000000" w:themeColor="text1"/>
                <w:szCs w:val="21"/>
              </w:rPr>
              <w:t>个月定期开放债券</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008759</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008760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2,100,092,019.86</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14,352.81</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(2021</w:t>
            </w:r>
            <w:r w:rsidRPr="00B27A29">
              <w:rPr>
                <w:rFonts w:eastAsiaTheme="minorEastAsia"/>
                <w:color w:val="000000" w:themeColor="text1"/>
                <w:szCs w:val="21"/>
              </w:rPr>
              <w:t>年</w:t>
            </w:r>
            <w:r w:rsidRPr="00B27A29">
              <w:rPr>
                <w:rFonts w:eastAsiaTheme="minorEastAsia"/>
                <w:color w:val="000000" w:themeColor="text1"/>
                <w:szCs w:val="21"/>
              </w:rPr>
              <w:t>4</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-2021</w:t>
            </w:r>
            <w:r w:rsidRPr="00B27A29">
              <w:rPr>
                <w:rFonts w:eastAsiaTheme="minorEastAsia"/>
                <w:color w:val="000000" w:themeColor="text1"/>
                <w:szCs w:val="21"/>
              </w:rPr>
              <w:t>年</w:t>
            </w:r>
            <w:r w:rsidRPr="00B27A29">
              <w:rPr>
                <w:rFonts w:eastAsiaTheme="minorEastAsia"/>
                <w:color w:val="000000" w:themeColor="text1"/>
                <w:szCs w:val="21"/>
              </w:rPr>
              <w:t>6</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上投摩根瑞泰</w:t>
            </w:r>
            <w:r w:rsidRPr="00B27A29">
              <w:rPr>
                <w:rFonts w:eastAsiaTheme="minorEastAsia"/>
                <w:color w:val="000000" w:themeColor="text1"/>
                <w:szCs w:val="21"/>
              </w:rPr>
              <w:t>38</w:t>
            </w:r>
            <w:r w:rsidRPr="00B27A29">
              <w:rPr>
                <w:rFonts w:eastAsiaTheme="minorEastAsia"/>
                <w:color w:val="000000" w:themeColor="text1"/>
                <w:szCs w:val="21"/>
              </w:rPr>
              <w:t>个月定期开放债券</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上投摩根瑞泰</w:t>
            </w:r>
            <w:r w:rsidRPr="00B27A29">
              <w:rPr>
                <w:rFonts w:eastAsiaTheme="minorEastAsia"/>
                <w:color w:val="000000" w:themeColor="text1"/>
                <w:szCs w:val="21"/>
              </w:rPr>
              <w:t>38</w:t>
            </w:r>
            <w:r w:rsidRPr="00B27A29">
              <w:rPr>
                <w:rFonts w:eastAsiaTheme="minorEastAsia"/>
                <w:color w:val="000000" w:themeColor="text1"/>
                <w:szCs w:val="21"/>
              </w:rPr>
              <w:t>个月定期开放债券</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14,976,975.35</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93.04</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14,976,975.35</w:t>
            </w:r>
          </w:p>
        </w:tc>
        <w:tc>
          <w:tcPr>
            <w:tcW w:w="2481" w:type="dxa"/>
            <w:vAlign w:val="center"/>
          </w:tcPr>
          <w:p w:rsidR="005E6DF3" w:rsidRPr="00B27A29" w:rsidRDefault="0021488F">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93.04</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0.0071</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0.00</w:t>
            </w:r>
            <w:r w:rsidR="00DE0694">
              <w:rPr>
                <w:rFonts w:eastAsiaTheme="minorEastAsia" w:hint="eastAsia"/>
                <w:color w:val="000000" w:themeColor="text1"/>
                <w:szCs w:val="21"/>
              </w:rPr>
              <w:t>65</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2,133,276,343.66</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14,558.20</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1.0158</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1.0143</w:t>
            </w:r>
          </w:p>
        </w:tc>
      </w:tr>
    </w:tbl>
    <w:p w:rsidR="00B01673" w:rsidRDefault="0021488F">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lastRenderedPageBreak/>
        <w:t>2.</w:t>
      </w:r>
      <w:r w:rsidRPr="00B27A29">
        <w:rPr>
          <w:rFonts w:eastAsiaTheme="minorEastAsia"/>
          <w:color w:val="000000" w:themeColor="text1"/>
          <w:szCs w:val="21"/>
        </w:rPr>
        <w:t>本期已实现收益指基金本期利息收入、投资收益、其他收入（不含公允价值变动收益）扣除相关费用后的余额，本期利润为本期已实现收益加上本期公允价值变动收益，由于本基金采用摊余成本法核算，所以，公允价值变动收益为零，本期已实现收益和本期利润的金额相等；</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上投摩根瑞泰</w:t>
      </w:r>
      <w:r w:rsidRPr="00B27A29">
        <w:rPr>
          <w:rFonts w:eastAsiaTheme="minorEastAsia"/>
          <w:b/>
          <w:color w:val="000000" w:themeColor="text1"/>
          <w:kern w:val="0"/>
          <w:szCs w:val="21"/>
        </w:rPr>
        <w:t>38</w:t>
      </w:r>
      <w:r w:rsidRPr="00B27A29">
        <w:rPr>
          <w:rFonts w:eastAsiaTheme="minorEastAsia"/>
          <w:b/>
          <w:color w:val="000000" w:themeColor="text1"/>
          <w:kern w:val="0"/>
          <w:szCs w:val="21"/>
        </w:rPr>
        <w:t>个月定期开放债券</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B01673">
        <w:tc>
          <w:tcPr>
            <w:tcW w:w="1290" w:type="dxa"/>
            <w:vAlign w:val="center"/>
          </w:tcPr>
          <w:p w:rsidR="00B01673" w:rsidRDefault="0021488F">
            <w:pPr>
              <w:jc w:val="left"/>
            </w:pPr>
            <w:r>
              <w:rPr>
                <w:rFonts w:eastAsiaTheme="minorEastAsia"/>
                <w:color w:val="000000" w:themeColor="text1"/>
                <w:szCs w:val="21"/>
              </w:rPr>
              <w:t>过去三个月</w:t>
            </w:r>
          </w:p>
        </w:tc>
        <w:tc>
          <w:tcPr>
            <w:tcW w:w="1291" w:type="dxa"/>
            <w:vAlign w:val="center"/>
          </w:tcPr>
          <w:p w:rsidR="00B01673" w:rsidRDefault="0021488F">
            <w:pPr>
              <w:jc w:val="right"/>
            </w:pPr>
            <w:r>
              <w:rPr>
                <w:rFonts w:eastAsiaTheme="minorEastAsia"/>
                <w:color w:val="000000" w:themeColor="text1"/>
                <w:szCs w:val="21"/>
              </w:rPr>
              <w:t>0.70%</w:t>
            </w:r>
          </w:p>
        </w:tc>
        <w:tc>
          <w:tcPr>
            <w:tcW w:w="1291" w:type="dxa"/>
            <w:vAlign w:val="center"/>
          </w:tcPr>
          <w:p w:rsidR="00B01673" w:rsidRDefault="0021488F">
            <w:pPr>
              <w:jc w:val="right"/>
            </w:pPr>
            <w:r>
              <w:rPr>
                <w:rFonts w:eastAsiaTheme="minorEastAsia"/>
                <w:color w:val="000000" w:themeColor="text1"/>
                <w:szCs w:val="21"/>
              </w:rPr>
              <w:t>0.01%</w:t>
            </w:r>
          </w:p>
        </w:tc>
        <w:tc>
          <w:tcPr>
            <w:tcW w:w="1291" w:type="dxa"/>
            <w:vAlign w:val="center"/>
          </w:tcPr>
          <w:p w:rsidR="00B01673" w:rsidRDefault="0021488F">
            <w:pPr>
              <w:jc w:val="right"/>
            </w:pPr>
            <w:r>
              <w:rPr>
                <w:rFonts w:eastAsiaTheme="minorEastAsia"/>
                <w:color w:val="000000" w:themeColor="text1"/>
                <w:szCs w:val="21"/>
              </w:rPr>
              <w:t>0.95%</w:t>
            </w:r>
          </w:p>
        </w:tc>
        <w:tc>
          <w:tcPr>
            <w:tcW w:w="1291" w:type="dxa"/>
            <w:vAlign w:val="center"/>
          </w:tcPr>
          <w:p w:rsidR="00B01673" w:rsidRDefault="0021488F">
            <w:pPr>
              <w:jc w:val="right"/>
            </w:pPr>
            <w:r>
              <w:rPr>
                <w:rFonts w:eastAsiaTheme="minorEastAsia"/>
                <w:color w:val="000000" w:themeColor="text1"/>
                <w:szCs w:val="21"/>
              </w:rPr>
              <w:t>0.01%</w:t>
            </w:r>
          </w:p>
        </w:tc>
        <w:tc>
          <w:tcPr>
            <w:tcW w:w="1291" w:type="dxa"/>
            <w:vAlign w:val="center"/>
          </w:tcPr>
          <w:p w:rsidR="00B01673" w:rsidRDefault="0021488F">
            <w:pPr>
              <w:jc w:val="right"/>
            </w:pPr>
            <w:r>
              <w:rPr>
                <w:rFonts w:eastAsiaTheme="minorEastAsia"/>
                <w:color w:val="000000" w:themeColor="text1"/>
                <w:szCs w:val="21"/>
              </w:rPr>
              <w:t>-0.25%</w:t>
            </w:r>
          </w:p>
        </w:tc>
        <w:tc>
          <w:tcPr>
            <w:tcW w:w="1291" w:type="dxa"/>
            <w:vAlign w:val="center"/>
          </w:tcPr>
          <w:p w:rsidR="00B01673" w:rsidRDefault="0021488F">
            <w:pPr>
              <w:jc w:val="right"/>
            </w:pPr>
            <w:r>
              <w:rPr>
                <w:rFonts w:eastAsiaTheme="minorEastAsia"/>
                <w:color w:val="000000" w:themeColor="text1"/>
                <w:szCs w:val="21"/>
              </w:rPr>
              <w:t>0.00%</w:t>
            </w:r>
          </w:p>
        </w:tc>
      </w:tr>
      <w:tr w:rsidR="00B01673">
        <w:tc>
          <w:tcPr>
            <w:tcW w:w="1290" w:type="dxa"/>
            <w:vAlign w:val="center"/>
          </w:tcPr>
          <w:p w:rsidR="00B01673" w:rsidRDefault="0021488F">
            <w:pPr>
              <w:jc w:val="left"/>
            </w:pPr>
            <w:r>
              <w:rPr>
                <w:rFonts w:eastAsiaTheme="minorEastAsia"/>
                <w:color w:val="000000" w:themeColor="text1"/>
                <w:szCs w:val="21"/>
              </w:rPr>
              <w:t>过去六个月</w:t>
            </w:r>
          </w:p>
        </w:tc>
        <w:tc>
          <w:tcPr>
            <w:tcW w:w="1291" w:type="dxa"/>
            <w:vAlign w:val="center"/>
          </w:tcPr>
          <w:p w:rsidR="00B01673" w:rsidRDefault="0021488F">
            <w:pPr>
              <w:jc w:val="right"/>
            </w:pPr>
            <w:r>
              <w:rPr>
                <w:rFonts w:eastAsiaTheme="minorEastAsia"/>
                <w:color w:val="000000" w:themeColor="text1"/>
                <w:szCs w:val="21"/>
              </w:rPr>
              <w:t>1.32%</w:t>
            </w:r>
          </w:p>
        </w:tc>
        <w:tc>
          <w:tcPr>
            <w:tcW w:w="1291" w:type="dxa"/>
            <w:vAlign w:val="center"/>
          </w:tcPr>
          <w:p w:rsidR="00B01673" w:rsidRDefault="0021488F">
            <w:pPr>
              <w:jc w:val="right"/>
            </w:pPr>
            <w:r>
              <w:rPr>
                <w:rFonts w:eastAsiaTheme="minorEastAsia"/>
                <w:color w:val="000000" w:themeColor="text1"/>
                <w:szCs w:val="21"/>
              </w:rPr>
              <w:t>0.01%</w:t>
            </w:r>
          </w:p>
        </w:tc>
        <w:tc>
          <w:tcPr>
            <w:tcW w:w="1291" w:type="dxa"/>
            <w:vAlign w:val="center"/>
          </w:tcPr>
          <w:p w:rsidR="00B01673" w:rsidRDefault="0021488F">
            <w:pPr>
              <w:jc w:val="right"/>
            </w:pPr>
            <w:r>
              <w:rPr>
                <w:rFonts w:eastAsiaTheme="minorEastAsia"/>
                <w:color w:val="000000" w:themeColor="text1"/>
                <w:szCs w:val="21"/>
              </w:rPr>
              <w:t>1.89%</w:t>
            </w:r>
          </w:p>
        </w:tc>
        <w:tc>
          <w:tcPr>
            <w:tcW w:w="1291" w:type="dxa"/>
            <w:vAlign w:val="center"/>
          </w:tcPr>
          <w:p w:rsidR="00B01673" w:rsidRDefault="0021488F">
            <w:pPr>
              <w:jc w:val="right"/>
            </w:pPr>
            <w:r>
              <w:rPr>
                <w:rFonts w:eastAsiaTheme="minorEastAsia"/>
                <w:color w:val="000000" w:themeColor="text1"/>
                <w:szCs w:val="21"/>
              </w:rPr>
              <w:t>0.01%</w:t>
            </w:r>
          </w:p>
        </w:tc>
        <w:tc>
          <w:tcPr>
            <w:tcW w:w="1291" w:type="dxa"/>
            <w:vAlign w:val="center"/>
          </w:tcPr>
          <w:p w:rsidR="00B01673" w:rsidRDefault="0021488F">
            <w:pPr>
              <w:jc w:val="right"/>
            </w:pPr>
            <w:r>
              <w:rPr>
                <w:rFonts w:eastAsiaTheme="minorEastAsia"/>
                <w:color w:val="000000" w:themeColor="text1"/>
                <w:szCs w:val="21"/>
              </w:rPr>
              <w:t>-0.57%</w:t>
            </w:r>
          </w:p>
        </w:tc>
        <w:tc>
          <w:tcPr>
            <w:tcW w:w="1291" w:type="dxa"/>
            <w:vAlign w:val="center"/>
          </w:tcPr>
          <w:p w:rsidR="00B01673" w:rsidRDefault="0021488F">
            <w:pPr>
              <w:jc w:val="right"/>
            </w:pPr>
            <w:r>
              <w:rPr>
                <w:rFonts w:eastAsiaTheme="minorEastAsia"/>
                <w:color w:val="000000" w:themeColor="text1"/>
                <w:szCs w:val="21"/>
              </w:rPr>
              <w:t>0.00%</w:t>
            </w:r>
          </w:p>
        </w:tc>
      </w:tr>
      <w:tr w:rsidR="00B01673">
        <w:tc>
          <w:tcPr>
            <w:tcW w:w="1290" w:type="dxa"/>
            <w:vAlign w:val="center"/>
          </w:tcPr>
          <w:p w:rsidR="00B01673" w:rsidRDefault="0021488F">
            <w:pPr>
              <w:jc w:val="left"/>
            </w:pPr>
            <w:r>
              <w:rPr>
                <w:rFonts w:eastAsiaTheme="minorEastAsia"/>
                <w:color w:val="000000" w:themeColor="text1"/>
                <w:szCs w:val="21"/>
              </w:rPr>
              <w:t>过去一年</w:t>
            </w:r>
          </w:p>
        </w:tc>
        <w:tc>
          <w:tcPr>
            <w:tcW w:w="1291" w:type="dxa"/>
            <w:vAlign w:val="center"/>
          </w:tcPr>
          <w:p w:rsidR="00B01673" w:rsidRDefault="0021488F">
            <w:pPr>
              <w:jc w:val="right"/>
            </w:pPr>
            <w:r>
              <w:rPr>
                <w:rFonts w:eastAsiaTheme="minorEastAsia"/>
                <w:color w:val="000000" w:themeColor="text1"/>
                <w:szCs w:val="21"/>
              </w:rPr>
              <w:t>2.12%</w:t>
            </w:r>
          </w:p>
        </w:tc>
        <w:tc>
          <w:tcPr>
            <w:tcW w:w="1291" w:type="dxa"/>
            <w:vAlign w:val="center"/>
          </w:tcPr>
          <w:p w:rsidR="00B01673" w:rsidRDefault="0021488F">
            <w:pPr>
              <w:jc w:val="right"/>
            </w:pPr>
            <w:r>
              <w:rPr>
                <w:rFonts w:eastAsiaTheme="minorEastAsia"/>
                <w:color w:val="000000" w:themeColor="text1"/>
                <w:szCs w:val="21"/>
              </w:rPr>
              <w:t>0.01%</w:t>
            </w:r>
          </w:p>
        </w:tc>
        <w:tc>
          <w:tcPr>
            <w:tcW w:w="1291" w:type="dxa"/>
            <w:vAlign w:val="center"/>
          </w:tcPr>
          <w:p w:rsidR="00B01673" w:rsidRDefault="0021488F">
            <w:pPr>
              <w:jc w:val="right"/>
            </w:pPr>
            <w:r>
              <w:rPr>
                <w:rFonts w:eastAsiaTheme="minorEastAsia"/>
                <w:color w:val="000000" w:themeColor="text1"/>
                <w:szCs w:val="21"/>
              </w:rPr>
              <w:t>3.80%</w:t>
            </w:r>
          </w:p>
        </w:tc>
        <w:tc>
          <w:tcPr>
            <w:tcW w:w="1291" w:type="dxa"/>
            <w:vAlign w:val="center"/>
          </w:tcPr>
          <w:p w:rsidR="00B01673" w:rsidRDefault="0021488F">
            <w:pPr>
              <w:jc w:val="right"/>
            </w:pPr>
            <w:r>
              <w:rPr>
                <w:rFonts w:eastAsiaTheme="minorEastAsia"/>
                <w:color w:val="000000" w:themeColor="text1"/>
                <w:szCs w:val="21"/>
              </w:rPr>
              <w:t>0.01%</w:t>
            </w:r>
          </w:p>
        </w:tc>
        <w:tc>
          <w:tcPr>
            <w:tcW w:w="1291" w:type="dxa"/>
            <w:vAlign w:val="center"/>
          </w:tcPr>
          <w:p w:rsidR="00B01673" w:rsidRDefault="0021488F">
            <w:pPr>
              <w:jc w:val="right"/>
            </w:pPr>
            <w:r>
              <w:rPr>
                <w:rFonts w:eastAsiaTheme="minorEastAsia"/>
                <w:color w:val="000000" w:themeColor="text1"/>
                <w:szCs w:val="21"/>
              </w:rPr>
              <w:t>-1.68%</w:t>
            </w:r>
          </w:p>
        </w:tc>
        <w:tc>
          <w:tcPr>
            <w:tcW w:w="1291" w:type="dxa"/>
            <w:vAlign w:val="center"/>
          </w:tcPr>
          <w:p w:rsidR="00B01673" w:rsidRDefault="0021488F">
            <w:pPr>
              <w:jc w:val="right"/>
            </w:pPr>
            <w:r>
              <w:rPr>
                <w:rFonts w:eastAsiaTheme="minorEastAsia"/>
                <w:color w:val="000000" w:themeColor="text1"/>
                <w:szCs w:val="21"/>
              </w:rPr>
              <w:t>0.00%</w:t>
            </w:r>
          </w:p>
        </w:tc>
      </w:tr>
      <w:tr w:rsidR="00B01673">
        <w:tc>
          <w:tcPr>
            <w:tcW w:w="1290" w:type="dxa"/>
            <w:vAlign w:val="center"/>
          </w:tcPr>
          <w:p w:rsidR="00B01673" w:rsidRDefault="0021488F">
            <w:pPr>
              <w:jc w:val="left"/>
            </w:pPr>
            <w:r>
              <w:rPr>
                <w:rFonts w:eastAsiaTheme="minorEastAsia"/>
                <w:color w:val="000000" w:themeColor="text1"/>
                <w:szCs w:val="21"/>
              </w:rPr>
              <w:t>过去三年</w:t>
            </w:r>
          </w:p>
        </w:tc>
        <w:tc>
          <w:tcPr>
            <w:tcW w:w="1291" w:type="dxa"/>
            <w:vAlign w:val="center"/>
          </w:tcPr>
          <w:p w:rsidR="00B01673" w:rsidRDefault="0021488F">
            <w:pPr>
              <w:jc w:val="right"/>
            </w:pPr>
            <w:r>
              <w:rPr>
                <w:rFonts w:eastAsiaTheme="minorEastAsia"/>
                <w:color w:val="000000" w:themeColor="text1"/>
                <w:szCs w:val="21"/>
              </w:rPr>
              <w:t>-</w:t>
            </w:r>
          </w:p>
        </w:tc>
        <w:tc>
          <w:tcPr>
            <w:tcW w:w="1291" w:type="dxa"/>
            <w:vAlign w:val="center"/>
          </w:tcPr>
          <w:p w:rsidR="00B01673" w:rsidRDefault="0021488F">
            <w:pPr>
              <w:jc w:val="right"/>
            </w:pPr>
            <w:r>
              <w:rPr>
                <w:rFonts w:eastAsiaTheme="minorEastAsia"/>
                <w:color w:val="000000" w:themeColor="text1"/>
                <w:szCs w:val="21"/>
              </w:rPr>
              <w:t>-</w:t>
            </w:r>
          </w:p>
        </w:tc>
        <w:tc>
          <w:tcPr>
            <w:tcW w:w="1291" w:type="dxa"/>
            <w:vAlign w:val="center"/>
          </w:tcPr>
          <w:p w:rsidR="00B01673" w:rsidRDefault="0021488F">
            <w:pPr>
              <w:jc w:val="right"/>
            </w:pPr>
            <w:r>
              <w:rPr>
                <w:rFonts w:eastAsiaTheme="minorEastAsia"/>
                <w:color w:val="000000" w:themeColor="text1"/>
                <w:szCs w:val="21"/>
              </w:rPr>
              <w:t>-</w:t>
            </w:r>
          </w:p>
        </w:tc>
        <w:tc>
          <w:tcPr>
            <w:tcW w:w="1291" w:type="dxa"/>
            <w:vAlign w:val="center"/>
          </w:tcPr>
          <w:p w:rsidR="00B01673" w:rsidRDefault="0021488F">
            <w:pPr>
              <w:jc w:val="right"/>
            </w:pPr>
            <w:r>
              <w:rPr>
                <w:rFonts w:eastAsiaTheme="minorEastAsia"/>
                <w:color w:val="000000" w:themeColor="text1"/>
                <w:szCs w:val="21"/>
              </w:rPr>
              <w:t>-</w:t>
            </w:r>
          </w:p>
        </w:tc>
        <w:tc>
          <w:tcPr>
            <w:tcW w:w="1291" w:type="dxa"/>
            <w:vAlign w:val="center"/>
          </w:tcPr>
          <w:p w:rsidR="00B01673" w:rsidRDefault="0021488F">
            <w:pPr>
              <w:jc w:val="right"/>
            </w:pPr>
            <w:r>
              <w:rPr>
                <w:rFonts w:eastAsiaTheme="minorEastAsia"/>
                <w:color w:val="000000" w:themeColor="text1"/>
                <w:szCs w:val="21"/>
              </w:rPr>
              <w:t>-</w:t>
            </w:r>
          </w:p>
        </w:tc>
        <w:tc>
          <w:tcPr>
            <w:tcW w:w="1291" w:type="dxa"/>
            <w:vAlign w:val="center"/>
          </w:tcPr>
          <w:p w:rsidR="00B01673" w:rsidRDefault="0021488F">
            <w:pPr>
              <w:jc w:val="right"/>
            </w:pPr>
            <w:r>
              <w:rPr>
                <w:rFonts w:eastAsiaTheme="minorEastAsia"/>
                <w:color w:val="000000" w:themeColor="text1"/>
                <w:szCs w:val="21"/>
              </w:rPr>
              <w:t>-</w:t>
            </w:r>
          </w:p>
        </w:tc>
      </w:tr>
      <w:tr w:rsidR="00B01673">
        <w:tc>
          <w:tcPr>
            <w:tcW w:w="1290" w:type="dxa"/>
            <w:vAlign w:val="center"/>
          </w:tcPr>
          <w:p w:rsidR="00B01673" w:rsidRDefault="0021488F">
            <w:pPr>
              <w:jc w:val="left"/>
            </w:pPr>
            <w:r>
              <w:rPr>
                <w:rFonts w:eastAsiaTheme="minorEastAsia"/>
                <w:color w:val="000000" w:themeColor="text1"/>
                <w:szCs w:val="21"/>
              </w:rPr>
              <w:t>过去五年</w:t>
            </w:r>
          </w:p>
        </w:tc>
        <w:tc>
          <w:tcPr>
            <w:tcW w:w="1291" w:type="dxa"/>
            <w:vAlign w:val="center"/>
          </w:tcPr>
          <w:p w:rsidR="00B01673" w:rsidRDefault="0021488F">
            <w:pPr>
              <w:jc w:val="right"/>
            </w:pPr>
            <w:r>
              <w:rPr>
                <w:rFonts w:eastAsiaTheme="minorEastAsia"/>
                <w:color w:val="000000" w:themeColor="text1"/>
                <w:szCs w:val="21"/>
              </w:rPr>
              <w:t>-</w:t>
            </w:r>
          </w:p>
        </w:tc>
        <w:tc>
          <w:tcPr>
            <w:tcW w:w="1291" w:type="dxa"/>
            <w:vAlign w:val="center"/>
          </w:tcPr>
          <w:p w:rsidR="00B01673" w:rsidRDefault="0021488F">
            <w:pPr>
              <w:jc w:val="right"/>
            </w:pPr>
            <w:r>
              <w:rPr>
                <w:rFonts w:eastAsiaTheme="minorEastAsia"/>
                <w:color w:val="000000" w:themeColor="text1"/>
                <w:szCs w:val="21"/>
              </w:rPr>
              <w:t>-</w:t>
            </w:r>
          </w:p>
        </w:tc>
        <w:tc>
          <w:tcPr>
            <w:tcW w:w="1291" w:type="dxa"/>
            <w:vAlign w:val="center"/>
          </w:tcPr>
          <w:p w:rsidR="00B01673" w:rsidRDefault="0021488F">
            <w:pPr>
              <w:jc w:val="right"/>
            </w:pPr>
            <w:r>
              <w:rPr>
                <w:rFonts w:eastAsiaTheme="minorEastAsia"/>
                <w:color w:val="000000" w:themeColor="text1"/>
                <w:szCs w:val="21"/>
              </w:rPr>
              <w:t>-</w:t>
            </w:r>
          </w:p>
        </w:tc>
        <w:tc>
          <w:tcPr>
            <w:tcW w:w="1291" w:type="dxa"/>
            <w:vAlign w:val="center"/>
          </w:tcPr>
          <w:p w:rsidR="00B01673" w:rsidRDefault="0021488F">
            <w:pPr>
              <w:jc w:val="right"/>
            </w:pPr>
            <w:r>
              <w:rPr>
                <w:rFonts w:eastAsiaTheme="minorEastAsia"/>
                <w:color w:val="000000" w:themeColor="text1"/>
                <w:szCs w:val="21"/>
              </w:rPr>
              <w:t>-</w:t>
            </w:r>
          </w:p>
        </w:tc>
        <w:tc>
          <w:tcPr>
            <w:tcW w:w="1291" w:type="dxa"/>
            <w:vAlign w:val="center"/>
          </w:tcPr>
          <w:p w:rsidR="00B01673" w:rsidRDefault="0021488F">
            <w:pPr>
              <w:jc w:val="right"/>
            </w:pPr>
            <w:r>
              <w:rPr>
                <w:rFonts w:eastAsiaTheme="minorEastAsia"/>
                <w:color w:val="000000" w:themeColor="text1"/>
                <w:szCs w:val="21"/>
              </w:rPr>
              <w:t>-</w:t>
            </w:r>
          </w:p>
        </w:tc>
        <w:tc>
          <w:tcPr>
            <w:tcW w:w="1291" w:type="dxa"/>
            <w:vAlign w:val="center"/>
          </w:tcPr>
          <w:p w:rsidR="00B01673" w:rsidRDefault="0021488F">
            <w:pPr>
              <w:jc w:val="right"/>
            </w:pPr>
            <w:r>
              <w:rPr>
                <w:rFonts w:eastAsiaTheme="minorEastAsia"/>
                <w:color w:val="000000" w:themeColor="text1"/>
                <w:szCs w:val="21"/>
              </w:rPr>
              <w:t>-</w:t>
            </w:r>
          </w:p>
        </w:tc>
      </w:tr>
      <w:tr w:rsidR="00B01673">
        <w:tc>
          <w:tcPr>
            <w:tcW w:w="1290" w:type="dxa"/>
            <w:vAlign w:val="center"/>
          </w:tcPr>
          <w:p w:rsidR="00B01673" w:rsidRDefault="0021488F">
            <w:pPr>
              <w:jc w:val="left"/>
            </w:pPr>
            <w:r>
              <w:rPr>
                <w:rFonts w:eastAsiaTheme="minorEastAsia"/>
                <w:color w:val="000000" w:themeColor="text1"/>
                <w:szCs w:val="21"/>
              </w:rPr>
              <w:t>自基金合同生效起至今</w:t>
            </w:r>
          </w:p>
        </w:tc>
        <w:tc>
          <w:tcPr>
            <w:tcW w:w="1291" w:type="dxa"/>
            <w:vAlign w:val="center"/>
          </w:tcPr>
          <w:p w:rsidR="00B01673" w:rsidRDefault="0021488F">
            <w:pPr>
              <w:jc w:val="right"/>
            </w:pPr>
            <w:r>
              <w:rPr>
                <w:rFonts w:eastAsiaTheme="minorEastAsia"/>
                <w:color w:val="000000" w:themeColor="text1"/>
                <w:szCs w:val="21"/>
              </w:rPr>
              <w:t>2.50%</w:t>
            </w:r>
          </w:p>
        </w:tc>
        <w:tc>
          <w:tcPr>
            <w:tcW w:w="1291" w:type="dxa"/>
            <w:vAlign w:val="center"/>
          </w:tcPr>
          <w:p w:rsidR="00B01673" w:rsidRDefault="0021488F">
            <w:pPr>
              <w:jc w:val="right"/>
            </w:pPr>
            <w:r>
              <w:rPr>
                <w:rFonts w:eastAsiaTheme="minorEastAsia"/>
                <w:color w:val="000000" w:themeColor="text1"/>
                <w:szCs w:val="21"/>
              </w:rPr>
              <w:t>0.01%</w:t>
            </w:r>
          </w:p>
        </w:tc>
        <w:tc>
          <w:tcPr>
            <w:tcW w:w="1291" w:type="dxa"/>
            <w:vAlign w:val="center"/>
          </w:tcPr>
          <w:p w:rsidR="00B01673" w:rsidRDefault="0021488F">
            <w:pPr>
              <w:jc w:val="right"/>
            </w:pPr>
            <w:r>
              <w:rPr>
                <w:rFonts w:eastAsiaTheme="minorEastAsia"/>
                <w:color w:val="000000" w:themeColor="text1"/>
                <w:szCs w:val="21"/>
              </w:rPr>
              <w:t>4.90%</w:t>
            </w:r>
          </w:p>
        </w:tc>
        <w:tc>
          <w:tcPr>
            <w:tcW w:w="1291" w:type="dxa"/>
            <w:vAlign w:val="center"/>
          </w:tcPr>
          <w:p w:rsidR="00B01673" w:rsidRDefault="0021488F">
            <w:pPr>
              <w:jc w:val="right"/>
            </w:pPr>
            <w:r>
              <w:rPr>
                <w:rFonts w:eastAsiaTheme="minorEastAsia"/>
                <w:color w:val="000000" w:themeColor="text1"/>
                <w:szCs w:val="21"/>
              </w:rPr>
              <w:t>0.01%</w:t>
            </w:r>
          </w:p>
        </w:tc>
        <w:tc>
          <w:tcPr>
            <w:tcW w:w="1291" w:type="dxa"/>
            <w:vAlign w:val="center"/>
          </w:tcPr>
          <w:p w:rsidR="00B01673" w:rsidRDefault="0021488F">
            <w:pPr>
              <w:jc w:val="right"/>
            </w:pPr>
            <w:r>
              <w:rPr>
                <w:rFonts w:eastAsiaTheme="minorEastAsia"/>
                <w:color w:val="000000" w:themeColor="text1"/>
                <w:szCs w:val="21"/>
              </w:rPr>
              <w:t>-2.40%</w:t>
            </w:r>
          </w:p>
        </w:tc>
        <w:tc>
          <w:tcPr>
            <w:tcW w:w="1291" w:type="dxa"/>
            <w:vAlign w:val="center"/>
          </w:tcPr>
          <w:p w:rsidR="00B01673" w:rsidRDefault="0021488F">
            <w:pPr>
              <w:jc w:val="right"/>
            </w:pPr>
            <w:r>
              <w:rPr>
                <w:rFonts w:eastAsiaTheme="minorEastAsia"/>
                <w:color w:val="000000" w:themeColor="text1"/>
                <w:szCs w:val="21"/>
              </w:rPr>
              <w:t>0.00%</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上投摩根瑞泰</w:t>
      </w:r>
      <w:r w:rsidRPr="00B27A29">
        <w:rPr>
          <w:rFonts w:eastAsiaTheme="minorEastAsia"/>
          <w:b/>
          <w:color w:val="000000" w:themeColor="text1"/>
          <w:kern w:val="0"/>
          <w:szCs w:val="21"/>
        </w:rPr>
        <w:t>38</w:t>
      </w:r>
      <w:r w:rsidRPr="00B27A29">
        <w:rPr>
          <w:rFonts w:eastAsiaTheme="minorEastAsia"/>
          <w:b/>
          <w:color w:val="000000" w:themeColor="text1"/>
          <w:kern w:val="0"/>
          <w:szCs w:val="21"/>
        </w:rPr>
        <w:t>个月定期开放债券</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B01673">
        <w:tc>
          <w:tcPr>
            <w:tcW w:w="1290" w:type="dxa"/>
            <w:vAlign w:val="center"/>
          </w:tcPr>
          <w:p w:rsidR="00B01673" w:rsidRDefault="0021488F">
            <w:pPr>
              <w:jc w:val="left"/>
            </w:pPr>
            <w:r>
              <w:rPr>
                <w:rFonts w:eastAsiaTheme="minorEastAsia"/>
                <w:color w:val="000000" w:themeColor="text1"/>
                <w:szCs w:val="21"/>
              </w:rPr>
              <w:t>过去三个月</w:t>
            </w:r>
          </w:p>
        </w:tc>
        <w:tc>
          <w:tcPr>
            <w:tcW w:w="1291" w:type="dxa"/>
            <w:vAlign w:val="center"/>
          </w:tcPr>
          <w:p w:rsidR="00B01673" w:rsidRDefault="0021488F">
            <w:pPr>
              <w:jc w:val="right"/>
            </w:pPr>
            <w:r>
              <w:rPr>
                <w:rFonts w:eastAsiaTheme="minorEastAsia"/>
                <w:color w:val="000000" w:themeColor="text1"/>
                <w:szCs w:val="21"/>
              </w:rPr>
              <w:t>0.64%</w:t>
            </w:r>
          </w:p>
        </w:tc>
        <w:tc>
          <w:tcPr>
            <w:tcW w:w="1291" w:type="dxa"/>
            <w:vAlign w:val="center"/>
          </w:tcPr>
          <w:p w:rsidR="00B01673" w:rsidRDefault="0021488F">
            <w:pPr>
              <w:jc w:val="right"/>
            </w:pPr>
            <w:r>
              <w:rPr>
                <w:rFonts w:eastAsiaTheme="minorEastAsia"/>
                <w:color w:val="000000" w:themeColor="text1"/>
                <w:szCs w:val="21"/>
              </w:rPr>
              <w:t>0.01%</w:t>
            </w:r>
          </w:p>
        </w:tc>
        <w:tc>
          <w:tcPr>
            <w:tcW w:w="1291" w:type="dxa"/>
            <w:vAlign w:val="center"/>
          </w:tcPr>
          <w:p w:rsidR="00B01673" w:rsidRDefault="0021488F">
            <w:pPr>
              <w:jc w:val="right"/>
            </w:pPr>
            <w:r>
              <w:rPr>
                <w:rFonts w:eastAsiaTheme="minorEastAsia"/>
                <w:color w:val="000000" w:themeColor="text1"/>
                <w:szCs w:val="21"/>
              </w:rPr>
              <w:t>0.95%</w:t>
            </w:r>
          </w:p>
        </w:tc>
        <w:tc>
          <w:tcPr>
            <w:tcW w:w="1291" w:type="dxa"/>
            <w:vAlign w:val="center"/>
          </w:tcPr>
          <w:p w:rsidR="00B01673" w:rsidRDefault="0021488F">
            <w:pPr>
              <w:jc w:val="right"/>
            </w:pPr>
            <w:r>
              <w:rPr>
                <w:rFonts w:eastAsiaTheme="minorEastAsia"/>
                <w:color w:val="000000" w:themeColor="text1"/>
                <w:szCs w:val="21"/>
              </w:rPr>
              <w:t>0.01%</w:t>
            </w:r>
          </w:p>
        </w:tc>
        <w:tc>
          <w:tcPr>
            <w:tcW w:w="1291" w:type="dxa"/>
            <w:vAlign w:val="center"/>
          </w:tcPr>
          <w:p w:rsidR="00B01673" w:rsidRDefault="0021488F">
            <w:pPr>
              <w:jc w:val="right"/>
            </w:pPr>
            <w:r>
              <w:rPr>
                <w:rFonts w:eastAsiaTheme="minorEastAsia"/>
                <w:color w:val="000000" w:themeColor="text1"/>
                <w:szCs w:val="21"/>
              </w:rPr>
              <w:t>-0.31%</w:t>
            </w:r>
          </w:p>
        </w:tc>
        <w:tc>
          <w:tcPr>
            <w:tcW w:w="1291" w:type="dxa"/>
            <w:vAlign w:val="center"/>
          </w:tcPr>
          <w:p w:rsidR="00B01673" w:rsidRDefault="0021488F">
            <w:pPr>
              <w:jc w:val="right"/>
            </w:pPr>
            <w:r>
              <w:rPr>
                <w:rFonts w:eastAsiaTheme="minorEastAsia"/>
                <w:color w:val="000000" w:themeColor="text1"/>
                <w:szCs w:val="21"/>
              </w:rPr>
              <w:t>0.00%</w:t>
            </w:r>
          </w:p>
        </w:tc>
      </w:tr>
      <w:tr w:rsidR="00B01673">
        <w:tc>
          <w:tcPr>
            <w:tcW w:w="1290" w:type="dxa"/>
            <w:vAlign w:val="center"/>
          </w:tcPr>
          <w:p w:rsidR="00B01673" w:rsidRDefault="0021488F">
            <w:pPr>
              <w:jc w:val="left"/>
            </w:pPr>
            <w:r>
              <w:rPr>
                <w:rFonts w:eastAsiaTheme="minorEastAsia"/>
                <w:color w:val="000000" w:themeColor="text1"/>
                <w:szCs w:val="21"/>
              </w:rPr>
              <w:t>过去六个月</w:t>
            </w:r>
          </w:p>
        </w:tc>
        <w:tc>
          <w:tcPr>
            <w:tcW w:w="1291" w:type="dxa"/>
            <w:vAlign w:val="center"/>
          </w:tcPr>
          <w:p w:rsidR="00B01673" w:rsidRDefault="0021488F">
            <w:pPr>
              <w:jc w:val="right"/>
            </w:pPr>
            <w:r>
              <w:rPr>
                <w:rFonts w:eastAsiaTheme="minorEastAsia"/>
                <w:color w:val="000000" w:themeColor="text1"/>
                <w:szCs w:val="21"/>
              </w:rPr>
              <w:t>1.19%</w:t>
            </w:r>
          </w:p>
        </w:tc>
        <w:tc>
          <w:tcPr>
            <w:tcW w:w="1291" w:type="dxa"/>
            <w:vAlign w:val="center"/>
          </w:tcPr>
          <w:p w:rsidR="00B01673" w:rsidRDefault="0021488F">
            <w:pPr>
              <w:jc w:val="right"/>
            </w:pPr>
            <w:r>
              <w:rPr>
                <w:rFonts w:eastAsiaTheme="minorEastAsia"/>
                <w:color w:val="000000" w:themeColor="text1"/>
                <w:szCs w:val="21"/>
              </w:rPr>
              <w:t>0.01%</w:t>
            </w:r>
          </w:p>
        </w:tc>
        <w:tc>
          <w:tcPr>
            <w:tcW w:w="1291" w:type="dxa"/>
            <w:vAlign w:val="center"/>
          </w:tcPr>
          <w:p w:rsidR="00B01673" w:rsidRDefault="0021488F">
            <w:pPr>
              <w:jc w:val="right"/>
            </w:pPr>
            <w:r>
              <w:rPr>
                <w:rFonts w:eastAsiaTheme="minorEastAsia"/>
                <w:color w:val="000000" w:themeColor="text1"/>
                <w:szCs w:val="21"/>
              </w:rPr>
              <w:t>1.89%</w:t>
            </w:r>
          </w:p>
        </w:tc>
        <w:tc>
          <w:tcPr>
            <w:tcW w:w="1291" w:type="dxa"/>
            <w:vAlign w:val="center"/>
          </w:tcPr>
          <w:p w:rsidR="00B01673" w:rsidRDefault="0021488F">
            <w:pPr>
              <w:jc w:val="right"/>
            </w:pPr>
            <w:r>
              <w:rPr>
                <w:rFonts w:eastAsiaTheme="minorEastAsia"/>
                <w:color w:val="000000" w:themeColor="text1"/>
                <w:szCs w:val="21"/>
              </w:rPr>
              <w:t>0.01%</w:t>
            </w:r>
          </w:p>
        </w:tc>
        <w:tc>
          <w:tcPr>
            <w:tcW w:w="1291" w:type="dxa"/>
            <w:vAlign w:val="center"/>
          </w:tcPr>
          <w:p w:rsidR="00B01673" w:rsidRDefault="0021488F">
            <w:pPr>
              <w:jc w:val="right"/>
            </w:pPr>
            <w:r>
              <w:rPr>
                <w:rFonts w:eastAsiaTheme="minorEastAsia"/>
                <w:color w:val="000000" w:themeColor="text1"/>
                <w:szCs w:val="21"/>
              </w:rPr>
              <w:t>-0.70%</w:t>
            </w:r>
          </w:p>
        </w:tc>
        <w:tc>
          <w:tcPr>
            <w:tcW w:w="1291" w:type="dxa"/>
            <w:vAlign w:val="center"/>
          </w:tcPr>
          <w:p w:rsidR="00B01673" w:rsidRDefault="0021488F">
            <w:pPr>
              <w:jc w:val="right"/>
            </w:pPr>
            <w:r>
              <w:rPr>
                <w:rFonts w:eastAsiaTheme="minorEastAsia"/>
                <w:color w:val="000000" w:themeColor="text1"/>
                <w:szCs w:val="21"/>
              </w:rPr>
              <w:t>0.00%</w:t>
            </w:r>
          </w:p>
        </w:tc>
      </w:tr>
      <w:tr w:rsidR="00B01673">
        <w:tc>
          <w:tcPr>
            <w:tcW w:w="1290" w:type="dxa"/>
            <w:vAlign w:val="center"/>
          </w:tcPr>
          <w:p w:rsidR="00B01673" w:rsidRDefault="0021488F">
            <w:pPr>
              <w:jc w:val="left"/>
            </w:pPr>
            <w:r>
              <w:rPr>
                <w:rFonts w:eastAsiaTheme="minorEastAsia"/>
                <w:color w:val="000000" w:themeColor="text1"/>
                <w:szCs w:val="21"/>
              </w:rPr>
              <w:t>过去一年</w:t>
            </w:r>
          </w:p>
        </w:tc>
        <w:tc>
          <w:tcPr>
            <w:tcW w:w="1291" w:type="dxa"/>
            <w:vAlign w:val="center"/>
          </w:tcPr>
          <w:p w:rsidR="00B01673" w:rsidRDefault="0021488F">
            <w:pPr>
              <w:jc w:val="right"/>
            </w:pPr>
            <w:r>
              <w:rPr>
                <w:rFonts w:eastAsiaTheme="minorEastAsia"/>
                <w:color w:val="000000" w:themeColor="text1"/>
                <w:szCs w:val="21"/>
              </w:rPr>
              <w:t>1.85%</w:t>
            </w:r>
          </w:p>
        </w:tc>
        <w:tc>
          <w:tcPr>
            <w:tcW w:w="1291" w:type="dxa"/>
            <w:vAlign w:val="center"/>
          </w:tcPr>
          <w:p w:rsidR="00B01673" w:rsidRDefault="0021488F">
            <w:pPr>
              <w:jc w:val="right"/>
            </w:pPr>
            <w:r>
              <w:rPr>
                <w:rFonts w:eastAsiaTheme="minorEastAsia"/>
                <w:color w:val="000000" w:themeColor="text1"/>
                <w:szCs w:val="21"/>
              </w:rPr>
              <w:t>0.01%</w:t>
            </w:r>
          </w:p>
        </w:tc>
        <w:tc>
          <w:tcPr>
            <w:tcW w:w="1291" w:type="dxa"/>
            <w:vAlign w:val="center"/>
          </w:tcPr>
          <w:p w:rsidR="00B01673" w:rsidRDefault="0021488F">
            <w:pPr>
              <w:jc w:val="right"/>
            </w:pPr>
            <w:r>
              <w:rPr>
                <w:rFonts w:eastAsiaTheme="minorEastAsia"/>
                <w:color w:val="000000" w:themeColor="text1"/>
                <w:szCs w:val="21"/>
              </w:rPr>
              <w:t>3.80%</w:t>
            </w:r>
          </w:p>
        </w:tc>
        <w:tc>
          <w:tcPr>
            <w:tcW w:w="1291" w:type="dxa"/>
            <w:vAlign w:val="center"/>
          </w:tcPr>
          <w:p w:rsidR="00B01673" w:rsidRDefault="0021488F">
            <w:pPr>
              <w:jc w:val="right"/>
            </w:pPr>
            <w:r>
              <w:rPr>
                <w:rFonts w:eastAsiaTheme="minorEastAsia"/>
                <w:color w:val="000000" w:themeColor="text1"/>
                <w:szCs w:val="21"/>
              </w:rPr>
              <w:t>0.01%</w:t>
            </w:r>
          </w:p>
        </w:tc>
        <w:tc>
          <w:tcPr>
            <w:tcW w:w="1291" w:type="dxa"/>
            <w:vAlign w:val="center"/>
          </w:tcPr>
          <w:p w:rsidR="00B01673" w:rsidRDefault="0021488F">
            <w:pPr>
              <w:jc w:val="right"/>
            </w:pPr>
            <w:r>
              <w:rPr>
                <w:rFonts w:eastAsiaTheme="minorEastAsia"/>
                <w:color w:val="000000" w:themeColor="text1"/>
                <w:szCs w:val="21"/>
              </w:rPr>
              <w:t>-1.95%</w:t>
            </w:r>
          </w:p>
        </w:tc>
        <w:tc>
          <w:tcPr>
            <w:tcW w:w="1291" w:type="dxa"/>
            <w:vAlign w:val="center"/>
          </w:tcPr>
          <w:p w:rsidR="00B01673" w:rsidRDefault="0021488F">
            <w:pPr>
              <w:jc w:val="right"/>
            </w:pPr>
            <w:r>
              <w:rPr>
                <w:rFonts w:eastAsiaTheme="minorEastAsia"/>
                <w:color w:val="000000" w:themeColor="text1"/>
                <w:szCs w:val="21"/>
              </w:rPr>
              <w:t>0.00%</w:t>
            </w:r>
          </w:p>
        </w:tc>
      </w:tr>
      <w:tr w:rsidR="00B01673">
        <w:tc>
          <w:tcPr>
            <w:tcW w:w="1290" w:type="dxa"/>
            <w:vAlign w:val="center"/>
          </w:tcPr>
          <w:p w:rsidR="00B01673" w:rsidRDefault="0021488F">
            <w:pPr>
              <w:jc w:val="left"/>
            </w:pPr>
            <w:r>
              <w:rPr>
                <w:rFonts w:eastAsiaTheme="minorEastAsia"/>
                <w:color w:val="000000" w:themeColor="text1"/>
                <w:szCs w:val="21"/>
              </w:rPr>
              <w:t>过去三年</w:t>
            </w:r>
          </w:p>
        </w:tc>
        <w:tc>
          <w:tcPr>
            <w:tcW w:w="1291" w:type="dxa"/>
            <w:vAlign w:val="center"/>
          </w:tcPr>
          <w:p w:rsidR="00B01673" w:rsidRDefault="0021488F">
            <w:pPr>
              <w:jc w:val="right"/>
            </w:pPr>
            <w:r>
              <w:rPr>
                <w:rFonts w:eastAsiaTheme="minorEastAsia"/>
                <w:color w:val="000000" w:themeColor="text1"/>
                <w:szCs w:val="21"/>
              </w:rPr>
              <w:t>-</w:t>
            </w:r>
          </w:p>
        </w:tc>
        <w:tc>
          <w:tcPr>
            <w:tcW w:w="1291" w:type="dxa"/>
            <w:vAlign w:val="center"/>
          </w:tcPr>
          <w:p w:rsidR="00B01673" w:rsidRDefault="0021488F">
            <w:pPr>
              <w:jc w:val="right"/>
            </w:pPr>
            <w:r>
              <w:rPr>
                <w:rFonts w:eastAsiaTheme="minorEastAsia"/>
                <w:color w:val="000000" w:themeColor="text1"/>
                <w:szCs w:val="21"/>
              </w:rPr>
              <w:t>-</w:t>
            </w:r>
          </w:p>
        </w:tc>
        <w:tc>
          <w:tcPr>
            <w:tcW w:w="1291" w:type="dxa"/>
            <w:vAlign w:val="center"/>
          </w:tcPr>
          <w:p w:rsidR="00B01673" w:rsidRDefault="0021488F">
            <w:pPr>
              <w:jc w:val="right"/>
            </w:pPr>
            <w:r>
              <w:rPr>
                <w:rFonts w:eastAsiaTheme="minorEastAsia"/>
                <w:color w:val="000000" w:themeColor="text1"/>
                <w:szCs w:val="21"/>
              </w:rPr>
              <w:t>-</w:t>
            </w:r>
          </w:p>
        </w:tc>
        <w:tc>
          <w:tcPr>
            <w:tcW w:w="1291" w:type="dxa"/>
            <w:vAlign w:val="center"/>
          </w:tcPr>
          <w:p w:rsidR="00B01673" w:rsidRDefault="0021488F">
            <w:pPr>
              <w:jc w:val="right"/>
            </w:pPr>
            <w:r>
              <w:rPr>
                <w:rFonts w:eastAsiaTheme="minorEastAsia"/>
                <w:color w:val="000000" w:themeColor="text1"/>
                <w:szCs w:val="21"/>
              </w:rPr>
              <w:t>-</w:t>
            </w:r>
          </w:p>
        </w:tc>
        <w:tc>
          <w:tcPr>
            <w:tcW w:w="1291" w:type="dxa"/>
            <w:vAlign w:val="center"/>
          </w:tcPr>
          <w:p w:rsidR="00B01673" w:rsidRDefault="0021488F">
            <w:pPr>
              <w:jc w:val="right"/>
            </w:pPr>
            <w:r>
              <w:rPr>
                <w:rFonts w:eastAsiaTheme="minorEastAsia"/>
                <w:color w:val="000000" w:themeColor="text1"/>
                <w:szCs w:val="21"/>
              </w:rPr>
              <w:t>-</w:t>
            </w:r>
          </w:p>
        </w:tc>
        <w:tc>
          <w:tcPr>
            <w:tcW w:w="1291" w:type="dxa"/>
            <w:vAlign w:val="center"/>
          </w:tcPr>
          <w:p w:rsidR="00B01673" w:rsidRDefault="0021488F">
            <w:pPr>
              <w:jc w:val="right"/>
            </w:pPr>
            <w:r>
              <w:rPr>
                <w:rFonts w:eastAsiaTheme="minorEastAsia"/>
                <w:color w:val="000000" w:themeColor="text1"/>
                <w:szCs w:val="21"/>
              </w:rPr>
              <w:t>-</w:t>
            </w:r>
          </w:p>
        </w:tc>
      </w:tr>
      <w:tr w:rsidR="00B01673">
        <w:tc>
          <w:tcPr>
            <w:tcW w:w="1290" w:type="dxa"/>
            <w:vAlign w:val="center"/>
          </w:tcPr>
          <w:p w:rsidR="00B01673" w:rsidRDefault="0021488F">
            <w:pPr>
              <w:jc w:val="left"/>
            </w:pPr>
            <w:r>
              <w:rPr>
                <w:rFonts w:eastAsiaTheme="minorEastAsia"/>
                <w:color w:val="000000" w:themeColor="text1"/>
                <w:szCs w:val="21"/>
              </w:rPr>
              <w:t>过去五年</w:t>
            </w:r>
          </w:p>
        </w:tc>
        <w:tc>
          <w:tcPr>
            <w:tcW w:w="1291" w:type="dxa"/>
            <w:vAlign w:val="center"/>
          </w:tcPr>
          <w:p w:rsidR="00B01673" w:rsidRDefault="0021488F">
            <w:pPr>
              <w:jc w:val="right"/>
            </w:pPr>
            <w:r>
              <w:rPr>
                <w:rFonts w:eastAsiaTheme="minorEastAsia"/>
                <w:color w:val="000000" w:themeColor="text1"/>
                <w:szCs w:val="21"/>
              </w:rPr>
              <w:t>-</w:t>
            </w:r>
          </w:p>
        </w:tc>
        <w:tc>
          <w:tcPr>
            <w:tcW w:w="1291" w:type="dxa"/>
            <w:vAlign w:val="center"/>
          </w:tcPr>
          <w:p w:rsidR="00B01673" w:rsidRDefault="0021488F">
            <w:pPr>
              <w:jc w:val="right"/>
            </w:pPr>
            <w:r>
              <w:rPr>
                <w:rFonts w:eastAsiaTheme="minorEastAsia"/>
                <w:color w:val="000000" w:themeColor="text1"/>
                <w:szCs w:val="21"/>
              </w:rPr>
              <w:t>-</w:t>
            </w:r>
          </w:p>
        </w:tc>
        <w:tc>
          <w:tcPr>
            <w:tcW w:w="1291" w:type="dxa"/>
            <w:vAlign w:val="center"/>
          </w:tcPr>
          <w:p w:rsidR="00B01673" w:rsidRDefault="0021488F">
            <w:pPr>
              <w:jc w:val="right"/>
            </w:pPr>
            <w:r>
              <w:rPr>
                <w:rFonts w:eastAsiaTheme="minorEastAsia"/>
                <w:color w:val="000000" w:themeColor="text1"/>
                <w:szCs w:val="21"/>
              </w:rPr>
              <w:t>-</w:t>
            </w:r>
          </w:p>
        </w:tc>
        <w:tc>
          <w:tcPr>
            <w:tcW w:w="1291" w:type="dxa"/>
            <w:vAlign w:val="center"/>
          </w:tcPr>
          <w:p w:rsidR="00B01673" w:rsidRDefault="0021488F">
            <w:pPr>
              <w:jc w:val="right"/>
            </w:pPr>
            <w:r>
              <w:rPr>
                <w:rFonts w:eastAsiaTheme="minorEastAsia"/>
                <w:color w:val="000000" w:themeColor="text1"/>
                <w:szCs w:val="21"/>
              </w:rPr>
              <w:t>-</w:t>
            </w:r>
          </w:p>
        </w:tc>
        <w:tc>
          <w:tcPr>
            <w:tcW w:w="1291" w:type="dxa"/>
            <w:vAlign w:val="center"/>
          </w:tcPr>
          <w:p w:rsidR="00B01673" w:rsidRDefault="0021488F">
            <w:pPr>
              <w:jc w:val="right"/>
            </w:pPr>
            <w:r>
              <w:rPr>
                <w:rFonts w:eastAsiaTheme="minorEastAsia"/>
                <w:color w:val="000000" w:themeColor="text1"/>
                <w:szCs w:val="21"/>
              </w:rPr>
              <w:t>-</w:t>
            </w:r>
          </w:p>
        </w:tc>
        <w:tc>
          <w:tcPr>
            <w:tcW w:w="1291" w:type="dxa"/>
            <w:vAlign w:val="center"/>
          </w:tcPr>
          <w:p w:rsidR="00B01673" w:rsidRDefault="0021488F">
            <w:pPr>
              <w:jc w:val="right"/>
            </w:pPr>
            <w:r>
              <w:rPr>
                <w:rFonts w:eastAsiaTheme="minorEastAsia"/>
                <w:color w:val="000000" w:themeColor="text1"/>
                <w:szCs w:val="21"/>
              </w:rPr>
              <w:t>-</w:t>
            </w:r>
          </w:p>
        </w:tc>
      </w:tr>
      <w:tr w:rsidR="00B01673">
        <w:tc>
          <w:tcPr>
            <w:tcW w:w="1290" w:type="dxa"/>
            <w:vAlign w:val="center"/>
          </w:tcPr>
          <w:p w:rsidR="00B01673" w:rsidRDefault="0021488F">
            <w:pPr>
              <w:jc w:val="left"/>
            </w:pPr>
            <w:r>
              <w:rPr>
                <w:rFonts w:eastAsiaTheme="minorEastAsia"/>
                <w:color w:val="000000" w:themeColor="text1"/>
                <w:szCs w:val="21"/>
              </w:rPr>
              <w:t>自基金合同生效起至今</w:t>
            </w:r>
          </w:p>
        </w:tc>
        <w:tc>
          <w:tcPr>
            <w:tcW w:w="1291" w:type="dxa"/>
            <w:vAlign w:val="center"/>
          </w:tcPr>
          <w:p w:rsidR="00B01673" w:rsidRDefault="0021488F">
            <w:pPr>
              <w:jc w:val="right"/>
            </w:pPr>
            <w:r>
              <w:rPr>
                <w:rFonts w:eastAsiaTheme="minorEastAsia"/>
                <w:color w:val="000000" w:themeColor="text1"/>
                <w:szCs w:val="21"/>
              </w:rPr>
              <w:t>2.17%</w:t>
            </w:r>
          </w:p>
        </w:tc>
        <w:tc>
          <w:tcPr>
            <w:tcW w:w="1291" w:type="dxa"/>
            <w:vAlign w:val="center"/>
          </w:tcPr>
          <w:p w:rsidR="00B01673" w:rsidRDefault="0021488F">
            <w:pPr>
              <w:jc w:val="right"/>
            </w:pPr>
            <w:r>
              <w:rPr>
                <w:rFonts w:eastAsiaTheme="minorEastAsia"/>
                <w:color w:val="000000" w:themeColor="text1"/>
                <w:szCs w:val="21"/>
              </w:rPr>
              <w:t>0.01%</w:t>
            </w:r>
          </w:p>
        </w:tc>
        <w:tc>
          <w:tcPr>
            <w:tcW w:w="1291" w:type="dxa"/>
            <w:vAlign w:val="center"/>
          </w:tcPr>
          <w:p w:rsidR="00B01673" w:rsidRDefault="0021488F">
            <w:pPr>
              <w:jc w:val="right"/>
            </w:pPr>
            <w:r>
              <w:rPr>
                <w:rFonts w:eastAsiaTheme="minorEastAsia"/>
                <w:color w:val="000000" w:themeColor="text1"/>
                <w:szCs w:val="21"/>
              </w:rPr>
              <w:t>4.90%</w:t>
            </w:r>
          </w:p>
        </w:tc>
        <w:tc>
          <w:tcPr>
            <w:tcW w:w="1291" w:type="dxa"/>
            <w:vAlign w:val="center"/>
          </w:tcPr>
          <w:p w:rsidR="00B01673" w:rsidRDefault="0021488F">
            <w:pPr>
              <w:jc w:val="right"/>
            </w:pPr>
            <w:r>
              <w:rPr>
                <w:rFonts w:eastAsiaTheme="minorEastAsia"/>
                <w:color w:val="000000" w:themeColor="text1"/>
                <w:szCs w:val="21"/>
              </w:rPr>
              <w:t>0.01%</w:t>
            </w:r>
          </w:p>
        </w:tc>
        <w:tc>
          <w:tcPr>
            <w:tcW w:w="1291" w:type="dxa"/>
            <w:vAlign w:val="center"/>
          </w:tcPr>
          <w:p w:rsidR="00B01673" w:rsidRDefault="0021488F">
            <w:pPr>
              <w:jc w:val="right"/>
            </w:pPr>
            <w:r>
              <w:rPr>
                <w:rFonts w:eastAsiaTheme="minorEastAsia"/>
                <w:color w:val="000000" w:themeColor="text1"/>
                <w:szCs w:val="21"/>
              </w:rPr>
              <w:t>-2.73%</w:t>
            </w:r>
          </w:p>
        </w:tc>
        <w:tc>
          <w:tcPr>
            <w:tcW w:w="1291" w:type="dxa"/>
            <w:vAlign w:val="center"/>
          </w:tcPr>
          <w:p w:rsidR="00B01673" w:rsidRDefault="0021488F">
            <w:pPr>
              <w:jc w:val="right"/>
            </w:pPr>
            <w:r>
              <w:rPr>
                <w:rFonts w:eastAsiaTheme="minorEastAsia"/>
                <w:color w:val="000000" w:themeColor="text1"/>
                <w:szCs w:val="21"/>
              </w:rPr>
              <w:t>0.00%</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上投摩根瑞泰</w:t>
      </w:r>
      <w:r w:rsidRPr="00B27A29">
        <w:rPr>
          <w:rFonts w:eastAsiaTheme="minorEastAsia"/>
          <w:color w:val="000000" w:themeColor="text1"/>
          <w:szCs w:val="21"/>
        </w:rPr>
        <w:t>38</w:t>
      </w:r>
      <w:r w:rsidRPr="00B27A29">
        <w:rPr>
          <w:rFonts w:eastAsiaTheme="minorEastAsia"/>
          <w:color w:val="000000" w:themeColor="text1"/>
          <w:szCs w:val="21"/>
        </w:rPr>
        <w:t>个月定期开放债券型证券投资基金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(2020</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3</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18</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2021</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6</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30</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．上投摩根瑞泰</w:t>
      </w:r>
      <w:r w:rsidRPr="00B27A29">
        <w:rPr>
          <w:rFonts w:eastAsiaTheme="minorEastAsia"/>
          <w:color w:val="000000" w:themeColor="text1"/>
          <w:szCs w:val="21"/>
        </w:rPr>
        <w:t>38</w:t>
      </w:r>
      <w:r w:rsidRPr="00B27A29">
        <w:rPr>
          <w:rFonts w:eastAsiaTheme="minorEastAsia"/>
          <w:color w:val="000000" w:themeColor="text1"/>
          <w:szCs w:val="21"/>
        </w:rPr>
        <w:t>个月定期开放债券</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lastRenderedPageBreak/>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B01673" w:rsidRDefault="0021488F">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18</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．上投摩根瑞泰</w:t>
      </w:r>
      <w:r w:rsidRPr="00B27A29">
        <w:rPr>
          <w:rFonts w:eastAsiaTheme="minorEastAsia"/>
          <w:color w:val="000000" w:themeColor="text1"/>
          <w:szCs w:val="21"/>
        </w:rPr>
        <w:t>38</w:t>
      </w:r>
      <w:r w:rsidRPr="00B27A29">
        <w:rPr>
          <w:rFonts w:eastAsiaTheme="minorEastAsia"/>
          <w:color w:val="000000" w:themeColor="text1"/>
          <w:szCs w:val="21"/>
        </w:rPr>
        <w:t>个月定期开放债券</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B01673" w:rsidRDefault="0021488F">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18</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w:t>
      </w:r>
      <w:r w:rsidRPr="00B27A29">
        <w:rPr>
          <w:rFonts w:eastAsiaTheme="minorEastAsia"/>
          <w:color w:val="000000" w:themeColor="text1"/>
          <w:szCs w:val="21"/>
        </w:rPr>
        <w:lastRenderedPageBreak/>
        <w:t>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B01673">
        <w:tc>
          <w:tcPr>
            <w:tcW w:w="952" w:type="dxa"/>
            <w:vAlign w:val="center"/>
          </w:tcPr>
          <w:p w:rsidR="00B01673" w:rsidRDefault="0021488F">
            <w:pPr>
              <w:jc w:val="center"/>
            </w:pPr>
            <w:r>
              <w:rPr>
                <w:rFonts w:eastAsiaTheme="minorEastAsia"/>
                <w:color w:val="000000" w:themeColor="text1"/>
                <w:szCs w:val="21"/>
              </w:rPr>
              <w:t>任翔</w:t>
            </w:r>
          </w:p>
        </w:tc>
        <w:tc>
          <w:tcPr>
            <w:tcW w:w="930" w:type="dxa"/>
            <w:vAlign w:val="center"/>
          </w:tcPr>
          <w:p w:rsidR="00B01673" w:rsidRDefault="0021488F">
            <w:pPr>
              <w:jc w:val="center"/>
            </w:pPr>
            <w:r>
              <w:rPr>
                <w:rFonts w:eastAsiaTheme="minorEastAsia"/>
                <w:color w:val="000000" w:themeColor="text1"/>
                <w:szCs w:val="21"/>
              </w:rPr>
              <w:t>本基金基金经理、固收研究部总监</w:t>
            </w:r>
          </w:p>
        </w:tc>
        <w:tc>
          <w:tcPr>
            <w:tcW w:w="1210" w:type="dxa"/>
            <w:vAlign w:val="center"/>
          </w:tcPr>
          <w:p w:rsidR="00B01673" w:rsidRDefault="0021488F">
            <w:pPr>
              <w:jc w:val="center"/>
            </w:pPr>
            <w:r>
              <w:rPr>
                <w:rFonts w:eastAsiaTheme="minorEastAsia"/>
                <w:color w:val="000000" w:themeColor="text1"/>
                <w:szCs w:val="21"/>
              </w:rPr>
              <w:t>2020-03-18</w:t>
            </w:r>
          </w:p>
        </w:tc>
        <w:tc>
          <w:tcPr>
            <w:tcW w:w="1309" w:type="dxa"/>
            <w:vAlign w:val="center"/>
          </w:tcPr>
          <w:p w:rsidR="00B01673" w:rsidRDefault="0021488F">
            <w:pPr>
              <w:jc w:val="center"/>
            </w:pPr>
            <w:r>
              <w:rPr>
                <w:rFonts w:eastAsiaTheme="minorEastAsia"/>
                <w:color w:val="000000" w:themeColor="text1"/>
                <w:szCs w:val="21"/>
              </w:rPr>
              <w:t>-</w:t>
            </w:r>
          </w:p>
        </w:tc>
        <w:tc>
          <w:tcPr>
            <w:tcW w:w="1254" w:type="dxa"/>
            <w:vAlign w:val="center"/>
          </w:tcPr>
          <w:p w:rsidR="00B01673" w:rsidRDefault="0021488F">
            <w:pPr>
              <w:jc w:val="center"/>
            </w:pPr>
            <w:r>
              <w:rPr>
                <w:rFonts w:eastAsiaTheme="minorEastAsia"/>
                <w:color w:val="000000" w:themeColor="text1"/>
                <w:szCs w:val="21"/>
              </w:rPr>
              <w:t>7</w:t>
            </w:r>
            <w:r>
              <w:rPr>
                <w:rFonts w:eastAsiaTheme="minorEastAsia"/>
                <w:color w:val="000000" w:themeColor="text1"/>
                <w:szCs w:val="21"/>
              </w:rPr>
              <w:t>年</w:t>
            </w:r>
          </w:p>
        </w:tc>
        <w:tc>
          <w:tcPr>
            <w:tcW w:w="3276" w:type="dxa"/>
            <w:vAlign w:val="center"/>
          </w:tcPr>
          <w:p w:rsidR="00B01673" w:rsidRDefault="0021488F">
            <w:r>
              <w:rPr>
                <w:rFonts w:eastAsiaTheme="minorEastAsia"/>
                <w:color w:val="000000" w:themeColor="text1"/>
                <w:szCs w:val="21"/>
              </w:rPr>
              <w:t>任翔先生，</w:t>
            </w:r>
            <w:r>
              <w:rPr>
                <w:rFonts w:eastAsiaTheme="minorEastAsia"/>
                <w:color w:val="000000" w:themeColor="text1"/>
                <w:szCs w:val="21"/>
              </w:rPr>
              <w:t>CFA</w:t>
            </w:r>
            <w:r>
              <w:rPr>
                <w:rFonts w:eastAsiaTheme="minorEastAsia"/>
                <w:color w:val="000000" w:themeColor="text1"/>
                <w:szCs w:val="21"/>
              </w:rPr>
              <w:t>，</w:t>
            </w:r>
            <w:r>
              <w:rPr>
                <w:rFonts w:eastAsiaTheme="minorEastAsia"/>
                <w:color w:val="000000" w:themeColor="text1"/>
                <w:szCs w:val="21"/>
              </w:rPr>
              <w:t>CPA</w:t>
            </w:r>
            <w:r>
              <w:rPr>
                <w:rFonts w:eastAsiaTheme="minorEastAsia"/>
                <w:color w:val="000000" w:themeColor="text1"/>
                <w:szCs w:val="21"/>
              </w:rPr>
              <w:t>，上海交通大学硕士，现任基金经理兼固收研究部总监。任翔先生自</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月至</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月，在德勤华永会计师事务所有限公司任高级审计师；</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月至</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月，在汇丰银行（中国）有限公司任客户审计经理；</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月起加入上投摩根基金管理有限公司，历任研究员、投资经理助理、投资经理兼债券研究部副总监、投资经理兼固收研究部总监，现任债券投资部基金经理兼固收研究部总监，自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月起任上投摩根瑞益纯债债券型证券投资基金基金经理，自</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月起同时担任上投摩根瑞泰</w:t>
            </w:r>
            <w:r>
              <w:rPr>
                <w:rFonts w:eastAsiaTheme="minorEastAsia"/>
                <w:color w:val="000000" w:themeColor="text1"/>
                <w:szCs w:val="21"/>
              </w:rPr>
              <w:t>38</w:t>
            </w:r>
            <w:r>
              <w:rPr>
                <w:rFonts w:eastAsiaTheme="minorEastAsia"/>
                <w:color w:val="000000" w:themeColor="text1"/>
                <w:szCs w:val="21"/>
              </w:rPr>
              <w:t>个月定期开放债券型证券投资基金基金经理，</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月同时担任上投摩根纯债添利债券型证券投资基金基金经理，</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月同时担任上投摩根瑞利纯债债券型证券投资基金基金经理，</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月同时担任上投摩根岁岁益定期开放债券型证券投资基金基金经理。</w:t>
            </w:r>
          </w:p>
        </w:tc>
      </w:tr>
    </w:tbl>
    <w:p w:rsidR="00B01673" w:rsidRDefault="0021488F">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任职日期和离任日期均指根据公司决定确定的聘任日期和解聘日期。</w:t>
      </w:r>
    </w:p>
    <w:p w:rsidR="00B01673" w:rsidRDefault="0021488F">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任翔先生为本基金首任基金经理，其任职日期为本基金基金合同生效之日。</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 xml:space="preserve">3. </w:t>
      </w:r>
      <w:r w:rsidRPr="00B27A29">
        <w:rPr>
          <w:rFonts w:eastAsiaTheme="minorEastAsia"/>
          <w:color w:val="000000" w:themeColor="text1"/>
          <w:szCs w:val="21"/>
        </w:rPr>
        <w:t>证券从业的含义遵从行业协会《证券业从业人员资格管理办法》的相关规定。</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lastRenderedPageBreak/>
        <w:t>在本报告期内，基金管理人不存在损害基金份额持有人利益的行为，勤勉尽责地为基金份额持有人谋求利益。基金管理人遵守了《证券投资基金法》及其他有关法律法规、《上投摩根瑞泰</w:t>
      </w:r>
      <w:r w:rsidRPr="00B27A29">
        <w:rPr>
          <w:rFonts w:eastAsiaTheme="minorEastAsia"/>
          <w:color w:val="000000" w:themeColor="text1"/>
          <w:szCs w:val="21"/>
        </w:rPr>
        <w:t>38</w:t>
      </w:r>
      <w:r w:rsidRPr="00B27A29">
        <w:rPr>
          <w:rFonts w:eastAsiaTheme="minorEastAsia"/>
          <w:color w:val="000000" w:themeColor="text1"/>
          <w:szCs w:val="21"/>
        </w:rPr>
        <w:t>个月定期开放债券型证券投资基金基金合同》的规定。基金经理对个股和投资组合的比例遵循了投资决策委员会的授权限制，基金投资比例符合基金合同和法律法规的要求。</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B01673" w:rsidRDefault="0021488F">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B01673" w:rsidRDefault="0021488F">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B01673" w:rsidRDefault="0021488F">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B01673" w:rsidRDefault="0021488F">
      <w:pPr>
        <w:spacing w:line="360" w:lineRule="auto"/>
        <w:ind w:firstLineChars="200" w:firstLine="420"/>
        <w:rPr>
          <w:rFonts w:eastAsiaTheme="minorEastAsia"/>
          <w:color w:val="000000" w:themeColor="text1"/>
          <w:szCs w:val="21"/>
        </w:rPr>
      </w:pPr>
      <w:r>
        <w:rPr>
          <w:rFonts w:eastAsiaTheme="minorEastAsia"/>
          <w:color w:val="000000" w:themeColor="text1"/>
          <w:szCs w:val="21"/>
        </w:rPr>
        <w:t>二季度债券市场主要围绕资金面和大宗商品价格运行。跨过一季度末后，资金面转松，市场对流动性收紧的担忧有所缓和，叠加</w:t>
      </w:r>
      <w:r>
        <w:rPr>
          <w:rFonts w:eastAsiaTheme="minorEastAsia"/>
          <w:color w:val="000000" w:themeColor="text1"/>
          <w:szCs w:val="21"/>
        </w:rPr>
        <w:t>3</w:t>
      </w:r>
      <w:r>
        <w:rPr>
          <w:rFonts w:eastAsiaTheme="minorEastAsia"/>
          <w:color w:val="000000" w:themeColor="text1"/>
          <w:szCs w:val="21"/>
        </w:rPr>
        <w:t>月经济数据显示经济修复并未超预期，此后的税期资金面也未如预期紧张，收益率迎来一波下行，短端下行幅度大于长端。</w:t>
      </w:r>
      <w:r>
        <w:rPr>
          <w:rFonts w:eastAsiaTheme="minorEastAsia"/>
          <w:color w:val="000000" w:themeColor="text1"/>
          <w:szCs w:val="21"/>
        </w:rPr>
        <w:t>4</w:t>
      </w:r>
      <w:r>
        <w:rPr>
          <w:rFonts w:eastAsiaTheme="minorEastAsia"/>
          <w:color w:val="000000" w:themeColor="text1"/>
          <w:szCs w:val="21"/>
        </w:rPr>
        <w:t>月下旬，大宗商品价格快速</w:t>
      </w:r>
      <w:r>
        <w:rPr>
          <w:rFonts w:eastAsiaTheme="minorEastAsia"/>
          <w:color w:val="000000" w:themeColor="text1"/>
          <w:szCs w:val="21"/>
        </w:rPr>
        <w:lastRenderedPageBreak/>
        <w:t>上涨，债市情绪走向谨慎，收益率震荡盘整。</w:t>
      </w:r>
      <w:r>
        <w:rPr>
          <w:rFonts w:eastAsiaTheme="minorEastAsia"/>
          <w:color w:val="000000" w:themeColor="text1"/>
          <w:szCs w:val="21"/>
        </w:rPr>
        <w:t>5</w:t>
      </w:r>
      <w:r>
        <w:rPr>
          <w:rFonts w:eastAsiaTheme="minorEastAsia"/>
          <w:color w:val="000000" w:themeColor="text1"/>
          <w:szCs w:val="21"/>
        </w:rPr>
        <w:t>月中旬，随着大宗商品价格的下跌，长端收益率重回下行通道，而短端收益率则因资金面偏紧有所上行。进入</w:t>
      </w:r>
      <w:r>
        <w:rPr>
          <w:rFonts w:eastAsiaTheme="minorEastAsia"/>
          <w:color w:val="000000" w:themeColor="text1"/>
          <w:szCs w:val="21"/>
        </w:rPr>
        <w:t>6</w:t>
      </w:r>
      <w:r>
        <w:rPr>
          <w:rFonts w:eastAsiaTheme="minorEastAsia"/>
          <w:color w:val="000000" w:themeColor="text1"/>
          <w:szCs w:val="21"/>
        </w:rPr>
        <w:t>月后，在止盈情绪影响下，中长端收益率亦跟随向上。</w:t>
      </w:r>
      <w:r>
        <w:rPr>
          <w:rFonts w:eastAsiaTheme="minorEastAsia"/>
          <w:color w:val="000000" w:themeColor="text1"/>
          <w:szCs w:val="21"/>
        </w:rPr>
        <w:t>6</w:t>
      </w:r>
      <w:r>
        <w:rPr>
          <w:rFonts w:eastAsiaTheme="minorEastAsia"/>
          <w:color w:val="000000" w:themeColor="text1"/>
          <w:szCs w:val="21"/>
        </w:rPr>
        <w:t>月中旬后，跨半年末资金面并未明显紧张，收益率回落。</w:t>
      </w:r>
    </w:p>
    <w:p w:rsidR="00B01673" w:rsidRDefault="0021488F">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本基金在二季度对到期仓位进行了再配置，并进一步提高了杠杆率，提升了产品的持有至到期收益率。</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展望三季度，预计经济修复进程有所放缓，货币政策</w:t>
      </w:r>
      <w:r w:rsidRPr="00B27A29">
        <w:rPr>
          <w:rFonts w:eastAsiaTheme="minorEastAsia"/>
          <w:color w:val="000000" w:themeColor="text1"/>
          <w:szCs w:val="21"/>
        </w:rPr>
        <w:t>“</w:t>
      </w:r>
      <w:r w:rsidRPr="00B27A29">
        <w:rPr>
          <w:rFonts w:eastAsiaTheme="minorEastAsia"/>
          <w:color w:val="000000" w:themeColor="text1"/>
          <w:szCs w:val="21"/>
        </w:rPr>
        <w:t>稳</w:t>
      </w:r>
      <w:r w:rsidRPr="00B27A29">
        <w:rPr>
          <w:rFonts w:eastAsiaTheme="minorEastAsia"/>
          <w:color w:val="000000" w:themeColor="text1"/>
          <w:szCs w:val="21"/>
        </w:rPr>
        <w:t>”</w:t>
      </w:r>
      <w:r w:rsidRPr="00B27A29">
        <w:rPr>
          <w:rFonts w:eastAsiaTheme="minorEastAsia"/>
          <w:color w:val="000000" w:themeColor="text1"/>
          <w:szCs w:val="21"/>
        </w:rPr>
        <w:t>字当头，通胀有一定短期压力，但尚不构成制约货币政策的因素。出口短期或可保持韧性，对经济形成一定支撑。总体来看，宏观环境对债券相对较为友好，但暂时也未发现促成收益率趋势性下行的催化剂。重点关注出口走势以及国际关系演绎对市场风险偏好的影响。</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B01673" w:rsidRDefault="0021488F">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本报告期上投摩根瑞泰</w:t>
      </w:r>
      <w:r>
        <w:rPr>
          <w:rFonts w:eastAsiaTheme="minorEastAsia"/>
          <w:color w:val="000000" w:themeColor="text1"/>
          <w:szCs w:val="21"/>
        </w:rPr>
        <w:t>38</w:t>
      </w:r>
      <w:r>
        <w:rPr>
          <w:rFonts w:eastAsiaTheme="minorEastAsia"/>
          <w:color w:val="000000" w:themeColor="text1"/>
          <w:szCs w:val="21"/>
        </w:rPr>
        <w:t>个月定期开放债券</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:0.70%</w:t>
      </w:r>
      <w:r>
        <w:rPr>
          <w:rFonts w:eastAsiaTheme="minorEastAsia"/>
          <w:color w:val="000000" w:themeColor="text1"/>
          <w:szCs w:val="21"/>
        </w:rPr>
        <w:t>，同期业绩比较基准收益率为</w:t>
      </w:r>
      <w:r>
        <w:rPr>
          <w:rFonts w:eastAsiaTheme="minorEastAsia"/>
          <w:color w:val="000000" w:themeColor="text1"/>
          <w:szCs w:val="21"/>
        </w:rPr>
        <w:t>:0.95%,</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上投摩根瑞泰</w:t>
      </w:r>
      <w:r w:rsidRPr="00B27A29">
        <w:rPr>
          <w:rFonts w:eastAsiaTheme="minorEastAsia"/>
          <w:color w:val="000000" w:themeColor="text1"/>
          <w:szCs w:val="21"/>
        </w:rPr>
        <w:t>38</w:t>
      </w:r>
      <w:r w:rsidRPr="00B27A29">
        <w:rPr>
          <w:rFonts w:eastAsiaTheme="minorEastAsia"/>
          <w:color w:val="000000" w:themeColor="text1"/>
          <w:szCs w:val="21"/>
        </w:rPr>
        <w:t>个月定期开放债券</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:0.64%</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:0.95%</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3,466,446,188.91</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99.21</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3,466,446,188.91</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99.21</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lastRenderedPageBreak/>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2,147,894.46</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0.06</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25,351,385.74</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0.73</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3,493,945,469.11</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本基金本报告期末未持有股票。</w:t>
      </w:r>
    </w:p>
    <w:p w:rsidR="00B27A29" w:rsidRPr="00B27A29" w:rsidRDefault="00B27A29" w:rsidP="00B27A29">
      <w:pPr>
        <w:spacing w:line="360" w:lineRule="auto"/>
        <w:rPr>
          <w:rFonts w:eastAsiaTheme="minorEastAsia"/>
          <w:szCs w:val="21"/>
        </w:rPr>
      </w:pPr>
      <w:bookmarkStart w:id="1"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期末按公允价值占基金资产净值比例大小排序的股票投资明细</w:t>
      </w:r>
      <w:r w:rsidRPr="00B27A29">
        <w:rPr>
          <w:rFonts w:asciiTheme="minorEastAsia" w:eastAsiaTheme="minorEastAsia" w:hAnsiTheme="minorEastAsia" w:hint="eastAsia"/>
          <w:b/>
          <w:bCs/>
          <w:kern w:val="0"/>
          <w:szCs w:val="21"/>
        </w:rPr>
        <w:cr/>
      </w:r>
      <w:r w:rsidRPr="00B27A29">
        <w:rPr>
          <w:rFonts w:eastAsiaTheme="minorEastAsia"/>
          <w:b/>
          <w:bCs/>
          <w:kern w:val="0"/>
          <w:szCs w:val="21"/>
        </w:rPr>
        <w:t>5.3.1</w:t>
      </w:r>
      <w:r w:rsidRPr="00B27A29">
        <w:rPr>
          <w:rFonts w:asciiTheme="minorEastAsia" w:eastAsiaTheme="minorEastAsia" w:hAnsiTheme="minorEastAsia" w:hint="eastAsia"/>
          <w:b/>
          <w:bCs/>
          <w:kern w:val="0"/>
          <w:szCs w:val="21"/>
        </w:rPr>
        <w:t>报告期末按公允价值占基金资产净值比例大小排序的前十名股票投资明细</w:t>
      </w:r>
    </w:p>
    <w:p w:rsidR="00B27A29" w:rsidRPr="00B27A29" w:rsidRDefault="00B27A29" w:rsidP="00B27A29">
      <w:pPr>
        <w:spacing w:line="360" w:lineRule="auto"/>
        <w:ind w:firstLineChars="200" w:firstLine="420"/>
        <w:rPr>
          <w:rFonts w:eastAsiaTheme="minorEastAsia"/>
          <w:szCs w:val="21"/>
        </w:rPr>
      </w:pPr>
      <w:r w:rsidRPr="00B27A29">
        <w:rPr>
          <w:rFonts w:eastAsiaTheme="minorEastAsia"/>
          <w:szCs w:val="21"/>
        </w:rPr>
        <w:t>本基金本报告期末未持有股票。</w:t>
      </w:r>
    </w:p>
    <w:bookmarkEnd w:id="1"/>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835"/>
        <w:gridCol w:w="1616"/>
      </w:tblGrid>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26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债券品种</w:t>
            </w:r>
          </w:p>
        </w:tc>
        <w:tc>
          <w:tcPr>
            <w:tcW w:w="2835"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r w:rsidRPr="00B27A29">
              <w:rPr>
                <w:rFonts w:eastAsiaTheme="minorEastAsia"/>
                <w:color w:val="000000" w:themeColor="text1"/>
                <w:szCs w:val="21"/>
              </w:rPr>
              <w:t>％</w:t>
            </w: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国家债券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央行票据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3,466,446,188.91</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162.49</w:t>
            </w:r>
          </w:p>
        </w:tc>
      </w:tr>
      <w:tr w:rsidR="005E6DF3" w:rsidRPr="00B27A29">
        <w:tc>
          <w:tcPr>
            <w:tcW w:w="817"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其中：政策性金融债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2,092,033,142.57</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98.07</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企业短期融资券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中期票据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可转债（可交换债）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同业存单</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9</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其他</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lastRenderedPageBreak/>
              <w:t>10</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合计</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3,466,446,188.91</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162.49</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tbl>
      <w:tblPr>
        <w:tblStyle w:val="afa"/>
        <w:tblW w:w="9021" w:type="dxa"/>
        <w:tblInd w:w="108" w:type="dxa"/>
        <w:tblLayout w:type="fixed"/>
        <w:tblLook w:val="04A0" w:firstRow="1" w:lastRow="0" w:firstColumn="1" w:lastColumn="0" w:noHBand="0" w:noVBand="1"/>
      </w:tblPr>
      <w:tblGrid>
        <w:gridCol w:w="1504"/>
        <w:gridCol w:w="1504"/>
        <w:gridCol w:w="1504"/>
        <w:gridCol w:w="1503"/>
        <w:gridCol w:w="1503"/>
        <w:gridCol w:w="1503"/>
      </w:tblGrid>
      <w:tr w:rsidR="005E6DF3" w:rsidRPr="00B27A29">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债券代码</w:t>
            </w:r>
          </w:p>
        </w:tc>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债券名称</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数量（张）</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公允价值</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占基金资产净值比例（％）</w:t>
            </w:r>
          </w:p>
        </w:tc>
      </w:tr>
      <w:tr w:rsidR="00B01673">
        <w:tc>
          <w:tcPr>
            <w:tcW w:w="1504" w:type="dxa"/>
            <w:vAlign w:val="center"/>
          </w:tcPr>
          <w:p w:rsidR="00B01673" w:rsidRDefault="0021488F">
            <w:pPr>
              <w:jc w:val="center"/>
            </w:pPr>
            <w:r>
              <w:rPr>
                <w:rFonts w:eastAsiaTheme="minorEastAsia"/>
                <w:color w:val="000000" w:themeColor="text1"/>
                <w:szCs w:val="21"/>
              </w:rPr>
              <w:t>1</w:t>
            </w:r>
          </w:p>
        </w:tc>
        <w:tc>
          <w:tcPr>
            <w:tcW w:w="1504" w:type="dxa"/>
            <w:vAlign w:val="center"/>
          </w:tcPr>
          <w:p w:rsidR="00B01673" w:rsidRDefault="0021488F">
            <w:pPr>
              <w:jc w:val="center"/>
            </w:pPr>
            <w:r>
              <w:rPr>
                <w:rFonts w:eastAsiaTheme="minorEastAsia"/>
                <w:color w:val="000000" w:themeColor="text1"/>
                <w:szCs w:val="21"/>
              </w:rPr>
              <w:t>160417</w:t>
            </w:r>
          </w:p>
        </w:tc>
        <w:tc>
          <w:tcPr>
            <w:tcW w:w="1504" w:type="dxa"/>
            <w:vAlign w:val="center"/>
          </w:tcPr>
          <w:p w:rsidR="00B01673" w:rsidRDefault="0021488F">
            <w:pPr>
              <w:jc w:val="center"/>
            </w:pPr>
            <w:r>
              <w:rPr>
                <w:rFonts w:eastAsiaTheme="minorEastAsia"/>
                <w:color w:val="000000" w:themeColor="text1"/>
                <w:szCs w:val="21"/>
              </w:rPr>
              <w:t>16</w:t>
            </w:r>
            <w:r>
              <w:rPr>
                <w:rFonts w:eastAsiaTheme="minorEastAsia"/>
                <w:color w:val="000000" w:themeColor="text1"/>
                <w:szCs w:val="21"/>
              </w:rPr>
              <w:t>农发</w:t>
            </w:r>
            <w:r>
              <w:rPr>
                <w:rFonts w:eastAsiaTheme="minorEastAsia"/>
                <w:color w:val="000000" w:themeColor="text1"/>
                <w:szCs w:val="21"/>
              </w:rPr>
              <w:t>17</w:t>
            </w:r>
          </w:p>
        </w:tc>
        <w:tc>
          <w:tcPr>
            <w:tcW w:w="1503" w:type="dxa"/>
            <w:vAlign w:val="center"/>
          </w:tcPr>
          <w:p w:rsidR="00B01673" w:rsidRDefault="0021488F">
            <w:pPr>
              <w:jc w:val="right"/>
            </w:pPr>
            <w:r>
              <w:rPr>
                <w:rFonts w:eastAsiaTheme="minorEastAsia"/>
                <w:color w:val="000000" w:themeColor="text1"/>
                <w:szCs w:val="21"/>
              </w:rPr>
              <w:t>10,150,000</w:t>
            </w:r>
          </w:p>
        </w:tc>
        <w:tc>
          <w:tcPr>
            <w:tcW w:w="1503" w:type="dxa"/>
            <w:vAlign w:val="center"/>
          </w:tcPr>
          <w:p w:rsidR="00B01673" w:rsidRDefault="0021488F">
            <w:pPr>
              <w:jc w:val="right"/>
            </w:pPr>
            <w:r>
              <w:rPr>
                <w:rFonts w:eastAsiaTheme="minorEastAsia"/>
                <w:color w:val="000000" w:themeColor="text1"/>
                <w:szCs w:val="21"/>
              </w:rPr>
              <w:t>1,023,727,340.65</w:t>
            </w:r>
          </w:p>
        </w:tc>
        <w:tc>
          <w:tcPr>
            <w:tcW w:w="1503" w:type="dxa"/>
            <w:vAlign w:val="center"/>
          </w:tcPr>
          <w:p w:rsidR="00B01673" w:rsidRDefault="0021488F">
            <w:pPr>
              <w:jc w:val="right"/>
            </w:pPr>
            <w:r>
              <w:rPr>
                <w:rFonts w:eastAsiaTheme="minorEastAsia"/>
                <w:color w:val="000000" w:themeColor="text1"/>
                <w:szCs w:val="21"/>
              </w:rPr>
              <w:t>47.99</w:t>
            </w:r>
          </w:p>
        </w:tc>
      </w:tr>
      <w:tr w:rsidR="00B01673">
        <w:tc>
          <w:tcPr>
            <w:tcW w:w="1504" w:type="dxa"/>
            <w:vAlign w:val="center"/>
          </w:tcPr>
          <w:p w:rsidR="00B01673" w:rsidRDefault="0021488F">
            <w:pPr>
              <w:jc w:val="center"/>
            </w:pPr>
            <w:r>
              <w:rPr>
                <w:rFonts w:eastAsiaTheme="minorEastAsia"/>
                <w:color w:val="000000" w:themeColor="text1"/>
                <w:szCs w:val="21"/>
              </w:rPr>
              <w:t>2</w:t>
            </w:r>
          </w:p>
        </w:tc>
        <w:tc>
          <w:tcPr>
            <w:tcW w:w="1504" w:type="dxa"/>
            <w:vAlign w:val="center"/>
          </w:tcPr>
          <w:p w:rsidR="00B01673" w:rsidRDefault="0021488F">
            <w:pPr>
              <w:jc w:val="center"/>
            </w:pPr>
            <w:r>
              <w:rPr>
                <w:rFonts w:eastAsiaTheme="minorEastAsia"/>
                <w:color w:val="000000" w:themeColor="text1"/>
                <w:szCs w:val="21"/>
              </w:rPr>
              <w:t>200402</w:t>
            </w:r>
          </w:p>
        </w:tc>
        <w:tc>
          <w:tcPr>
            <w:tcW w:w="1504" w:type="dxa"/>
            <w:vAlign w:val="center"/>
          </w:tcPr>
          <w:p w:rsidR="00B01673" w:rsidRDefault="0021488F">
            <w:pPr>
              <w:jc w:val="center"/>
            </w:pPr>
            <w:r>
              <w:rPr>
                <w:rFonts w:eastAsiaTheme="minorEastAsia"/>
                <w:color w:val="000000" w:themeColor="text1"/>
                <w:szCs w:val="21"/>
              </w:rPr>
              <w:t>20</w:t>
            </w:r>
            <w:r>
              <w:rPr>
                <w:rFonts w:eastAsiaTheme="minorEastAsia"/>
                <w:color w:val="000000" w:themeColor="text1"/>
                <w:szCs w:val="21"/>
              </w:rPr>
              <w:t>农发</w:t>
            </w:r>
            <w:r>
              <w:rPr>
                <w:rFonts w:eastAsiaTheme="minorEastAsia"/>
                <w:color w:val="000000" w:themeColor="text1"/>
                <w:szCs w:val="21"/>
              </w:rPr>
              <w:t>02</w:t>
            </w:r>
          </w:p>
        </w:tc>
        <w:tc>
          <w:tcPr>
            <w:tcW w:w="1503" w:type="dxa"/>
            <w:vAlign w:val="center"/>
          </w:tcPr>
          <w:p w:rsidR="00B01673" w:rsidRDefault="0021488F">
            <w:pPr>
              <w:jc w:val="right"/>
            </w:pPr>
            <w:r>
              <w:rPr>
                <w:rFonts w:eastAsiaTheme="minorEastAsia"/>
                <w:color w:val="000000" w:themeColor="text1"/>
                <w:szCs w:val="21"/>
              </w:rPr>
              <w:t>8,900,000</w:t>
            </w:r>
          </w:p>
        </w:tc>
        <w:tc>
          <w:tcPr>
            <w:tcW w:w="1503" w:type="dxa"/>
            <w:vAlign w:val="center"/>
          </w:tcPr>
          <w:p w:rsidR="00B01673" w:rsidRDefault="0021488F">
            <w:pPr>
              <w:jc w:val="right"/>
            </w:pPr>
            <w:r>
              <w:rPr>
                <w:rFonts w:eastAsiaTheme="minorEastAsia"/>
                <w:color w:val="000000" w:themeColor="text1"/>
                <w:szCs w:val="21"/>
              </w:rPr>
              <w:t>877,710,677.81</w:t>
            </w:r>
          </w:p>
        </w:tc>
        <w:tc>
          <w:tcPr>
            <w:tcW w:w="1503" w:type="dxa"/>
            <w:vAlign w:val="center"/>
          </w:tcPr>
          <w:p w:rsidR="00B01673" w:rsidRDefault="0021488F">
            <w:pPr>
              <w:jc w:val="right"/>
            </w:pPr>
            <w:r>
              <w:rPr>
                <w:rFonts w:eastAsiaTheme="minorEastAsia"/>
                <w:color w:val="000000" w:themeColor="text1"/>
                <w:szCs w:val="21"/>
              </w:rPr>
              <w:t>41.14</w:t>
            </w:r>
          </w:p>
        </w:tc>
      </w:tr>
      <w:tr w:rsidR="00B01673">
        <w:tc>
          <w:tcPr>
            <w:tcW w:w="1504" w:type="dxa"/>
            <w:vAlign w:val="center"/>
          </w:tcPr>
          <w:p w:rsidR="00B01673" w:rsidRDefault="0021488F">
            <w:pPr>
              <w:jc w:val="center"/>
            </w:pPr>
            <w:r>
              <w:rPr>
                <w:rFonts w:eastAsiaTheme="minorEastAsia"/>
                <w:color w:val="000000" w:themeColor="text1"/>
                <w:szCs w:val="21"/>
              </w:rPr>
              <w:t>3</w:t>
            </w:r>
          </w:p>
        </w:tc>
        <w:tc>
          <w:tcPr>
            <w:tcW w:w="1504" w:type="dxa"/>
            <w:vAlign w:val="center"/>
          </w:tcPr>
          <w:p w:rsidR="00B01673" w:rsidRDefault="0021488F">
            <w:pPr>
              <w:jc w:val="center"/>
            </w:pPr>
            <w:r>
              <w:rPr>
                <w:rFonts w:eastAsiaTheme="minorEastAsia"/>
                <w:color w:val="000000" w:themeColor="text1"/>
                <w:szCs w:val="21"/>
              </w:rPr>
              <w:t>2028008</w:t>
            </w:r>
          </w:p>
        </w:tc>
        <w:tc>
          <w:tcPr>
            <w:tcW w:w="1504" w:type="dxa"/>
            <w:vAlign w:val="center"/>
          </w:tcPr>
          <w:p w:rsidR="00B01673" w:rsidRDefault="0021488F">
            <w:pPr>
              <w:jc w:val="center"/>
            </w:pPr>
            <w:r>
              <w:rPr>
                <w:rFonts w:eastAsiaTheme="minorEastAsia"/>
                <w:color w:val="000000" w:themeColor="text1"/>
                <w:szCs w:val="21"/>
              </w:rPr>
              <w:t>20</w:t>
            </w:r>
            <w:r>
              <w:rPr>
                <w:rFonts w:eastAsiaTheme="minorEastAsia"/>
                <w:color w:val="000000" w:themeColor="text1"/>
                <w:szCs w:val="21"/>
              </w:rPr>
              <w:t>民生银行小微债</w:t>
            </w:r>
            <w:r>
              <w:rPr>
                <w:rFonts w:eastAsiaTheme="minorEastAsia"/>
                <w:color w:val="000000" w:themeColor="text1"/>
                <w:szCs w:val="21"/>
              </w:rPr>
              <w:t>01</w:t>
            </w:r>
          </w:p>
        </w:tc>
        <w:tc>
          <w:tcPr>
            <w:tcW w:w="1503" w:type="dxa"/>
            <w:vAlign w:val="center"/>
          </w:tcPr>
          <w:p w:rsidR="00B01673" w:rsidRDefault="0021488F">
            <w:pPr>
              <w:jc w:val="right"/>
            </w:pPr>
            <w:r>
              <w:rPr>
                <w:rFonts w:eastAsiaTheme="minorEastAsia"/>
                <w:color w:val="000000" w:themeColor="text1"/>
                <w:szCs w:val="21"/>
              </w:rPr>
              <w:t>1,900,000</w:t>
            </w:r>
          </w:p>
        </w:tc>
        <w:tc>
          <w:tcPr>
            <w:tcW w:w="1503" w:type="dxa"/>
            <w:vAlign w:val="center"/>
          </w:tcPr>
          <w:p w:rsidR="00B01673" w:rsidRDefault="0021488F">
            <w:pPr>
              <w:jc w:val="right"/>
            </w:pPr>
            <w:r>
              <w:rPr>
                <w:rFonts w:eastAsiaTheme="minorEastAsia"/>
                <w:color w:val="000000" w:themeColor="text1"/>
                <w:szCs w:val="21"/>
              </w:rPr>
              <w:t>191,608,019.60</w:t>
            </w:r>
          </w:p>
        </w:tc>
        <w:tc>
          <w:tcPr>
            <w:tcW w:w="1503" w:type="dxa"/>
            <w:vAlign w:val="center"/>
          </w:tcPr>
          <w:p w:rsidR="00B01673" w:rsidRDefault="0021488F">
            <w:pPr>
              <w:jc w:val="right"/>
            </w:pPr>
            <w:r>
              <w:rPr>
                <w:rFonts w:eastAsiaTheme="minorEastAsia"/>
                <w:color w:val="000000" w:themeColor="text1"/>
                <w:szCs w:val="21"/>
              </w:rPr>
              <w:t>8.98</w:t>
            </w:r>
          </w:p>
        </w:tc>
      </w:tr>
      <w:tr w:rsidR="00B01673">
        <w:tc>
          <w:tcPr>
            <w:tcW w:w="1504" w:type="dxa"/>
            <w:vAlign w:val="center"/>
          </w:tcPr>
          <w:p w:rsidR="00B01673" w:rsidRDefault="0021488F">
            <w:pPr>
              <w:jc w:val="center"/>
            </w:pPr>
            <w:r>
              <w:rPr>
                <w:rFonts w:eastAsiaTheme="minorEastAsia"/>
                <w:color w:val="000000" w:themeColor="text1"/>
                <w:szCs w:val="21"/>
              </w:rPr>
              <w:t>4</w:t>
            </w:r>
          </w:p>
        </w:tc>
        <w:tc>
          <w:tcPr>
            <w:tcW w:w="1504" w:type="dxa"/>
            <w:vAlign w:val="center"/>
          </w:tcPr>
          <w:p w:rsidR="00B01673" w:rsidRDefault="0021488F">
            <w:pPr>
              <w:jc w:val="center"/>
            </w:pPr>
            <w:r>
              <w:rPr>
                <w:rFonts w:eastAsiaTheme="minorEastAsia"/>
                <w:color w:val="000000" w:themeColor="text1"/>
                <w:szCs w:val="21"/>
              </w:rPr>
              <w:t>2028015</w:t>
            </w:r>
          </w:p>
        </w:tc>
        <w:tc>
          <w:tcPr>
            <w:tcW w:w="1504" w:type="dxa"/>
            <w:vAlign w:val="center"/>
          </w:tcPr>
          <w:p w:rsidR="00B01673" w:rsidRDefault="0021488F">
            <w:pPr>
              <w:jc w:val="center"/>
            </w:pPr>
            <w:r>
              <w:rPr>
                <w:rFonts w:eastAsiaTheme="minorEastAsia"/>
                <w:color w:val="000000" w:themeColor="text1"/>
                <w:szCs w:val="21"/>
              </w:rPr>
              <w:t>20</w:t>
            </w:r>
            <w:r>
              <w:rPr>
                <w:rFonts w:eastAsiaTheme="minorEastAsia"/>
                <w:color w:val="000000" w:themeColor="text1"/>
                <w:szCs w:val="21"/>
              </w:rPr>
              <w:t>兴业银行小微债</w:t>
            </w:r>
            <w:r>
              <w:rPr>
                <w:rFonts w:eastAsiaTheme="minorEastAsia"/>
                <w:color w:val="000000" w:themeColor="text1"/>
                <w:szCs w:val="21"/>
              </w:rPr>
              <w:t>01</w:t>
            </w:r>
          </w:p>
        </w:tc>
        <w:tc>
          <w:tcPr>
            <w:tcW w:w="1503" w:type="dxa"/>
            <w:vAlign w:val="center"/>
          </w:tcPr>
          <w:p w:rsidR="00B01673" w:rsidRDefault="0021488F">
            <w:pPr>
              <w:jc w:val="right"/>
            </w:pPr>
            <w:r>
              <w:rPr>
                <w:rFonts w:eastAsiaTheme="minorEastAsia"/>
                <w:color w:val="000000" w:themeColor="text1"/>
                <w:szCs w:val="21"/>
              </w:rPr>
              <w:t>1,700,000</w:t>
            </w:r>
          </w:p>
        </w:tc>
        <w:tc>
          <w:tcPr>
            <w:tcW w:w="1503" w:type="dxa"/>
            <w:vAlign w:val="center"/>
          </w:tcPr>
          <w:p w:rsidR="00B01673" w:rsidRDefault="0021488F">
            <w:pPr>
              <w:jc w:val="right"/>
            </w:pPr>
            <w:r>
              <w:rPr>
                <w:rFonts w:eastAsiaTheme="minorEastAsia"/>
                <w:color w:val="000000" w:themeColor="text1"/>
                <w:szCs w:val="21"/>
              </w:rPr>
              <w:t>169,588,639.37</w:t>
            </w:r>
          </w:p>
        </w:tc>
        <w:tc>
          <w:tcPr>
            <w:tcW w:w="1503" w:type="dxa"/>
            <w:vAlign w:val="center"/>
          </w:tcPr>
          <w:p w:rsidR="00B01673" w:rsidRDefault="0021488F">
            <w:pPr>
              <w:jc w:val="right"/>
            </w:pPr>
            <w:r>
              <w:rPr>
                <w:rFonts w:eastAsiaTheme="minorEastAsia"/>
                <w:color w:val="000000" w:themeColor="text1"/>
                <w:szCs w:val="21"/>
              </w:rPr>
              <w:t>7.95</w:t>
            </w:r>
          </w:p>
        </w:tc>
      </w:tr>
      <w:tr w:rsidR="00B01673">
        <w:tc>
          <w:tcPr>
            <w:tcW w:w="1504" w:type="dxa"/>
            <w:vAlign w:val="center"/>
          </w:tcPr>
          <w:p w:rsidR="00B01673" w:rsidRDefault="0021488F">
            <w:pPr>
              <w:jc w:val="center"/>
            </w:pPr>
            <w:r>
              <w:rPr>
                <w:rFonts w:eastAsiaTheme="minorEastAsia"/>
                <w:color w:val="000000" w:themeColor="text1"/>
                <w:szCs w:val="21"/>
              </w:rPr>
              <w:t>5</w:t>
            </w:r>
          </w:p>
        </w:tc>
        <w:tc>
          <w:tcPr>
            <w:tcW w:w="1504" w:type="dxa"/>
            <w:vAlign w:val="center"/>
          </w:tcPr>
          <w:p w:rsidR="00B01673" w:rsidRDefault="0021488F">
            <w:pPr>
              <w:jc w:val="center"/>
            </w:pPr>
            <w:r>
              <w:rPr>
                <w:rFonts w:eastAsiaTheme="minorEastAsia"/>
                <w:color w:val="000000" w:themeColor="text1"/>
                <w:szCs w:val="21"/>
              </w:rPr>
              <w:t>1820013</w:t>
            </w:r>
          </w:p>
        </w:tc>
        <w:tc>
          <w:tcPr>
            <w:tcW w:w="1504" w:type="dxa"/>
            <w:vAlign w:val="center"/>
          </w:tcPr>
          <w:p w:rsidR="00B01673" w:rsidRDefault="0021488F">
            <w:pPr>
              <w:jc w:val="center"/>
            </w:pPr>
            <w:r>
              <w:rPr>
                <w:rFonts w:eastAsiaTheme="minorEastAsia"/>
                <w:color w:val="000000" w:themeColor="text1"/>
                <w:szCs w:val="21"/>
              </w:rPr>
              <w:t>18</w:t>
            </w:r>
            <w:r>
              <w:rPr>
                <w:rFonts w:eastAsiaTheme="minorEastAsia"/>
                <w:color w:val="000000" w:themeColor="text1"/>
                <w:szCs w:val="21"/>
              </w:rPr>
              <w:t>江苏银行</w:t>
            </w:r>
            <w:r>
              <w:rPr>
                <w:rFonts w:eastAsiaTheme="minorEastAsia"/>
                <w:color w:val="000000" w:themeColor="text1"/>
                <w:szCs w:val="21"/>
              </w:rPr>
              <w:t>01</w:t>
            </w:r>
          </w:p>
        </w:tc>
        <w:tc>
          <w:tcPr>
            <w:tcW w:w="1503" w:type="dxa"/>
            <w:vAlign w:val="center"/>
          </w:tcPr>
          <w:p w:rsidR="00B01673" w:rsidRDefault="0021488F">
            <w:pPr>
              <w:jc w:val="right"/>
            </w:pPr>
            <w:r>
              <w:rPr>
                <w:rFonts w:eastAsiaTheme="minorEastAsia"/>
                <w:color w:val="000000" w:themeColor="text1"/>
                <w:szCs w:val="21"/>
              </w:rPr>
              <w:t>1,300,000</w:t>
            </w:r>
          </w:p>
        </w:tc>
        <w:tc>
          <w:tcPr>
            <w:tcW w:w="1503" w:type="dxa"/>
            <w:vAlign w:val="center"/>
          </w:tcPr>
          <w:p w:rsidR="00B01673" w:rsidRDefault="0021488F">
            <w:pPr>
              <w:jc w:val="right"/>
            </w:pPr>
            <w:r>
              <w:rPr>
                <w:rFonts w:eastAsiaTheme="minorEastAsia"/>
                <w:color w:val="000000" w:themeColor="text1"/>
                <w:szCs w:val="21"/>
              </w:rPr>
              <w:t>135,782,146.24</w:t>
            </w:r>
          </w:p>
        </w:tc>
        <w:tc>
          <w:tcPr>
            <w:tcW w:w="1503" w:type="dxa"/>
            <w:vAlign w:val="center"/>
          </w:tcPr>
          <w:p w:rsidR="00B01673" w:rsidRDefault="0021488F">
            <w:pPr>
              <w:jc w:val="right"/>
            </w:pPr>
            <w:r>
              <w:rPr>
                <w:rFonts w:eastAsiaTheme="minorEastAsia"/>
                <w:color w:val="000000" w:themeColor="text1"/>
                <w:szCs w:val="21"/>
              </w:rPr>
              <w:t>6.36</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lastRenderedPageBreak/>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25,351,385.74</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25,351,385.74</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因四舍五入的原因，投资组合报告中分项之和与合计数可能存在尾差。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上投摩根瑞泰</w:t>
            </w:r>
            <w:r w:rsidRPr="00B27A29">
              <w:rPr>
                <w:rFonts w:eastAsiaTheme="minorEastAsia"/>
                <w:color w:val="000000" w:themeColor="text1"/>
                <w:szCs w:val="21"/>
              </w:rPr>
              <w:t>38</w:t>
            </w:r>
            <w:r w:rsidRPr="00B27A29">
              <w:rPr>
                <w:rFonts w:eastAsiaTheme="minorEastAsia"/>
                <w:color w:val="000000" w:themeColor="text1"/>
                <w:szCs w:val="21"/>
              </w:rPr>
              <w:t>个月定期开放债券</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上投摩根瑞泰</w:t>
            </w:r>
            <w:r w:rsidRPr="00B27A29">
              <w:rPr>
                <w:rFonts w:eastAsiaTheme="minorEastAsia"/>
                <w:color w:val="000000" w:themeColor="text1"/>
                <w:szCs w:val="21"/>
              </w:rPr>
              <w:t>38</w:t>
            </w:r>
            <w:r w:rsidRPr="00B27A29">
              <w:rPr>
                <w:rFonts w:eastAsiaTheme="minorEastAsia"/>
                <w:color w:val="000000" w:themeColor="text1"/>
                <w:szCs w:val="21"/>
              </w:rPr>
              <w:t>个月定期开放债券</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2,100,092,019.86</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14,352.81</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2,100,092,019.86</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14,352.81</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lastRenderedPageBreak/>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影响投资者决策的其他重要信息</w:t>
      </w:r>
    </w:p>
    <w:p w:rsidR="005E6DF3" w:rsidRPr="00B27A29" w:rsidRDefault="005C671B">
      <w:pPr>
        <w:autoSpaceDE w:val="0"/>
        <w:autoSpaceDN w:val="0"/>
        <w:adjustRightInd w:val="0"/>
        <w:spacing w:line="360" w:lineRule="auto"/>
        <w:jc w:val="left"/>
        <w:rPr>
          <w:b/>
          <w:bCs/>
          <w:color w:val="000000"/>
          <w:kern w:val="0"/>
          <w:szCs w:val="21"/>
        </w:rPr>
      </w:pPr>
      <w:r w:rsidRPr="00B27A29">
        <w:rPr>
          <w:b/>
          <w:bCs/>
          <w:color w:val="000000"/>
          <w:kern w:val="0"/>
          <w:szCs w:val="21"/>
        </w:rPr>
        <w:t xml:space="preserve">8.1 </w:t>
      </w:r>
      <w:r w:rsidRPr="00B27A29">
        <w:rPr>
          <w:b/>
          <w:bCs/>
          <w:color w:val="000000"/>
          <w:kern w:val="0"/>
          <w:szCs w:val="21"/>
        </w:rPr>
        <w:t>报告期内单一投资者持有基金份额比例达到或超过</w:t>
      </w:r>
      <w:r w:rsidRPr="00B27A29">
        <w:rPr>
          <w:b/>
          <w:bCs/>
          <w:color w:val="000000"/>
          <w:kern w:val="0"/>
          <w:szCs w:val="21"/>
        </w:rPr>
        <w:t>20%</w:t>
      </w:r>
      <w:r w:rsidRPr="00B27A29">
        <w:rPr>
          <w:b/>
          <w:bCs/>
          <w:color w:val="000000"/>
          <w:kern w:val="0"/>
          <w:szCs w:val="21"/>
        </w:rPr>
        <w:t>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5E6DF3" w:rsidRPr="00B27A29">
        <w:tc>
          <w:tcPr>
            <w:tcW w:w="993" w:type="dxa"/>
            <w:vMerge w:val="restart"/>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投资者类别</w:t>
            </w:r>
            <w:r w:rsidRPr="00B27A29">
              <w:rPr>
                <w:color w:val="000000"/>
                <w:kern w:val="0"/>
                <w:szCs w:val="21"/>
              </w:rPr>
              <w:t xml:space="preserve">  </w:t>
            </w:r>
          </w:p>
        </w:tc>
        <w:tc>
          <w:tcPr>
            <w:tcW w:w="5670" w:type="dxa"/>
            <w:gridSpan w:val="5"/>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报告期内持有基金份额变化情况</w:t>
            </w:r>
          </w:p>
        </w:tc>
        <w:tc>
          <w:tcPr>
            <w:tcW w:w="2549" w:type="dxa"/>
            <w:gridSpan w:val="2"/>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报告期末持有基金情况</w:t>
            </w:r>
          </w:p>
        </w:tc>
      </w:tr>
      <w:tr w:rsidR="005E6DF3" w:rsidRPr="00B27A29">
        <w:tc>
          <w:tcPr>
            <w:tcW w:w="993" w:type="dxa"/>
            <w:vMerge/>
            <w:vAlign w:val="center"/>
          </w:tcPr>
          <w:p w:rsidR="005E6DF3" w:rsidRPr="00B27A29" w:rsidRDefault="005E6DF3">
            <w:pPr>
              <w:autoSpaceDE w:val="0"/>
              <w:autoSpaceDN w:val="0"/>
              <w:adjustRightInd w:val="0"/>
              <w:jc w:val="center"/>
              <w:rPr>
                <w:b/>
                <w:bCs/>
                <w:color w:val="000000"/>
                <w:kern w:val="0"/>
                <w:szCs w:val="21"/>
              </w:rPr>
            </w:pPr>
          </w:p>
        </w:tc>
        <w:tc>
          <w:tcPr>
            <w:tcW w:w="992" w:type="dxa"/>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序号</w:t>
            </w:r>
          </w:p>
        </w:tc>
        <w:tc>
          <w:tcPr>
            <w:tcW w:w="1843" w:type="dxa"/>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持有基金份额比例达到或者超过</w:t>
            </w:r>
            <w:r w:rsidRPr="00B27A29">
              <w:rPr>
                <w:color w:val="000000"/>
                <w:kern w:val="0"/>
                <w:szCs w:val="21"/>
              </w:rPr>
              <w:t>20%</w:t>
            </w:r>
            <w:r w:rsidRPr="00B27A29">
              <w:rPr>
                <w:color w:val="000000"/>
                <w:kern w:val="0"/>
                <w:szCs w:val="21"/>
              </w:rPr>
              <w:t>的时间区间</w:t>
            </w:r>
          </w:p>
        </w:tc>
        <w:tc>
          <w:tcPr>
            <w:tcW w:w="851" w:type="dxa"/>
            <w:vAlign w:val="center"/>
          </w:tcPr>
          <w:p w:rsidR="005E6DF3" w:rsidRPr="00B27A29" w:rsidRDefault="005C671B">
            <w:pPr>
              <w:widowControl/>
              <w:jc w:val="center"/>
              <w:rPr>
                <w:b/>
                <w:bCs/>
                <w:color w:val="000000"/>
                <w:kern w:val="0"/>
                <w:szCs w:val="21"/>
              </w:rPr>
            </w:pPr>
            <w:r w:rsidRPr="00B27A29">
              <w:rPr>
                <w:color w:val="000000"/>
                <w:kern w:val="0"/>
                <w:szCs w:val="21"/>
              </w:rPr>
              <w:t>期初份额</w:t>
            </w:r>
          </w:p>
        </w:tc>
        <w:tc>
          <w:tcPr>
            <w:tcW w:w="850" w:type="dxa"/>
            <w:vAlign w:val="center"/>
          </w:tcPr>
          <w:p w:rsidR="005E6DF3" w:rsidRPr="00B27A29" w:rsidRDefault="005C671B">
            <w:pPr>
              <w:widowControl/>
              <w:jc w:val="center"/>
              <w:rPr>
                <w:b/>
                <w:bCs/>
                <w:color w:val="000000"/>
                <w:kern w:val="0"/>
                <w:szCs w:val="21"/>
              </w:rPr>
            </w:pPr>
            <w:r w:rsidRPr="00B27A29">
              <w:rPr>
                <w:color w:val="000000"/>
                <w:kern w:val="0"/>
                <w:szCs w:val="21"/>
              </w:rPr>
              <w:t>申购份额</w:t>
            </w:r>
          </w:p>
        </w:tc>
        <w:tc>
          <w:tcPr>
            <w:tcW w:w="1134" w:type="dxa"/>
            <w:vAlign w:val="center"/>
          </w:tcPr>
          <w:p w:rsidR="005E6DF3" w:rsidRPr="00B27A29" w:rsidRDefault="005C671B">
            <w:pPr>
              <w:widowControl/>
              <w:jc w:val="center"/>
              <w:rPr>
                <w:b/>
                <w:bCs/>
                <w:color w:val="000000"/>
                <w:kern w:val="0"/>
                <w:szCs w:val="21"/>
              </w:rPr>
            </w:pPr>
            <w:r w:rsidRPr="00B27A29">
              <w:rPr>
                <w:color w:val="000000"/>
                <w:kern w:val="0"/>
                <w:szCs w:val="21"/>
              </w:rPr>
              <w:t>赎回份额</w:t>
            </w:r>
          </w:p>
        </w:tc>
        <w:tc>
          <w:tcPr>
            <w:tcW w:w="1419" w:type="dxa"/>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持有份额</w:t>
            </w:r>
          </w:p>
        </w:tc>
        <w:tc>
          <w:tcPr>
            <w:tcW w:w="1130" w:type="dxa"/>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份额占比</w:t>
            </w:r>
          </w:p>
        </w:tc>
      </w:tr>
      <w:tr w:rsidR="00B01673">
        <w:tc>
          <w:tcPr>
            <w:tcW w:w="993" w:type="dxa"/>
            <w:vMerge w:val="restart"/>
            <w:vAlign w:val="center"/>
          </w:tcPr>
          <w:p w:rsidR="00B01673" w:rsidRDefault="0021488F">
            <w:r>
              <w:rPr>
                <w:bCs/>
                <w:color w:val="000000"/>
                <w:kern w:val="0"/>
                <w:szCs w:val="21"/>
              </w:rPr>
              <w:t>机构</w:t>
            </w:r>
          </w:p>
        </w:tc>
        <w:tc>
          <w:tcPr>
            <w:tcW w:w="992" w:type="dxa"/>
            <w:vAlign w:val="center"/>
          </w:tcPr>
          <w:p w:rsidR="00B01673" w:rsidRDefault="0021488F">
            <w:pPr>
              <w:jc w:val="center"/>
            </w:pPr>
            <w:r>
              <w:rPr>
                <w:color w:val="000000"/>
                <w:kern w:val="0"/>
                <w:szCs w:val="21"/>
              </w:rPr>
              <w:t>1</w:t>
            </w:r>
          </w:p>
        </w:tc>
        <w:tc>
          <w:tcPr>
            <w:tcW w:w="1843" w:type="dxa"/>
            <w:vAlign w:val="center"/>
          </w:tcPr>
          <w:p w:rsidR="00B01673" w:rsidRDefault="0021488F">
            <w:pPr>
              <w:jc w:val="center"/>
            </w:pPr>
            <w:r>
              <w:rPr>
                <w:color w:val="000000"/>
                <w:kern w:val="0"/>
                <w:szCs w:val="21"/>
              </w:rPr>
              <w:t>20210401-20210630</w:t>
            </w:r>
          </w:p>
        </w:tc>
        <w:tc>
          <w:tcPr>
            <w:tcW w:w="851" w:type="dxa"/>
            <w:vAlign w:val="center"/>
          </w:tcPr>
          <w:p w:rsidR="00B01673" w:rsidRDefault="0021488F">
            <w:pPr>
              <w:jc w:val="center"/>
            </w:pPr>
            <w:r>
              <w:rPr>
                <w:color w:val="000000"/>
                <w:kern w:val="0"/>
                <w:szCs w:val="21"/>
              </w:rPr>
              <w:t>999,999,000.00</w:t>
            </w:r>
          </w:p>
        </w:tc>
        <w:tc>
          <w:tcPr>
            <w:tcW w:w="850" w:type="dxa"/>
            <w:vAlign w:val="center"/>
          </w:tcPr>
          <w:p w:rsidR="00B01673" w:rsidRDefault="0021488F">
            <w:pPr>
              <w:jc w:val="center"/>
            </w:pPr>
            <w:r>
              <w:rPr>
                <w:color w:val="000000"/>
                <w:kern w:val="0"/>
                <w:szCs w:val="21"/>
              </w:rPr>
              <w:t>0.00</w:t>
            </w:r>
          </w:p>
        </w:tc>
        <w:tc>
          <w:tcPr>
            <w:tcW w:w="1134" w:type="dxa"/>
            <w:vAlign w:val="center"/>
          </w:tcPr>
          <w:p w:rsidR="00B01673" w:rsidRDefault="0021488F">
            <w:pPr>
              <w:jc w:val="center"/>
            </w:pPr>
            <w:r>
              <w:rPr>
                <w:color w:val="000000"/>
                <w:kern w:val="0"/>
                <w:szCs w:val="21"/>
              </w:rPr>
              <w:t>0.00</w:t>
            </w:r>
          </w:p>
        </w:tc>
        <w:tc>
          <w:tcPr>
            <w:tcW w:w="1419" w:type="dxa"/>
            <w:vAlign w:val="center"/>
          </w:tcPr>
          <w:p w:rsidR="00B01673" w:rsidRDefault="0021488F">
            <w:pPr>
              <w:jc w:val="center"/>
            </w:pPr>
            <w:r>
              <w:rPr>
                <w:color w:val="000000"/>
                <w:kern w:val="0"/>
                <w:szCs w:val="21"/>
              </w:rPr>
              <w:t>999,999,000.00</w:t>
            </w:r>
          </w:p>
        </w:tc>
        <w:tc>
          <w:tcPr>
            <w:tcW w:w="1130" w:type="dxa"/>
            <w:vAlign w:val="center"/>
          </w:tcPr>
          <w:p w:rsidR="00B01673" w:rsidRDefault="0021488F">
            <w:pPr>
              <w:jc w:val="center"/>
            </w:pPr>
            <w:r>
              <w:rPr>
                <w:color w:val="000000"/>
                <w:kern w:val="0"/>
                <w:szCs w:val="21"/>
              </w:rPr>
              <w:t>47.62%</w:t>
            </w:r>
          </w:p>
        </w:tc>
      </w:tr>
      <w:tr w:rsidR="00B01673">
        <w:tc>
          <w:tcPr>
            <w:tcW w:w="993" w:type="dxa"/>
            <w:vMerge/>
          </w:tcPr>
          <w:p w:rsidR="00B01673" w:rsidRDefault="00B01673"/>
        </w:tc>
        <w:tc>
          <w:tcPr>
            <w:tcW w:w="992" w:type="dxa"/>
            <w:vAlign w:val="center"/>
          </w:tcPr>
          <w:p w:rsidR="00B01673" w:rsidRDefault="0021488F">
            <w:pPr>
              <w:jc w:val="center"/>
            </w:pPr>
            <w:r>
              <w:rPr>
                <w:color w:val="000000"/>
                <w:kern w:val="0"/>
                <w:szCs w:val="21"/>
              </w:rPr>
              <w:t>2</w:t>
            </w:r>
          </w:p>
        </w:tc>
        <w:tc>
          <w:tcPr>
            <w:tcW w:w="1843" w:type="dxa"/>
            <w:vAlign w:val="center"/>
          </w:tcPr>
          <w:p w:rsidR="00B01673" w:rsidRDefault="0021488F">
            <w:pPr>
              <w:jc w:val="center"/>
            </w:pPr>
            <w:r>
              <w:rPr>
                <w:color w:val="000000"/>
                <w:kern w:val="0"/>
                <w:szCs w:val="21"/>
              </w:rPr>
              <w:t>20210401-20210630</w:t>
            </w:r>
          </w:p>
        </w:tc>
        <w:tc>
          <w:tcPr>
            <w:tcW w:w="851" w:type="dxa"/>
            <w:vAlign w:val="center"/>
          </w:tcPr>
          <w:p w:rsidR="00B01673" w:rsidRDefault="0021488F">
            <w:pPr>
              <w:jc w:val="center"/>
            </w:pPr>
            <w:r>
              <w:rPr>
                <w:color w:val="000000"/>
                <w:kern w:val="0"/>
                <w:szCs w:val="21"/>
              </w:rPr>
              <w:t>599,999,000.00</w:t>
            </w:r>
          </w:p>
        </w:tc>
        <w:tc>
          <w:tcPr>
            <w:tcW w:w="850" w:type="dxa"/>
            <w:vAlign w:val="center"/>
          </w:tcPr>
          <w:p w:rsidR="00B01673" w:rsidRDefault="0021488F">
            <w:pPr>
              <w:jc w:val="center"/>
            </w:pPr>
            <w:r>
              <w:rPr>
                <w:color w:val="000000"/>
                <w:kern w:val="0"/>
                <w:szCs w:val="21"/>
              </w:rPr>
              <w:t>0.00</w:t>
            </w:r>
          </w:p>
        </w:tc>
        <w:tc>
          <w:tcPr>
            <w:tcW w:w="1134" w:type="dxa"/>
            <w:vAlign w:val="center"/>
          </w:tcPr>
          <w:p w:rsidR="00B01673" w:rsidRDefault="0021488F">
            <w:pPr>
              <w:jc w:val="center"/>
            </w:pPr>
            <w:r>
              <w:rPr>
                <w:color w:val="000000"/>
                <w:kern w:val="0"/>
                <w:szCs w:val="21"/>
              </w:rPr>
              <w:t>0.00</w:t>
            </w:r>
          </w:p>
        </w:tc>
        <w:tc>
          <w:tcPr>
            <w:tcW w:w="1419" w:type="dxa"/>
            <w:vAlign w:val="center"/>
          </w:tcPr>
          <w:p w:rsidR="00B01673" w:rsidRDefault="0021488F">
            <w:pPr>
              <w:jc w:val="center"/>
            </w:pPr>
            <w:r>
              <w:rPr>
                <w:color w:val="000000"/>
                <w:kern w:val="0"/>
                <w:szCs w:val="21"/>
              </w:rPr>
              <w:t>599,999,000.00</w:t>
            </w:r>
          </w:p>
        </w:tc>
        <w:tc>
          <w:tcPr>
            <w:tcW w:w="1130" w:type="dxa"/>
            <w:vAlign w:val="center"/>
          </w:tcPr>
          <w:p w:rsidR="00B01673" w:rsidRDefault="0021488F">
            <w:pPr>
              <w:jc w:val="center"/>
            </w:pPr>
            <w:r>
              <w:rPr>
                <w:color w:val="000000"/>
                <w:kern w:val="0"/>
                <w:szCs w:val="21"/>
              </w:rPr>
              <w:t>28.57%</w:t>
            </w:r>
          </w:p>
        </w:tc>
      </w:tr>
      <w:tr w:rsidR="005E6DF3" w:rsidRPr="00B27A29">
        <w:tc>
          <w:tcPr>
            <w:tcW w:w="9212" w:type="dxa"/>
            <w:gridSpan w:val="8"/>
            <w:vAlign w:val="center"/>
          </w:tcPr>
          <w:p w:rsidR="005E6DF3" w:rsidRPr="00B27A29" w:rsidRDefault="005C671B">
            <w:pPr>
              <w:autoSpaceDE w:val="0"/>
              <w:autoSpaceDN w:val="0"/>
              <w:adjustRightInd w:val="0"/>
              <w:jc w:val="center"/>
              <w:rPr>
                <w:kern w:val="0"/>
                <w:szCs w:val="21"/>
              </w:rPr>
            </w:pPr>
            <w:r w:rsidRPr="00B27A29">
              <w:rPr>
                <w:color w:val="000000"/>
                <w:kern w:val="0"/>
                <w:szCs w:val="21"/>
              </w:rPr>
              <w:t>产品特有风险</w:t>
            </w:r>
          </w:p>
        </w:tc>
      </w:tr>
      <w:tr w:rsidR="005E6DF3" w:rsidRPr="00B27A29">
        <w:tc>
          <w:tcPr>
            <w:tcW w:w="9212" w:type="dxa"/>
            <w:gridSpan w:val="8"/>
            <w:vAlign w:val="center"/>
          </w:tcPr>
          <w:p w:rsidR="005E6DF3" w:rsidRPr="00B27A29" w:rsidRDefault="005C671B">
            <w:pPr>
              <w:autoSpaceDE w:val="0"/>
              <w:autoSpaceDN w:val="0"/>
              <w:adjustRightInd w:val="0"/>
              <w:jc w:val="left"/>
              <w:rPr>
                <w:kern w:val="0"/>
                <w:szCs w:val="21"/>
              </w:rPr>
            </w:pPr>
            <w:r w:rsidRPr="00B27A29">
              <w:rPr>
                <w:kern w:val="0"/>
                <w:szCs w:val="21"/>
              </w:rPr>
              <w:t>本基金的集中度风险主要体现在有单一投资者持有基金份额比例达到或者超过</w:t>
            </w:r>
            <w:r w:rsidRPr="00B27A29">
              <w:rPr>
                <w:kern w:val="0"/>
                <w:szCs w:val="21"/>
              </w:rPr>
              <w:t>20%</w:t>
            </w:r>
            <w:r w:rsidRPr="00B27A29">
              <w:rPr>
                <w:kern w:val="0"/>
                <w:szCs w:val="21"/>
              </w:rPr>
              <w:t>，如果投资者发生大额赎回，可能出现基金可变现资产无法满足投资者赎回需要以及因为资产变现成本过高导致投资者的利益受到损害的风险。</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§9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9.1</w:t>
      </w:r>
      <w:r w:rsidRPr="00B27A29">
        <w:rPr>
          <w:rFonts w:eastAsiaTheme="minorEastAsia"/>
          <w:b/>
          <w:bCs/>
          <w:color w:val="000000" w:themeColor="text1"/>
          <w:kern w:val="0"/>
          <w:szCs w:val="21"/>
        </w:rPr>
        <w:t>备查文件目录</w:t>
      </w:r>
    </w:p>
    <w:p w:rsidR="00B01673" w:rsidRDefault="0021488F">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、中国证监会准予上投摩根瑞泰</w:t>
      </w:r>
      <w:r>
        <w:rPr>
          <w:rFonts w:eastAsiaTheme="minorEastAsia"/>
          <w:color w:val="000000" w:themeColor="text1"/>
          <w:szCs w:val="21"/>
        </w:rPr>
        <w:t>38</w:t>
      </w:r>
      <w:r>
        <w:rPr>
          <w:rFonts w:eastAsiaTheme="minorEastAsia"/>
          <w:color w:val="000000" w:themeColor="text1"/>
          <w:szCs w:val="21"/>
        </w:rPr>
        <w:t>个月定期开放债券型证券投资基金募集注册的文件</w:t>
      </w:r>
    </w:p>
    <w:p w:rsidR="00B01673" w:rsidRDefault="0021488F">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、上投摩根瑞泰</w:t>
      </w:r>
      <w:r>
        <w:rPr>
          <w:rFonts w:eastAsiaTheme="minorEastAsia"/>
          <w:color w:val="000000" w:themeColor="text1"/>
          <w:szCs w:val="21"/>
        </w:rPr>
        <w:t>38</w:t>
      </w:r>
      <w:r>
        <w:rPr>
          <w:rFonts w:eastAsiaTheme="minorEastAsia"/>
          <w:color w:val="000000" w:themeColor="text1"/>
          <w:szCs w:val="21"/>
        </w:rPr>
        <w:t>个月定期开放债券型证券投资基金基金合同</w:t>
      </w:r>
    </w:p>
    <w:p w:rsidR="00B01673" w:rsidRDefault="0021488F">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、上投摩根瑞泰</w:t>
      </w:r>
      <w:r>
        <w:rPr>
          <w:rFonts w:eastAsiaTheme="minorEastAsia"/>
          <w:color w:val="000000" w:themeColor="text1"/>
          <w:szCs w:val="21"/>
        </w:rPr>
        <w:t>38</w:t>
      </w:r>
      <w:r>
        <w:rPr>
          <w:rFonts w:eastAsiaTheme="minorEastAsia"/>
          <w:color w:val="000000" w:themeColor="text1"/>
          <w:szCs w:val="21"/>
        </w:rPr>
        <w:t>个月定期开放债券型证券投资基金托管协议</w:t>
      </w:r>
    </w:p>
    <w:p w:rsidR="00B01673" w:rsidRDefault="0021488F">
      <w:pPr>
        <w:spacing w:line="360" w:lineRule="auto"/>
        <w:ind w:firstLineChars="200" w:firstLine="420"/>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、基金管理人业务资格批件、营业执照</w:t>
      </w:r>
    </w:p>
    <w:p w:rsidR="00B01673" w:rsidRDefault="0021488F">
      <w:pPr>
        <w:spacing w:line="360" w:lineRule="auto"/>
        <w:ind w:firstLineChars="200" w:firstLine="420"/>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、基金托管人业务资格批件、营业执照</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6</w:t>
      </w:r>
      <w:r w:rsidRPr="00B27A29">
        <w:rPr>
          <w:rFonts w:eastAsiaTheme="minorEastAsia"/>
          <w:color w:val="000000" w:themeColor="text1"/>
          <w:szCs w:val="21"/>
        </w:rPr>
        <w:t>、上投摩根基金管理有限公司开放式基金业务规则</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9.2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基金管理人或基金托管人住所。</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lastRenderedPageBreak/>
        <w:t>9.3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上投摩根基金管理有限公司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二〇二一年七月二十一日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E0E" w:rsidRDefault="00E54E0E">
      <w:r>
        <w:separator/>
      </w:r>
    </w:p>
  </w:endnote>
  <w:endnote w:type="continuationSeparator" w:id="0">
    <w:p w:rsidR="00E54E0E" w:rsidRDefault="00E54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6251B4">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6251B4">
      <w:rPr>
        <w:noProof/>
        <w:kern w:val="0"/>
        <w:szCs w:val="21"/>
      </w:rPr>
      <w:t>13</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6251B4">
      <w:rPr>
        <w:rStyle w:val="af6"/>
        <w:noProof/>
      </w:rPr>
      <w:t>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E0E" w:rsidRDefault="00E54E0E">
      <w:r>
        <w:separator/>
      </w:r>
    </w:p>
  </w:footnote>
  <w:footnote w:type="continuationSeparator" w:id="0">
    <w:p w:rsidR="00E54E0E" w:rsidRDefault="00E54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上投摩根瑞泰</w:t>
    </w:r>
    <w:r>
      <w:t>38</w:t>
    </w:r>
    <w:r>
      <w:t>个月定期开放债券型证券投资基金</w:t>
    </w:r>
    <w:r>
      <w:t>2021</w:t>
    </w:r>
    <w:r>
      <w:t>年第</w:t>
    </w:r>
    <w:r>
      <w:t>2</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488F"/>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1B4"/>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1673"/>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694"/>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1D1816-18E0-4F71-B66F-91A9B8059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23</TotalTime>
  <Pages>13</Pages>
  <Words>1072</Words>
  <Characters>6117</Characters>
  <Application>Microsoft Office Word</Application>
  <DocSecurity>0</DocSecurity>
  <Lines>50</Lines>
  <Paragraphs>14</Paragraphs>
  <ScaleCrop>false</ScaleCrop>
  <Company>TRT. Ltd. Co.</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Wenyu.Qiu@FA</cp:lastModifiedBy>
  <cp:revision>220</cp:revision>
  <cp:lastPrinted>2007-07-19T00:46:00Z</cp:lastPrinted>
  <dcterms:created xsi:type="dcterms:W3CDTF">2013-06-21T06:56:00Z</dcterms:created>
  <dcterms:modified xsi:type="dcterms:W3CDTF">2021-07-20T06:57:00Z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