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摩根慧选成长股票型证券投资基金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摩根慧选成长股票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008314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2020</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22</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1,341,506,511.88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采用定量及定性研究方法，通过自上而下资产配置与自下而上精选个股相结合，基于严格的风险控制，力争实现基金资产的长期增值。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37EFC" w:rsidRDefault="001C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37EFC" w:rsidRDefault="001C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增速、固定资产投资增速、净出口增速、通胀率、货币供应、利率等宏观指标的变化趋势，结合股票、债券</w:t>
            </w:r>
            <w:r>
              <w:rPr>
                <w:rFonts w:eastAsiaTheme="minorEastAsia"/>
                <w:color w:val="000000" w:themeColor="text1"/>
                <w:kern w:val="0"/>
                <w:szCs w:val="21"/>
              </w:rPr>
              <w:lastRenderedPageBreak/>
              <w:t>等各类资产风险收益特征，确定合适的资产配置比例。本基金将根据各类证券的风险收益特征的相对变化，适度的调整确定基金资产在股票、债券及现金等类别资产间的分配比例，动态优化投资组合。</w:t>
            </w:r>
          </w:p>
          <w:p w:rsidR="00337EFC" w:rsidRDefault="001C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337EFC" w:rsidRDefault="001C3ED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成长与价值并重</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w:t>
            </w:r>
            <w:r>
              <w:rPr>
                <w:rFonts w:eastAsiaTheme="minorEastAsia"/>
                <w:color w:val="000000" w:themeColor="text1"/>
                <w:kern w:val="0"/>
                <w:szCs w:val="21"/>
              </w:rPr>
              <w:t>过行业配置与个股选择，获取超越业绩比较基准的超额收益。本基金重点投资于兼顾价值与成长性、公司治理良好且具有较高增长潜力的公司。在具体操作上，综合运用定量分析与定性分析的手段，获取个股的超额收益。</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、其他投资策略：包括债券投资策略、股指期货投资策略、资产支持证券投资策略、股票期权投资策略、存托凭证投资策略。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*75%+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*10%+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008315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1,082,302,865.17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259,203,646.71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63,277,103.31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14,353,834.13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37,577,317.14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7,890,114.09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0.0342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0.0296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1,295,820,097.70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301,974,368.35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1.1973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1.1650</w:t>
            </w:r>
          </w:p>
        </w:tc>
      </w:tr>
    </w:tbl>
    <w:p w:rsidR="00337EFC" w:rsidRDefault="001C3ED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摩根慧选成长股票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37EFC">
        <w:tc>
          <w:tcPr>
            <w:tcW w:w="1290" w:type="dxa"/>
            <w:vAlign w:val="center"/>
          </w:tcPr>
          <w:p w:rsidR="00337EFC" w:rsidRDefault="001C3EDD">
            <w:pPr>
              <w:jc w:val="left"/>
            </w:pPr>
            <w:r>
              <w:rPr>
                <w:rFonts w:eastAsiaTheme="minorEastAsia"/>
                <w:color w:val="000000" w:themeColor="text1"/>
                <w:szCs w:val="21"/>
              </w:rPr>
              <w:t>过去三个月</w:t>
            </w:r>
          </w:p>
        </w:tc>
        <w:tc>
          <w:tcPr>
            <w:tcW w:w="1291" w:type="dxa"/>
            <w:vAlign w:val="center"/>
          </w:tcPr>
          <w:p w:rsidR="00337EFC" w:rsidRDefault="001C3EDD">
            <w:pPr>
              <w:jc w:val="right"/>
            </w:pPr>
            <w:r>
              <w:rPr>
                <w:rFonts w:eastAsiaTheme="minorEastAsia"/>
                <w:color w:val="000000" w:themeColor="text1"/>
                <w:szCs w:val="21"/>
              </w:rPr>
              <w:t>2.82%</w:t>
            </w:r>
          </w:p>
        </w:tc>
        <w:tc>
          <w:tcPr>
            <w:tcW w:w="1291" w:type="dxa"/>
            <w:vAlign w:val="center"/>
          </w:tcPr>
          <w:p w:rsidR="00337EFC" w:rsidRDefault="001C3EDD">
            <w:pPr>
              <w:jc w:val="right"/>
            </w:pPr>
            <w:r>
              <w:rPr>
                <w:rFonts w:eastAsiaTheme="minorEastAsia"/>
                <w:color w:val="000000" w:themeColor="text1"/>
                <w:szCs w:val="21"/>
              </w:rPr>
              <w:t>1.31%</w:t>
            </w:r>
          </w:p>
        </w:tc>
        <w:tc>
          <w:tcPr>
            <w:tcW w:w="1291" w:type="dxa"/>
            <w:vAlign w:val="center"/>
          </w:tcPr>
          <w:p w:rsidR="00337EFC" w:rsidRDefault="001C3EDD">
            <w:pPr>
              <w:jc w:val="right"/>
            </w:pPr>
            <w:r>
              <w:rPr>
                <w:rFonts w:eastAsiaTheme="minorEastAsia"/>
                <w:color w:val="000000" w:themeColor="text1"/>
                <w:szCs w:val="21"/>
              </w:rPr>
              <w:t>-3.82%</w:t>
            </w:r>
          </w:p>
        </w:tc>
        <w:tc>
          <w:tcPr>
            <w:tcW w:w="1291" w:type="dxa"/>
            <w:vAlign w:val="center"/>
          </w:tcPr>
          <w:p w:rsidR="00337EFC" w:rsidRDefault="001C3EDD">
            <w:pPr>
              <w:jc w:val="right"/>
            </w:pPr>
            <w:r>
              <w:rPr>
                <w:rFonts w:eastAsiaTheme="minorEastAsia"/>
                <w:color w:val="000000" w:themeColor="text1"/>
                <w:szCs w:val="21"/>
              </w:rPr>
              <w:t>0.68%</w:t>
            </w:r>
          </w:p>
        </w:tc>
        <w:tc>
          <w:tcPr>
            <w:tcW w:w="1291" w:type="dxa"/>
            <w:vAlign w:val="center"/>
          </w:tcPr>
          <w:p w:rsidR="00337EFC" w:rsidRDefault="001C3EDD">
            <w:pPr>
              <w:jc w:val="right"/>
            </w:pPr>
            <w:r>
              <w:rPr>
                <w:rFonts w:eastAsiaTheme="minorEastAsia"/>
                <w:color w:val="000000" w:themeColor="text1"/>
                <w:szCs w:val="21"/>
              </w:rPr>
              <w:t>6.64%</w:t>
            </w:r>
          </w:p>
        </w:tc>
        <w:tc>
          <w:tcPr>
            <w:tcW w:w="1291" w:type="dxa"/>
            <w:vAlign w:val="center"/>
          </w:tcPr>
          <w:p w:rsidR="00337EFC" w:rsidRDefault="001C3EDD">
            <w:pPr>
              <w:jc w:val="right"/>
            </w:pPr>
            <w:r>
              <w:rPr>
                <w:rFonts w:eastAsiaTheme="minorEastAsia"/>
                <w:color w:val="000000" w:themeColor="text1"/>
                <w:szCs w:val="21"/>
              </w:rPr>
              <w:t>0.63%</w:t>
            </w:r>
          </w:p>
        </w:tc>
      </w:tr>
      <w:tr w:rsidR="00337EFC">
        <w:tc>
          <w:tcPr>
            <w:tcW w:w="1290" w:type="dxa"/>
            <w:vAlign w:val="center"/>
          </w:tcPr>
          <w:p w:rsidR="00337EFC" w:rsidRDefault="001C3EDD">
            <w:pPr>
              <w:jc w:val="left"/>
            </w:pPr>
            <w:r>
              <w:rPr>
                <w:rFonts w:eastAsiaTheme="minorEastAsia"/>
                <w:color w:val="000000" w:themeColor="text1"/>
                <w:szCs w:val="21"/>
              </w:rPr>
              <w:t>过去六个月</w:t>
            </w:r>
          </w:p>
        </w:tc>
        <w:tc>
          <w:tcPr>
            <w:tcW w:w="1291" w:type="dxa"/>
            <w:vAlign w:val="center"/>
          </w:tcPr>
          <w:p w:rsidR="00337EFC" w:rsidRDefault="001C3EDD">
            <w:pPr>
              <w:jc w:val="right"/>
            </w:pPr>
            <w:r>
              <w:rPr>
                <w:rFonts w:eastAsiaTheme="minorEastAsia"/>
                <w:color w:val="000000" w:themeColor="text1"/>
                <w:szCs w:val="21"/>
              </w:rPr>
              <w:t>3.74%</w:t>
            </w:r>
          </w:p>
        </w:tc>
        <w:tc>
          <w:tcPr>
            <w:tcW w:w="1291" w:type="dxa"/>
            <w:vAlign w:val="center"/>
          </w:tcPr>
          <w:p w:rsidR="00337EFC" w:rsidRDefault="001C3EDD">
            <w:pPr>
              <w:jc w:val="right"/>
            </w:pPr>
            <w:r>
              <w:rPr>
                <w:rFonts w:eastAsiaTheme="minorEastAsia"/>
                <w:color w:val="000000" w:themeColor="text1"/>
                <w:szCs w:val="21"/>
              </w:rPr>
              <w:t>1.18%</w:t>
            </w:r>
          </w:p>
        </w:tc>
        <w:tc>
          <w:tcPr>
            <w:tcW w:w="1291" w:type="dxa"/>
            <w:vAlign w:val="center"/>
          </w:tcPr>
          <w:p w:rsidR="00337EFC" w:rsidRDefault="001C3EDD">
            <w:pPr>
              <w:jc w:val="right"/>
            </w:pPr>
            <w:r>
              <w:rPr>
                <w:rFonts w:eastAsiaTheme="minorEastAsia"/>
                <w:color w:val="000000" w:themeColor="text1"/>
                <w:szCs w:val="21"/>
              </w:rPr>
              <w:t>0.20%</w:t>
            </w:r>
          </w:p>
        </w:tc>
        <w:tc>
          <w:tcPr>
            <w:tcW w:w="1291" w:type="dxa"/>
            <w:vAlign w:val="center"/>
          </w:tcPr>
          <w:p w:rsidR="00337EFC" w:rsidRDefault="001C3EDD">
            <w:pPr>
              <w:jc w:val="right"/>
            </w:pPr>
            <w:r>
              <w:rPr>
                <w:rFonts w:eastAsiaTheme="minorEastAsia"/>
                <w:color w:val="000000" w:themeColor="text1"/>
                <w:szCs w:val="21"/>
              </w:rPr>
              <w:t>0.68%</w:t>
            </w:r>
          </w:p>
        </w:tc>
        <w:tc>
          <w:tcPr>
            <w:tcW w:w="1291" w:type="dxa"/>
            <w:vAlign w:val="center"/>
          </w:tcPr>
          <w:p w:rsidR="00337EFC" w:rsidRDefault="001C3EDD">
            <w:pPr>
              <w:jc w:val="right"/>
            </w:pPr>
            <w:r>
              <w:rPr>
                <w:rFonts w:eastAsiaTheme="minorEastAsia"/>
                <w:color w:val="000000" w:themeColor="text1"/>
                <w:szCs w:val="21"/>
              </w:rPr>
              <w:t>3.54%</w:t>
            </w:r>
          </w:p>
        </w:tc>
        <w:tc>
          <w:tcPr>
            <w:tcW w:w="1291" w:type="dxa"/>
            <w:vAlign w:val="center"/>
          </w:tcPr>
          <w:p w:rsidR="00337EFC" w:rsidRDefault="001C3EDD">
            <w:pPr>
              <w:jc w:val="right"/>
            </w:pPr>
            <w:r>
              <w:rPr>
                <w:rFonts w:eastAsiaTheme="minorEastAsia"/>
                <w:color w:val="000000" w:themeColor="text1"/>
                <w:szCs w:val="21"/>
              </w:rPr>
              <w:t>0.50%</w:t>
            </w:r>
          </w:p>
        </w:tc>
      </w:tr>
      <w:tr w:rsidR="00337EFC">
        <w:tc>
          <w:tcPr>
            <w:tcW w:w="1290" w:type="dxa"/>
            <w:vAlign w:val="center"/>
          </w:tcPr>
          <w:p w:rsidR="00337EFC" w:rsidRDefault="001C3EDD">
            <w:pPr>
              <w:jc w:val="left"/>
            </w:pPr>
            <w:r>
              <w:rPr>
                <w:rFonts w:eastAsiaTheme="minorEastAsia"/>
                <w:color w:val="000000" w:themeColor="text1"/>
                <w:szCs w:val="21"/>
              </w:rPr>
              <w:t>过去一年</w:t>
            </w:r>
          </w:p>
        </w:tc>
        <w:tc>
          <w:tcPr>
            <w:tcW w:w="1291" w:type="dxa"/>
            <w:vAlign w:val="center"/>
          </w:tcPr>
          <w:p w:rsidR="00337EFC" w:rsidRDefault="001C3EDD">
            <w:pPr>
              <w:jc w:val="right"/>
            </w:pPr>
            <w:r>
              <w:rPr>
                <w:rFonts w:eastAsiaTheme="minorEastAsia"/>
                <w:color w:val="000000" w:themeColor="text1"/>
                <w:szCs w:val="21"/>
              </w:rPr>
              <w:t>-22.93%</w:t>
            </w:r>
          </w:p>
        </w:tc>
        <w:tc>
          <w:tcPr>
            <w:tcW w:w="1291" w:type="dxa"/>
            <w:vAlign w:val="center"/>
          </w:tcPr>
          <w:p w:rsidR="00337EFC" w:rsidRDefault="001C3EDD">
            <w:pPr>
              <w:jc w:val="right"/>
            </w:pPr>
            <w:r>
              <w:rPr>
                <w:rFonts w:eastAsiaTheme="minorEastAsia"/>
                <w:color w:val="000000" w:themeColor="text1"/>
                <w:szCs w:val="21"/>
              </w:rPr>
              <w:t>1.13%</w:t>
            </w:r>
          </w:p>
        </w:tc>
        <w:tc>
          <w:tcPr>
            <w:tcW w:w="1291" w:type="dxa"/>
            <w:vAlign w:val="center"/>
          </w:tcPr>
          <w:p w:rsidR="00337EFC" w:rsidRDefault="001C3EDD">
            <w:pPr>
              <w:jc w:val="right"/>
            </w:pPr>
            <w:r>
              <w:rPr>
                <w:rFonts w:eastAsiaTheme="minorEastAsia"/>
                <w:color w:val="000000" w:themeColor="text1"/>
                <w:szCs w:val="21"/>
              </w:rPr>
              <w:t>-9.53%</w:t>
            </w:r>
          </w:p>
        </w:tc>
        <w:tc>
          <w:tcPr>
            <w:tcW w:w="1291" w:type="dxa"/>
            <w:vAlign w:val="center"/>
          </w:tcPr>
          <w:p w:rsidR="00337EFC" w:rsidRDefault="001C3EDD">
            <w:pPr>
              <w:jc w:val="right"/>
            </w:pPr>
            <w:r>
              <w:rPr>
                <w:rFonts w:eastAsiaTheme="minorEastAsia"/>
                <w:color w:val="000000" w:themeColor="text1"/>
                <w:szCs w:val="21"/>
              </w:rPr>
              <w:t>0.81%</w:t>
            </w:r>
          </w:p>
        </w:tc>
        <w:tc>
          <w:tcPr>
            <w:tcW w:w="1291" w:type="dxa"/>
            <w:vAlign w:val="center"/>
          </w:tcPr>
          <w:p w:rsidR="00337EFC" w:rsidRDefault="001C3EDD">
            <w:pPr>
              <w:jc w:val="right"/>
            </w:pPr>
            <w:r>
              <w:rPr>
                <w:rFonts w:eastAsiaTheme="minorEastAsia"/>
                <w:color w:val="000000" w:themeColor="text1"/>
                <w:szCs w:val="21"/>
              </w:rPr>
              <w:t>-13.40%</w:t>
            </w:r>
          </w:p>
        </w:tc>
        <w:tc>
          <w:tcPr>
            <w:tcW w:w="1291" w:type="dxa"/>
            <w:vAlign w:val="center"/>
          </w:tcPr>
          <w:p w:rsidR="00337EFC" w:rsidRDefault="001C3EDD">
            <w:pPr>
              <w:jc w:val="right"/>
            </w:pPr>
            <w:r>
              <w:rPr>
                <w:rFonts w:eastAsiaTheme="minorEastAsia"/>
                <w:color w:val="000000" w:themeColor="text1"/>
                <w:szCs w:val="21"/>
              </w:rPr>
              <w:t>0.32%</w:t>
            </w:r>
          </w:p>
        </w:tc>
      </w:tr>
      <w:tr w:rsidR="00337EFC">
        <w:tc>
          <w:tcPr>
            <w:tcW w:w="1290" w:type="dxa"/>
            <w:vAlign w:val="center"/>
          </w:tcPr>
          <w:p w:rsidR="00337EFC" w:rsidRDefault="001C3EDD">
            <w:pPr>
              <w:jc w:val="left"/>
            </w:pPr>
            <w:r>
              <w:rPr>
                <w:rFonts w:eastAsiaTheme="minorEastAsia"/>
                <w:color w:val="000000" w:themeColor="text1"/>
                <w:szCs w:val="21"/>
              </w:rPr>
              <w:t>过去三年</w:t>
            </w:r>
          </w:p>
        </w:tc>
        <w:tc>
          <w:tcPr>
            <w:tcW w:w="1291" w:type="dxa"/>
            <w:vAlign w:val="center"/>
          </w:tcPr>
          <w:p w:rsidR="00337EFC" w:rsidRDefault="001C3EDD">
            <w:pPr>
              <w:jc w:val="right"/>
            </w:pPr>
            <w:r>
              <w:rPr>
                <w:rFonts w:eastAsiaTheme="minorEastAsia"/>
                <w:color w:val="000000" w:themeColor="text1"/>
                <w:szCs w:val="21"/>
              </w:rPr>
              <w:t>-9.58%</w:t>
            </w:r>
          </w:p>
        </w:tc>
        <w:tc>
          <w:tcPr>
            <w:tcW w:w="1291" w:type="dxa"/>
            <w:vAlign w:val="center"/>
          </w:tcPr>
          <w:p w:rsidR="00337EFC" w:rsidRDefault="001C3EDD">
            <w:pPr>
              <w:jc w:val="right"/>
            </w:pPr>
            <w:r>
              <w:rPr>
                <w:rFonts w:eastAsiaTheme="minorEastAsia"/>
                <w:color w:val="000000" w:themeColor="text1"/>
                <w:szCs w:val="21"/>
              </w:rPr>
              <w:t>1.51%</w:t>
            </w:r>
          </w:p>
        </w:tc>
        <w:tc>
          <w:tcPr>
            <w:tcW w:w="1291" w:type="dxa"/>
            <w:vAlign w:val="center"/>
          </w:tcPr>
          <w:p w:rsidR="00337EFC" w:rsidRDefault="001C3EDD">
            <w:pPr>
              <w:jc w:val="right"/>
            </w:pPr>
            <w:r>
              <w:rPr>
                <w:rFonts w:eastAsiaTheme="minorEastAsia"/>
                <w:color w:val="000000" w:themeColor="text1"/>
                <w:szCs w:val="21"/>
              </w:rPr>
              <w:t>-4.02%</w:t>
            </w:r>
          </w:p>
        </w:tc>
        <w:tc>
          <w:tcPr>
            <w:tcW w:w="1291" w:type="dxa"/>
            <w:vAlign w:val="center"/>
          </w:tcPr>
          <w:p w:rsidR="00337EFC" w:rsidRDefault="001C3EDD">
            <w:pPr>
              <w:jc w:val="right"/>
            </w:pPr>
            <w:r>
              <w:rPr>
                <w:rFonts w:eastAsiaTheme="minorEastAsia"/>
                <w:color w:val="000000" w:themeColor="text1"/>
                <w:szCs w:val="21"/>
              </w:rPr>
              <w:t>0.97%</w:t>
            </w:r>
          </w:p>
        </w:tc>
        <w:tc>
          <w:tcPr>
            <w:tcW w:w="1291" w:type="dxa"/>
            <w:vAlign w:val="center"/>
          </w:tcPr>
          <w:p w:rsidR="00337EFC" w:rsidRDefault="001C3EDD">
            <w:pPr>
              <w:jc w:val="right"/>
            </w:pPr>
            <w:r>
              <w:rPr>
                <w:rFonts w:eastAsiaTheme="minorEastAsia"/>
                <w:color w:val="000000" w:themeColor="text1"/>
                <w:szCs w:val="21"/>
              </w:rPr>
              <w:t>-5.56%</w:t>
            </w:r>
          </w:p>
        </w:tc>
        <w:tc>
          <w:tcPr>
            <w:tcW w:w="1291" w:type="dxa"/>
            <w:vAlign w:val="center"/>
          </w:tcPr>
          <w:p w:rsidR="00337EFC" w:rsidRDefault="001C3EDD">
            <w:pPr>
              <w:jc w:val="right"/>
            </w:pPr>
            <w:r>
              <w:rPr>
                <w:rFonts w:eastAsiaTheme="minorEastAsia"/>
                <w:color w:val="000000" w:themeColor="text1"/>
                <w:szCs w:val="21"/>
              </w:rPr>
              <w:t>0.54%</w:t>
            </w:r>
          </w:p>
        </w:tc>
      </w:tr>
      <w:tr w:rsidR="00337EFC">
        <w:tc>
          <w:tcPr>
            <w:tcW w:w="1290" w:type="dxa"/>
            <w:vAlign w:val="center"/>
          </w:tcPr>
          <w:p w:rsidR="00337EFC" w:rsidRDefault="001C3EDD">
            <w:pPr>
              <w:jc w:val="left"/>
            </w:pPr>
            <w:r>
              <w:rPr>
                <w:rFonts w:eastAsiaTheme="minorEastAsia"/>
                <w:color w:val="000000" w:themeColor="text1"/>
                <w:szCs w:val="21"/>
              </w:rPr>
              <w:t>过去五年</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r>
      <w:tr w:rsidR="00337EFC">
        <w:tc>
          <w:tcPr>
            <w:tcW w:w="1290" w:type="dxa"/>
            <w:vAlign w:val="center"/>
          </w:tcPr>
          <w:p w:rsidR="00337EFC" w:rsidRDefault="001C3EDD">
            <w:pPr>
              <w:jc w:val="left"/>
            </w:pPr>
            <w:r>
              <w:rPr>
                <w:rFonts w:eastAsiaTheme="minorEastAsia"/>
                <w:color w:val="000000" w:themeColor="text1"/>
                <w:szCs w:val="21"/>
              </w:rPr>
              <w:t>自基金合同生效起至今</w:t>
            </w:r>
          </w:p>
        </w:tc>
        <w:tc>
          <w:tcPr>
            <w:tcW w:w="1291" w:type="dxa"/>
            <w:vAlign w:val="center"/>
          </w:tcPr>
          <w:p w:rsidR="00337EFC" w:rsidRDefault="001C3EDD">
            <w:pPr>
              <w:jc w:val="right"/>
            </w:pPr>
            <w:r>
              <w:rPr>
                <w:rFonts w:eastAsiaTheme="minorEastAsia"/>
                <w:color w:val="000000" w:themeColor="text1"/>
                <w:szCs w:val="21"/>
              </w:rPr>
              <w:t>19.73%</w:t>
            </w:r>
          </w:p>
        </w:tc>
        <w:tc>
          <w:tcPr>
            <w:tcW w:w="1291" w:type="dxa"/>
            <w:vAlign w:val="center"/>
          </w:tcPr>
          <w:p w:rsidR="00337EFC" w:rsidRDefault="001C3EDD">
            <w:pPr>
              <w:jc w:val="right"/>
            </w:pPr>
            <w:r>
              <w:rPr>
                <w:rFonts w:eastAsiaTheme="minorEastAsia"/>
                <w:color w:val="000000" w:themeColor="text1"/>
                <w:szCs w:val="21"/>
              </w:rPr>
              <w:t>1.47%</w:t>
            </w:r>
          </w:p>
        </w:tc>
        <w:tc>
          <w:tcPr>
            <w:tcW w:w="1291" w:type="dxa"/>
            <w:vAlign w:val="center"/>
          </w:tcPr>
          <w:p w:rsidR="00337EFC" w:rsidRDefault="001C3EDD">
            <w:pPr>
              <w:jc w:val="right"/>
            </w:pPr>
            <w:r>
              <w:rPr>
                <w:rFonts w:eastAsiaTheme="minorEastAsia"/>
                <w:color w:val="000000" w:themeColor="text1"/>
                <w:szCs w:val="21"/>
              </w:rPr>
              <w:t>-2.23%</w:t>
            </w:r>
          </w:p>
        </w:tc>
        <w:tc>
          <w:tcPr>
            <w:tcW w:w="1291" w:type="dxa"/>
            <w:vAlign w:val="center"/>
          </w:tcPr>
          <w:p w:rsidR="00337EFC" w:rsidRDefault="001C3EDD">
            <w:pPr>
              <w:jc w:val="right"/>
            </w:pPr>
            <w:r>
              <w:rPr>
                <w:rFonts w:eastAsiaTheme="minorEastAsia"/>
                <w:color w:val="000000" w:themeColor="text1"/>
                <w:szCs w:val="21"/>
              </w:rPr>
              <w:t>1.03%</w:t>
            </w:r>
          </w:p>
        </w:tc>
        <w:tc>
          <w:tcPr>
            <w:tcW w:w="1291" w:type="dxa"/>
            <w:vAlign w:val="center"/>
          </w:tcPr>
          <w:p w:rsidR="00337EFC" w:rsidRDefault="001C3EDD">
            <w:pPr>
              <w:jc w:val="right"/>
            </w:pPr>
            <w:r>
              <w:rPr>
                <w:rFonts w:eastAsiaTheme="minorEastAsia"/>
                <w:color w:val="000000" w:themeColor="text1"/>
                <w:szCs w:val="21"/>
              </w:rPr>
              <w:t>21.96%</w:t>
            </w:r>
          </w:p>
        </w:tc>
        <w:tc>
          <w:tcPr>
            <w:tcW w:w="1291" w:type="dxa"/>
            <w:vAlign w:val="center"/>
          </w:tcPr>
          <w:p w:rsidR="00337EFC" w:rsidRDefault="001C3EDD">
            <w:pPr>
              <w:jc w:val="right"/>
            </w:pPr>
            <w:r>
              <w:rPr>
                <w:rFonts w:eastAsiaTheme="minorEastAsia"/>
                <w:color w:val="000000" w:themeColor="text1"/>
                <w:szCs w:val="21"/>
              </w:rPr>
              <w:t>0.44%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摩根慧选成长股票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lastRenderedPageBreak/>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lastRenderedPageBreak/>
              <w:t>净值增长率</w:t>
            </w:r>
            <w:r w:rsidRPr="00B27A29">
              <w:rPr>
                <w:rFonts w:eastAsiaTheme="minorEastAsia"/>
                <w:color w:val="000000" w:themeColor="text1"/>
                <w:szCs w:val="21"/>
              </w:rPr>
              <w:lastRenderedPageBreak/>
              <w:t>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lastRenderedPageBreak/>
              <w:t>业绩比较基</w:t>
            </w:r>
            <w:r w:rsidRPr="00B27A29">
              <w:rPr>
                <w:rFonts w:eastAsiaTheme="minorEastAsia"/>
                <w:color w:val="000000" w:themeColor="text1"/>
                <w:szCs w:val="21"/>
              </w:rPr>
              <w:lastRenderedPageBreak/>
              <w:t>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lastRenderedPageBreak/>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37EFC">
        <w:tc>
          <w:tcPr>
            <w:tcW w:w="1290" w:type="dxa"/>
            <w:vAlign w:val="center"/>
          </w:tcPr>
          <w:p w:rsidR="00337EFC" w:rsidRDefault="001C3EDD">
            <w:pPr>
              <w:jc w:val="left"/>
            </w:pPr>
            <w:r>
              <w:rPr>
                <w:rFonts w:eastAsiaTheme="minorEastAsia"/>
                <w:color w:val="000000" w:themeColor="text1"/>
                <w:szCs w:val="21"/>
              </w:rPr>
              <w:t>过去三个月</w:t>
            </w:r>
          </w:p>
        </w:tc>
        <w:tc>
          <w:tcPr>
            <w:tcW w:w="1291" w:type="dxa"/>
            <w:vAlign w:val="center"/>
          </w:tcPr>
          <w:p w:rsidR="00337EFC" w:rsidRDefault="001C3EDD">
            <w:pPr>
              <w:jc w:val="right"/>
            </w:pPr>
            <w:r>
              <w:rPr>
                <w:rFonts w:eastAsiaTheme="minorEastAsia"/>
                <w:color w:val="000000" w:themeColor="text1"/>
                <w:szCs w:val="21"/>
              </w:rPr>
              <w:t>2.62%</w:t>
            </w:r>
          </w:p>
        </w:tc>
        <w:tc>
          <w:tcPr>
            <w:tcW w:w="1291" w:type="dxa"/>
            <w:vAlign w:val="center"/>
          </w:tcPr>
          <w:p w:rsidR="00337EFC" w:rsidRDefault="001C3EDD">
            <w:pPr>
              <w:jc w:val="right"/>
            </w:pPr>
            <w:r>
              <w:rPr>
                <w:rFonts w:eastAsiaTheme="minorEastAsia"/>
                <w:color w:val="000000" w:themeColor="text1"/>
                <w:szCs w:val="21"/>
              </w:rPr>
              <w:t>1.31%</w:t>
            </w:r>
          </w:p>
        </w:tc>
        <w:tc>
          <w:tcPr>
            <w:tcW w:w="1291" w:type="dxa"/>
            <w:vAlign w:val="center"/>
          </w:tcPr>
          <w:p w:rsidR="00337EFC" w:rsidRDefault="001C3EDD">
            <w:pPr>
              <w:jc w:val="right"/>
            </w:pPr>
            <w:r>
              <w:rPr>
                <w:rFonts w:eastAsiaTheme="minorEastAsia"/>
                <w:color w:val="000000" w:themeColor="text1"/>
                <w:szCs w:val="21"/>
              </w:rPr>
              <w:t>-3.82%</w:t>
            </w:r>
          </w:p>
        </w:tc>
        <w:tc>
          <w:tcPr>
            <w:tcW w:w="1291" w:type="dxa"/>
            <w:vAlign w:val="center"/>
          </w:tcPr>
          <w:p w:rsidR="00337EFC" w:rsidRDefault="001C3EDD">
            <w:pPr>
              <w:jc w:val="right"/>
            </w:pPr>
            <w:r>
              <w:rPr>
                <w:rFonts w:eastAsiaTheme="minorEastAsia"/>
                <w:color w:val="000000" w:themeColor="text1"/>
                <w:szCs w:val="21"/>
              </w:rPr>
              <w:t>0.68%</w:t>
            </w:r>
          </w:p>
        </w:tc>
        <w:tc>
          <w:tcPr>
            <w:tcW w:w="1291" w:type="dxa"/>
            <w:vAlign w:val="center"/>
          </w:tcPr>
          <w:p w:rsidR="00337EFC" w:rsidRDefault="001C3EDD">
            <w:pPr>
              <w:jc w:val="right"/>
            </w:pPr>
            <w:r>
              <w:rPr>
                <w:rFonts w:eastAsiaTheme="minorEastAsia"/>
                <w:color w:val="000000" w:themeColor="text1"/>
                <w:szCs w:val="21"/>
              </w:rPr>
              <w:t>6.44%</w:t>
            </w:r>
          </w:p>
        </w:tc>
        <w:tc>
          <w:tcPr>
            <w:tcW w:w="1291" w:type="dxa"/>
            <w:vAlign w:val="center"/>
          </w:tcPr>
          <w:p w:rsidR="00337EFC" w:rsidRDefault="001C3EDD">
            <w:pPr>
              <w:jc w:val="right"/>
            </w:pPr>
            <w:r>
              <w:rPr>
                <w:rFonts w:eastAsiaTheme="minorEastAsia"/>
                <w:color w:val="000000" w:themeColor="text1"/>
                <w:szCs w:val="21"/>
              </w:rPr>
              <w:t>0.63%</w:t>
            </w:r>
          </w:p>
        </w:tc>
      </w:tr>
      <w:tr w:rsidR="00337EFC">
        <w:tc>
          <w:tcPr>
            <w:tcW w:w="1290" w:type="dxa"/>
            <w:vAlign w:val="center"/>
          </w:tcPr>
          <w:p w:rsidR="00337EFC" w:rsidRDefault="001C3EDD">
            <w:pPr>
              <w:jc w:val="left"/>
            </w:pPr>
            <w:r>
              <w:rPr>
                <w:rFonts w:eastAsiaTheme="minorEastAsia"/>
                <w:color w:val="000000" w:themeColor="text1"/>
                <w:szCs w:val="21"/>
              </w:rPr>
              <w:t>过去六个月</w:t>
            </w:r>
          </w:p>
        </w:tc>
        <w:tc>
          <w:tcPr>
            <w:tcW w:w="1291" w:type="dxa"/>
            <w:vAlign w:val="center"/>
          </w:tcPr>
          <w:p w:rsidR="00337EFC" w:rsidRDefault="001C3EDD">
            <w:pPr>
              <w:jc w:val="right"/>
            </w:pPr>
            <w:r>
              <w:rPr>
                <w:rFonts w:eastAsiaTheme="minorEastAsia"/>
                <w:color w:val="000000" w:themeColor="text1"/>
                <w:szCs w:val="21"/>
              </w:rPr>
              <w:t>3.34%</w:t>
            </w:r>
          </w:p>
        </w:tc>
        <w:tc>
          <w:tcPr>
            <w:tcW w:w="1291" w:type="dxa"/>
            <w:vAlign w:val="center"/>
          </w:tcPr>
          <w:p w:rsidR="00337EFC" w:rsidRDefault="001C3EDD">
            <w:pPr>
              <w:jc w:val="right"/>
            </w:pPr>
            <w:r>
              <w:rPr>
                <w:rFonts w:eastAsiaTheme="minorEastAsia"/>
                <w:color w:val="000000" w:themeColor="text1"/>
                <w:szCs w:val="21"/>
              </w:rPr>
              <w:t>1.18%</w:t>
            </w:r>
          </w:p>
        </w:tc>
        <w:tc>
          <w:tcPr>
            <w:tcW w:w="1291" w:type="dxa"/>
            <w:vAlign w:val="center"/>
          </w:tcPr>
          <w:p w:rsidR="00337EFC" w:rsidRDefault="001C3EDD">
            <w:pPr>
              <w:jc w:val="right"/>
            </w:pPr>
            <w:r>
              <w:rPr>
                <w:rFonts w:eastAsiaTheme="minorEastAsia"/>
                <w:color w:val="000000" w:themeColor="text1"/>
                <w:szCs w:val="21"/>
              </w:rPr>
              <w:t>0.20%</w:t>
            </w:r>
          </w:p>
        </w:tc>
        <w:tc>
          <w:tcPr>
            <w:tcW w:w="1291" w:type="dxa"/>
            <w:vAlign w:val="center"/>
          </w:tcPr>
          <w:p w:rsidR="00337EFC" w:rsidRDefault="001C3EDD">
            <w:pPr>
              <w:jc w:val="right"/>
            </w:pPr>
            <w:r>
              <w:rPr>
                <w:rFonts w:eastAsiaTheme="minorEastAsia"/>
                <w:color w:val="000000" w:themeColor="text1"/>
                <w:szCs w:val="21"/>
              </w:rPr>
              <w:t>0.68%</w:t>
            </w:r>
          </w:p>
        </w:tc>
        <w:tc>
          <w:tcPr>
            <w:tcW w:w="1291" w:type="dxa"/>
            <w:vAlign w:val="center"/>
          </w:tcPr>
          <w:p w:rsidR="00337EFC" w:rsidRDefault="001C3EDD">
            <w:pPr>
              <w:jc w:val="right"/>
            </w:pPr>
            <w:r>
              <w:rPr>
                <w:rFonts w:eastAsiaTheme="minorEastAsia"/>
                <w:color w:val="000000" w:themeColor="text1"/>
                <w:szCs w:val="21"/>
              </w:rPr>
              <w:t>3.14%</w:t>
            </w:r>
          </w:p>
        </w:tc>
        <w:tc>
          <w:tcPr>
            <w:tcW w:w="1291" w:type="dxa"/>
            <w:vAlign w:val="center"/>
          </w:tcPr>
          <w:p w:rsidR="00337EFC" w:rsidRDefault="001C3EDD">
            <w:pPr>
              <w:jc w:val="right"/>
            </w:pPr>
            <w:r>
              <w:rPr>
                <w:rFonts w:eastAsiaTheme="minorEastAsia"/>
                <w:color w:val="000000" w:themeColor="text1"/>
                <w:szCs w:val="21"/>
              </w:rPr>
              <w:t>0.50%</w:t>
            </w:r>
          </w:p>
        </w:tc>
      </w:tr>
      <w:tr w:rsidR="00337EFC">
        <w:tc>
          <w:tcPr>
            <w:tcW w:w="1290" w:type="dxa"/>
            <w:vAlign w:val="center"/>
          </w:tcPr>
          <w:p w:rsidR="00337EFC" w:rsidRDefault="001C3EDD">
            <w:pPr>
              <w:jc w:val="left"/>
            </w:pPr>
            <w:r>
              <w:rPr>
                <w:rFonts w:eastAsiaTheme="minorEastAsia"/>
                <w:color w:val="000000" w:themeColor="text1"/>
                <w:szCs w:val="21"/>
              </w:rPr>
              <w:t>过去一年</w:t>
            </w:r>
          </w:p>
        </w:tc>
        <w:tc>
          <w:tcPr>
            <w:tcW w:w="1291" w:type="dxa"/>
            <w:vAlign w:val="center"/>
          </w:tcPr>
          <w:p w:rsidR="00337EFC" w:rsidRDefault="001C3EDD">
            <w:pPr>
              <w:jc w:val="right"/>
            </w:pPr>
            <w:r>
              <w:rPr>
                <w:rFonts w:eastAsiaTheme="minorEastAsia"/>
                <w:color w:val="000000" w:themeColor="text1"/>
                <w:szCs w:val="21"/>
              </w:rPr>
              <w:t>-23.55%</w:t>
            </w:r>
          </w:p>
        </w:tc>
        <w:tc>
          <w:tcPr>
            <w:tcW w:w="1291" w:type="dxa"/>
            <w:vAlign w:val="center"/>
          </w:tcPr>
          <w:p w:rsidR="00337EFC" w:rsidRDefault="001C3EDD">
            <w:pPr>
              <w:jc w:val="right"/>
            </w:pPr>
            <w:r>
              <w:rPr>
                <w:rFonts w:eastAsiaTheme="minorEastAsia"/>
                <w:color w:val="000000" w:themeColor="text1"/>
                <w:szCs w:val="21"/>
              </w:rPr>
              <w:t>1.13%</w:t>
            </w:r>
          </w:p>
        </w:tc>
        <w:tc>
          <w:tcPr>
            <w:tcW w:w="1291" w:type="dxa"/>
            <w:vAlign w:val="center"/>
          </w:tcPr>
          <w:p w:rsidR="00337EFC" w:rsidRDefault="001C3EDD">
            <w:pPr>
              <w:jc w:val="right"/>
            </w:pPr>
            <w:r>
              <w:rPr>
                <w:rFonts w:eastAsiaTheme="minorEastAsia"/>
                <w:color w:val="000000" w:themeColor="text1"/>
                <w:szCs w:val="21"/>
              </w:rPr>
              <w:t>-9.53%</w:t>
            </w:r>
          </w:p>
        </w:tc>
        <w:tc>
          <w:tcPr>
            <w:tcW w:w="1291" w:type="dxa"/>
            <w:vAlign w:val="center"/>
          </w:tcPr>
          <w:p w:rsidR="00337EFC" w:rsidRDefault="001C3EDD">
            <w:pPr>
              <w:jc w:val="right"/>
            </w:pPr>
            <w:r>
              <w:rPr>
                <w:rFonts w:eastAsiaTheme="minorEastAsia"/>
                <w:color w:val="000000" w:themeColor="text1"/>
                <w:szCs w:val="21"/>
              </w:rPr>
              <w:t>0.81%</w:t>
            </w:r>
          </w:p>
        </w:tc>
        <w:tc>
          <w:tcPr>
            <w:tcW w:w="1291" w:type="dxa"/>
            <w:vAlign w:val="center"/>
          </w:tcPr>
          <w:p w:rsidR="00337EFC" w:rsidRDefault="001C3EDD">
            <w:pPr>
              <w:jc w:val="right"/>
            </w:pPr>
            <w:r>
              <w:rPr>
                <w:rFonts w:eastAsiaTheme="minorEastAsia"/>
                <w:color w:val="000000" w:themeColor="text1"/>
                <w:szCs w:val="21"/>
              </w:rPr>
              <w:t>-14.02%</w:t>
            </w:r>
          </w:p>
        </w:tc>
        <w:tc>
          <w:tcPr>
            <w:tcW w:w="1291" w:type="dxa"/>
            <w:vAlign w:val="center"/>
          </w:tcPr>
          <w:p w:rsidR="00337EFC" w:rsidRDefault="001C3EDD">
            <w:pPr>
              <w:jc w:val="right"/>
            </w:pPr>
            <w:r>
              <w:rPr>
                <w:rFonts w:eastAsiaTheme="minorEastAsia"/>
                <w:color w:val="000000" w:themeColor="text1"/>
                <w:szCs w:val="21"/>
              </w:rPr>
              <w:t>0.32%</w:t>
            </w:r>
          </w:p>
        </w:tc>
      </w:tr>
      <w:tr w:rsidR="00337EFC">
        <w:tc>
          <w:tcPr>
            <w:tcW w:w="1290" w:type="dxa"/>
            <w:vAlign w:val="center"/>
          </w:tcPr>
          <w:p w:rsidR="00337EFC" w:rsidRDefault="001C3EDD">
            <w:pPr>
              <w:jc w:val="left"/>
            </w:pPr>
            <w:r>
              <w:rPr>
                <w:rFonts w:eastAsiaTheme="minorEastAsia"/>
                <w:color w:val="000000" w:themeColor="text1"/>
                <w:szCs w:val="21"/>
              </w:rPr>
              <w:t>过去三年</w:t>
            </w:r>
          </w:p>
        </w:tc>
        <w:tc>
          <w:tcPr>
            <w:tcW w:w="1291" w:type="dxa"/>
            <w:vAlign w:val="center"/>
          </w:tcPr>
          <w:p w:rsidR="00337EFC" w:rsidRDefault="001C3EDD">
            <w:pPr>
              <w:jc w:val="right"/>
            </w:pPr>
            <w:r>
              <w:rPr>
                <w:rFonts w:eastAsiaTheme="minorEastAsia"/>
                <w:color w:val="000000" w:themeColor="text1"/>
                <w:szCs w:val="21"/>
              </w:rPr>
              <w:t>-11.72%</w:t>
            </w:r>
          </w:p>
        </w:tc>
        <w:tc>
          <w:tcPr>
            <w:tcW w:w="1291" w:type="dxa"/>
            <w:vAlign w:val="center"/>
          </w:tcPr>
          <w:p w:rsidR="00337EFC" w:rsidRDefault="001C3EDD">
            <w:pPr>
              <w:jc w:val="right"/>
            </w:pPr>
            <w:r>
              <w:rPr>
                <w:rFonts w:eastAsiaTheme="minorEastAsia"/>
                <w:color w:val="000000" w:themeColor="text1"/>
                <w:szCs w:val="21"/>
              </w:rPr>
              <w:t>1.51%</w:t>
            </w:r>
          </w:p>
        </w:tc>
        <w:tc>
          <w:tcPr>
            <w:tcW w:w="1291" w:type="dxa"/>
            <w:vAlign w:val="center"/>
          </w:tcPr>
          <w:p w:rsidR="00337EFC" w:rsidRDefault="001C3EDD">
            <w:pPr>
              <w:jc w:val="right"/>
            </w:pPr>
            <w:r>
              <w:rPr>
                <w:rFonts w:eastAsiaTheme="minorEastAsia"/>
                <w:color w:val="000000" w:themeColor="text1"/>
                <w:szCs w:val="21"/>
              </w:rPr>
              <w:t>-4.02%</w:t>
            </w:r>
          </w:p>
        </w:tc>
        <w:tc>
          <w:tcPr>
            <w:tcW w:w="1291" w:type="dxa"/>
            <w:vAlign w:val="center"/>
          </w:tcPr>
          <w:p w:rsidR="00337EFC" w:rsidRDefault="001C3EDD">
            <w:pPr>
              <w:jc w:val="right"/>
            </w:pPr>
            <w:r>
              <w:rPr>
                <w:rFonts w:eastAsiaTheme="minorEastAsia"/>
                <w:color w:val="000000" w:themeColor="text1"/>
                <w:szCs w:val="21"/>
              </w:rPr>
              <w:t>0.97%</w:t>
            </w:r>
          </w:p>
        </w:tc>
        <w:tc>
          <w:tcPr>
            <w:tcW w:w="1291" w:type="dxa"/>
            <w:vAlign w:val="center"/>
          </w:tcPr>
          <w:p w:rsidR="00337EFC" w:rsidRDefault="001C3EDD">
            <w:pPr>
              <w:jc w:val="right"/>
            </w:pPr>
            <w:r>
              <w:rPr>
                <w:rFonts w:eastAsiaTheme="minorEastAsia"/>
                <w:color w:val="000000" w:themeColor="text1"/>
                <w:szCs w:val="21"/>
              </w:rPr>
              <w:t>-7.70%</w:t>
            </w:r>
          </w:p>
        </w:tc>
        <w:tc>
          <w:tcPr>
            <w:tcW w:w="1291" w:type="dxa"/>
            <w:vAlign w:val="center"/>
          </w:tcPr>
          <w:p w:rsidR="00337EFC" w:rsidRDefault="001C3EDD">
            <w:pPr>
              <w:jc w:val="right"/>
            </w:pPr>
            <w:r>
              <w:rPr>
                <w:rFonts w:eastAsiaTheme="minorEastAsia"/>
                <w:color w:val="000000" w:themeColor="text1"/>
                <w:szCs w:val="21"/>
              </w:rPr>
              <w:t>0.54%</w:t>
            </w:r>
          </w:p>
        </w:tc>
      </w:tr>
      <w:tr w:rsidR="00337EFC">
        <w:tc>
          <w:tcPr>
            <w:tcW w:w="1290" w:type="dxa"/>
            <w:vAlign w:val="center"/>
          </w:tcPr>
          <w:p w:rsidR="00337EFC" w:rsidRDefault="001C3EDD">
            <w:pPr>
              <w:jc w:val="left"/>
            </w:pPr>
            <w:r>
              <w:rPr>
                <w:rFonts w:eastAsiaTheme="minorEastAsia"/>
                <w:color w:val="000000" w:themeColor="text1"/>
                <w:szCs w:val="21"/>
              </w:rPr>
              <w:t>过去五年</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c>
          <w:tcPr>
            <w:tcW w:w="1291" w:type="dxa"/>
            <w:vAlign w:val="center"/>
          </w:tcPr>
          <w:p w:rsidR="00337EFC" w:rsidRDefault="001C3EDD">
            <w:pPr>
              <w:jc w:val="right"/>
            </w:pPr>
            <w:r>
              <w:rPr>
                <w:rFonts w:eastAsiaTheme="minorEastAsia"/>
                <w:color w:val="000000" w:themeColor="text1"/>
                <w:szCs w:val="21"/>
              </w:rPr>
              <w:t>-</w:t>
            </w:r>
          </w:p>
        </w:tc>
      </w:tr>
      <w:tr w:rsidR="00337EFC">
        <w:tc>
          <w:tcPr>
            <w:tcW w:w="1290" w:type="dxa"/>
            <w:vAlign w:val="center"/>
          </w:tcPr>
          <w:p w:rsidR="00337EFC" w:rsidRDefault="001C3EDD">
            <w:pPr>
              <w:jc w:val="left"/>
            </w:pPr>
            <w:r>
              <w:rPr>
                <w:rFonts w:eastAsiaTheme="minorEastAsia"/>
                <w:color w:val="000000" w:themeColor="text1"/>
                <w:szCs w:val="21"/>
              </w:rPr>
              <w:t>自基金合同生效起至今</w:t>
            </w:r>
          </w:p>
        </w:tc>
        <w:tc>
          <w:tcPr>
            <w:tcW w:w="1291" w:type="dxa"/>
            <w:vAlign w:val="center"/>
          </w:tcPr>
          <w:p w:rsidR="00337EFC" w:rsidRDefault="001C3EDD">
            <w:pPr>
              <w:jc w:val="right"/>
            </w:pPr>
            <w:r>
              <w:rPr>
                <w:rFonts w:eastAsiaTheme="minorEastAsia"/>
                <w:color w:val="000000" w:themeColor="text1"/>
                <w:szCs w:val="21"/>
              </w:rPr>
              <w:t>16.50%</w:t>
            </w:r>
          </w:p>
        </w:tc>
        <w:tc>
          <w:tcPr>
            <w:tcW w:w="1291" w:type="dxa"/>
            <w:vAlign w:val="center"/>
          </w:tcPr>
          <w:p w:rsidR="00337EFC" w:rsidRDefault="001C3EDD">
            <w:pPr>
              <w:jc w:val="right"/>
            </w:pPr>
            <w:r>
              <w:rPr>
                <w:rFonts w:eastAsiaTheme="minorEastAsia"/>
                <w:color w:val="000000" w:themeColor="text1"/>
                <w:szCs w:val="21"/>
              </w:rPr>
              <w:t>1.47%</w:t>
            </w:r>
          </w:p>
        </w:tc>
        <w:tc>
          <w:tcPr>
            <w:tcW w:w="1291" w:type="dxa"/>
            <w:vAlign w:val="center"/>
          </w:tcPr>
          <w:p w:rsidR="00337EFC" w:rsidRDefault="001C3EDD">
            <w:pPr>
              <w:jc w:val="right"/>
            </w:pPr>
            <w:r>
              <w:rPr>
                <w:rFonts w:eastAsiaTheme="minorEastAsia"/>
                <w:color w:val="000000" w:themeColor="text1"/>
                <w:szCs w:val="21"/>
              </w:rPr>
              <w:t>-2.23%</w:t>
            </w:r>
          </w:p>
        </w:tc>
        <w:tc>
          <w:tcPr>
            <w:tcW w:w="1291" w:type="dxa"/>
            <w:vAlign w:val="center"/>
          </w:tcPr>
          <w:p w:rsidR="00337EFC" w:rsidRDefault="001C3EDD">
            <w:pPr>
              <w:jc w:val="right"/>
            </w:pPr>
            <w:r>
              <w:rPr>
                <w:rFonts w:eastAsiaTheme="minorEastAsia"/>
                <w:color w:val="000000" w:themeColor="text1"/>
                <w:szCs w:val="21"/>
              </w:rPr>
              <w:t>1.03%</w:t>
            </w:r>
          </w:p>
        </w:tc>
        <w:tc>
          <w:tcPr>
            <w:tcW w:w="1291" w:type="dxa"/>
            <w:vAlign w:val="center"/>
          </w:tcPr>
          <w:p w:rsidR="00337EFC" w:rsidRDefault="001C3EDD">
            <w:pPr>
              <w:jc w:val="right"/>
            </w:pPr>
            <w:r>
              <w:rPr>
                <w:rFonts w:eastAsiaTheme="minorEastAsia"/>
                <w:color w:val="000000" w:themeColor="text1"/>
                <w:szCs w:val="21"/>
              </w:rPr>
              <w:t>18.73%</w:t>
            </w:r>
          </w:p>
        </w:tc>
        <w:tc>
          <w:tcPr>
            <w:tcW w:w="1291" w:type="dxa"/>
            <w:vAlign w:val="center"/>
          </w:tcPr>
          <w:p w:rsidR="00337EFC" w:rsidRDefault="001C3EDD">
            <w:pPr>
              <w:jc w:val="right"/>
            </w:pPr>
            <w:r>
              <w:rPr>
                <w:rFonts w:eastAsiaTheme="minorEastAsia"/>
                <w:color w:val="000000" w:themeColor="text1"/>
                <w:szCs w:val="21"/>
              </w:rPr>
              <w:t>0.44%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摩根慧选成长股票型证券投资基金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(2020</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22</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．摩根慧选成长股票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．摩根慧选成长股票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37EFC">
        <w:tc>
          <w:tcPr>
            <w:tcW w:w="952" w:type="dxa"/>
            <w:vAlign w:val="center"/>
          </w:tcPr>
          <w:p w:rsidR="00337EFC" w:rsidRDefault="001C3EDD">
            <w:pPr>
              <w:jc w:val="center"/>
            </w:pPr>
            <w:r>
              <w:rPr>
                <w:rFonts w:eastAsiaTheme="minorEastAsia"/>
                <w:color w:val="000000" w:themeColor="text1"/>
                <w:szCs w:val="21"/>
              </w:rPr>
              <w:t>李德辉</w:t>
            </w:r>
          </w:p>
        </w:tc>
        <w:tc>
          <w:tcPr>
            <w:tcW w:w="930" w:type="dxa"/>
            <w:vAlign w:val="center"/>
          </w:tcPr>
          <w:p w:rsidR="00337EFC" w:rsidRDefault="001C3EDD">
            <w:pPr>
              <w:jc w:val="center"/>
            </w:pPr>
            <w:r>
              <w:rPr>
                <w:rFonts w:eastAsiaTheme="minorEastAsia"/>
                <w:color w:val="000000" w:themeColor="text1"/>
                <w:szCs w:val="21"/>
              </w:rPr>
              <w:t>本基金基金经理</w:t>
            </w:r>
          </w:p>
        </w:tc>
        <w:tc>
          <w:tcPr>
            <w:tcW w:w="1210" w:type="dxa"/>
            <w:vAlign w:val="center"/>
          </w:tcPr>
          <w:p w:rsidR="00337EFC" w:rsidRDefault="001C3EDD">
            <w:pPr>
              <w:jc w:val="center"/>
            </w:pPr>
            <w:r>
              <w:rPr>
                <w:rFonts w:eastAsiaTheme="minorEastAsia"/>
                <w:color w:val="000000" w:themeColor="text1"/>
                <w:szCs w:val="21"/>
              </w:rPr>
              <w:t>2020-01-22</w:t>
            </w:r>
          </w:p>
        </w:tc>
        <w:tc>
          <w:tcPr>
            <w:tcW w:w="1309" w:type="dxa"/>
            <w:vAlign w:val="center"/>
          </w:tcPr>
          <w:p w:rsidR="00337EFC" w:rsidRDefault="001C3EDD">
            <w:pPr>
              <w:jc w:val="center"/>
            </w:pPr>
            <w:r>
              <w:rPr>
                <w:rFonts w:eastAsiaTheme="minorEastAsia"/>
                <w:color w:val="000000" w:themeColor="text1"/>
                <w:szCs w:val="21"/>
              </w:rPr>
              <w:t>-</w:t>
            </w:r>
          </w:p>
        </w:tc>
        <w:tc>
          <w:tcPr>
            <w:tcW w:w="1254" w:type="dxa"/>
            <w:vAlign w:val="center"/>
          </w:tcPr>
          <w:p w:rsidR="00337EFC" w:rsidRDefault="001C3EDD">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337EFC" w:rsidRDefault="001C3EDD">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337EFC" w:rsidRDefault="001C3ED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337EFC" w:rsidRDefault="001C3ED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李德辉先生为本基金首任基金经理，其任职日期为本基金基金合同生效之日；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lastRenderedPageBreak/>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李德辉</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8,611,499,145.75</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2016-11-18</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21,416,251.28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2022-11-22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8,632,915,397.03</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w:t>
      </w:r>
      <w:r>
        <w:rPr>
          <w:rFonts w:eastAsiaTheme="minorEastAsia"/>
          <w:color w:val="000000" w:themeColor="text1"/>
          <w:szCs w:val="21"/>
        </w:rPr>
        <w:t>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w:t>
      </w:r>
      <w:r w:rsidRPr="00B27A29">
        <w:rPr>
          <w:rFonts w:eastAsiaTheme="minorEastAsia"/>
          <w:color w:val="000000" w:themeColor="text1"/>
          <w:szCs w:val="21"/>
        </w:rPr>
        <w:lastRenderedPageBreak/>
        <w:t>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二季度市场整体一般，</w:t>
      </w:r>
      <w:r>
        <w:rPr>
          <w:rFonts w:eastAsiaTheme="minorEastAsia"/>
          <w:color w:val="000000" w:themeColor="text1"/>
          <w:szCs w:val="21"/>
        </w:rPr>
        <w:t>wind</w:t>
      </w:r>
      <w:r>
        <w:rPr>
          <w:rFonts w:eastAsiaTheme="minorEastAsia"/>
          <w:color w:val="000000" w:themeColor="text1"/>
          <w:szCs w:val="21"/>
        </w:rPr>
        <w:t>全</w:t>
      </w:r>
      <w:r>
        <w:rPr>
          <w:rFonts w:eastAsiaTheme="minorEastAsia"/>
          <w:color w:val="000000" w:themeColor="text1"/>
          <w:szCs w:val="21"/>
        </w:rPr>
        <w:t>A</w:t>
      </w:r>
      <w:r>
        <w:rPr>
          <w:rFonts w:eastAsiaTheme="minorEastAsia"/>
          <w:color w:val="000000" w:themeColor="text1"/>
          <w:szCs w:val="21"/>
        </w:rPr>
        <w:t>指数下跌</w:t>
      </w:r>
      <w:r>
        <w:rPr>
          <w:rFonts w:eastAsiaTheme="minorEastAsia"/>
          <w:color w:val="000000" w:themeColor="text1"/>
          <w:szCs w:val="21"/>
        </w:rPr>
        <w:t>3.2%</w:t>
      </w:r>
      <w:r>
        <w:rPr>
          <w:rFonts w:eastAsiaTheme="minorEastAsia"/>
          <w:color w:val="000000" w:themeColor="text1"/>
          <w:szCs w:val="21"/>
        </w:rPr>
        <w:t>，上证指数下跌</w:t>
      </w:r>
      <w:r>
        <w:rPr>
          <w:rFonts w:eastAsiaTheme="minorEastAsia"/>
          <w:color w:val="000000" w:themeColor="text1"/>
          <w:szCs w:val="21"/>
        </w:rPr>
        <w:t>2.16%</w:t>
      </w:r>
      <w:r>
        <w:rPr>
          <w:rFonts w:eastAsiaTheme="minorEastAsia"/>
          <w:color w:val="000000" w:themeColor="text1"/>
          <w:szCs w:val="21"/>
        </w:rPr>
        <w:t>，除</w:t>
      </w:r>
      <w:r>
        <w:rPr>
          <w:rFonts w:eastAsiaTheme="minorEastAsia"/>
          <w:color w:val="000000" w:themeColor="text1"/>
          <w:szCs w:val="21"/>
        </w:rPr>
        <w:t>TMT</w:t>
      </w:r>
      <w:r>
        <w:rPr>
          <w:rFonts w:eastAsiaTheme="minorEastAsia"/>
          <w:color w:val="000000" w:themeColor="text1"/>
          <w:szCs w:val="21"/>
        </w:rPr>
        <w:t>几个行业涨幅较大外，其余行业表现较弱。本基金二季度增配了算力相关股票，带动了净值较好回升，表现优于市场指数和基准。</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人工智</w:t>
      </w:r>
      <w:r>
        <w:rPr>
          <w:rFonts w:eastAsiaTheme="minorEastAsia"/>
          <w:color w:val="000000" w:themeColor="text1"/>
          <w:szCs w:val="21"/>
        </w:rPr>
        <w:t>能（</w:t>
      </w:r>
      <w:r>
        <w:rPr>
          <w:rFonts w:eastAsiaTheme="minorEastAsia"/>
          <w:color w:val="000000" w:themeColor="text1"/>
          <w:szCs w:val="21"/>
        </w:rPr>
        <w:t>AI</w:t>
      </w:r>
      <w:r>
        <w:rPr>
          <w:rFonts w:eastAsiaTheme="minorEastAsia"/>
          <w:color w:val="000000" w:themeColor="text1"/>
          <w:szCs w:val="21"/>
        </w:rPr>
        <w:t>）毋庸置疑是我们长期关注和看好的方向，但是考虑到下半年基本面的兑现度，我们认为跟随北美</w:t>
      </w:r>
      <w:r>
        <w:rPr>
          <w:rFonts w:eastAsiaTheme="minorEastAsia"/>
          <w:color w:val="000000" w:themeColor="text1"/>
          <w:szCs w:val="21"/>
        </w:rPr>
        <w:t>AI</w:t>
      </w:r>
      <w:r>
        <w:rPr>
          <w:rFonts w:eastAsiaTheme="minorEastAsia"/>
          <w:color w:val="000000" w:themeColor="text1"/>
          <w:szCs w:val="21"/>
        </w:rPr>
        <w:t>数据中心建设的公司兑现度较高。而</w:t>
      </w:r>
      <w:r>
        <w:rPr>
          <w:rFonts w:eastAsiaTheme="minorEastAsia"/>
          <w:color w:val="000000" w:themeColor="text1"/>
          <w:szCs w:val="21"/>
        </w:rPr>
        <w:t>A</w:t>
      </w:r>
      <w:r>
        <w:rPr>
          <w:rFonts w:eastAsiaTheme="minorEastAsia"/>
          <w:color w:val="000000" w:themeColor="text1"/>
          <w:szCs w:val="21"/>
        </w:rPr>
        <w:t>股在大模型和应用的公司兑现度预计更弱一些，究其原因是做一个可商业化的大模型还需要较长时间，应用层面短期自然也看不到较好落地。所以往下半年看</w:t>
      </w:r>
      <w:r>
        <w:rPr>
          <w:rFonts w:eastAsiaTheme="minorEastAsia"/>
          <w:color w:val="000000" w:themeColor="text1"/>
          <w:szCs w:val="21"/>
        </w:rPr>
        <w:t>AI</w:t>
      </w:r>
      <w:r>
        <w:rPr>
          <w:rFonts w:eastAsiaTheme="minorEastAsia"/>
          <w:color w:val="000000" w:themeColor="text1"/>
          <w:szCs w:val="21"/>
        </w:rPr>
        <w:t>我们认为分化加剧，波动加大，预期收益恐下降。与</w:t>
      </w:r>
      <w:r>
        <w:rPr>
          <w:rFonts w:eastAsiaTheme="minorEastAsia"/>
          <w:color w:val="000000" w:themeColor="text1"/>
          <w:szCs w:val="21"/>
        </w:rPr>
        <w:t>AI</w:t>
      </w:r>
      <w:r>
        <w:rPr>
          <w:rFonts w:eastAsiaTheme="minorEastAsia"/>
          <w:color w:val="000000" w:themeColor="text1"/>
          <w:szCs w:val="21"/>
        </w:rPr>
        <w:t>相关的另一巨大潜力方向是人形机器人，又叫具身智能。</w:t>
      </w:r>
      <w:r>
        <w:rPr>
          <w:rFonts w:eastAsiaTheme="minorEastAsia"/>
          <w:color w:val="000000" w:themeColor="text1"/>
          <w:szCs w:val="21"/>
        </w:rPr>
        <w:t>GPT3.5</w:t>
      </w:r>
      <w:r>
        <w:rPr>
          <w:rFonts w:eastAsiaTheme="minorEastAsia"/>
          <w:color w:val="000000" w:themeColor="text1"/>
          <w:szCs w:val="21"/>
        </w:rPr>
        <w:t>或者</w:t>
      </w:r>
      <w:r>
        <w:rPr>
          <w:rFonts w:eastAsiaTheme="minorEastAsia"/>
          <w:color w:val="000000" w:themeColor="text1"/>
          <w:szCs w:val="21"/>
        </w:rPr>
        <w:t>4</w:t>
      </w:r>
      <w:r>
        <w:rPr>
          <w:rFonts w:eastAsiaTheme="minorEastAsia"/>
          <w:color w:val="000000" w:themeColor="text1"/>
          <w:szCs w:val="21"/>
        </w:rPr>
        <w:t>还是一个超级电脑，解决脑力劳动问题。但是</w:t>
      </w:r>
      <w:r>
        <w:rPr>
          <w:rFonts w:eastAsiaTheme="minorEastAsia"/>
          <w:color w:val="000000" w:themeColor="text1"/>
          <w:szCs w:val="21"/>
        </w:rPr>
        <w:t>AI</w:t>
      </w:r>
      <w:r>
        <w:rPr>
          <w:rFonts w:eastAsiaTheme="minorEastAsia"/>
          <w:color w:val="000000" w:themeColor="text1"/>
          <w:szCs w:val="21"/>
        </w:rPr>
        <w:t>和机器人如能完美结合，则使得机器人能更好解决体力劳动问题，这将给世界带来巨大</w:t>
      </w:r>
      <w:r>
        <w:rPr>
          <w:rFonts w:eastAsiaTheme="minorEastAsia"/>
          <w:color w:val="000000" w:themeColor="text1"/>
          <w:szCs w:val="21"/>
        </w:rPr>
        <w:t>变革，虽然目前看仍困难重重，但已看到希望，未来充满期待。跟随大客户预研的公司我们将保持紧密跟踪。</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展望下半年经济，我们关注本轮库存周期见底时间，哪些行业有补库存可能，是否有财政刺激政策等。我们认为经济已处于底部区域，股市估值也处于历史低位，如果经济能起色，市场预计有反弹机会。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中长期看，我们看好三类机会：第一，成熟行业供给侧优化带来的机会；第二，低渗透率的国产替代机会；第三，从</w:t>
      </w:r>
      <w:r w:rsidRPr="00B27A29">
        <w:rPr>
          <w:rFonts w:eastAsiaTheme="minorEastAsia"/>
          <w:color w:val="000000" w:themeColor="text1"/>
          <w:szCs w:val="21"/>
        </w:rPr>
        <w:t>0</w:t>
      </w:r>
      <w:r w:rsidRPr="00B27A29">
        <w:rPr>
          <w:rFonts w:eastAsiaTheme="minorEastAsia"/>
          <w:color w:val="000000" w:themeColor="text1"/>
          <w:szCs w:val="21"/>
        </w:rPr>
        <w:t>到</w:t>
      </w:r>
      <w:r w:rsidRPr="00B27A29">
        <w:rPr>
          <w:rFonts w:eastAsiaTheme="minorEastAsia"/>
          <w:color w:val="000000" w:themeColor="text1"/>
          <w:szCs w:val="21"/>
        </w:rPr>
        <w:t>1</w:t>
      </w:r>
      <w:r w:rsidRPr="00B27A29">
        <w:rPr>
          <w:rFonts w:eastAsiaTheme="minorEastAsia"/>
          <w:color w:val="000000" w:themeColor="text1"/>
          <w:szCs w:val="21"/>
        </w:rPr>
        <w:t>突破泛</w:t>
      </w:r>
      <w:r w:rsidRPr="00B27A29">
        <w:rPr>
          <w:rFonts w:eastAsiaTheme="minorEastAsia"/>
          <w:color w:val="000000" w:themeColor="text1"/>
          <w:szCs w:val="21"/>
        </w:rPr>
        <w:t>AI</w:t>
      </w:r>
      <w:r w:rsidRPr="00B27A29">
        <w:rPr>
          <w:rFonts w:eastAsiaTheme="minorEastAsia"/>
          <w:color w:val="000000" w:themeColor="text1"/>
          <w:szCs w:val="21"/>
        </w:rPr>
        <w:t>的机会。落实到行业上：与算力相关的通信、机器人相关的汽车零部件、竞争格局改善的新能源汽车、国产替代的半导体、顺周期的白酒、可能补库存的机械设备等，是我们看好的方向。我们希望紧跟产业发展趋势，积极寻找其中</w:t>
      </w:r>
      <w:r w:rsidRPr="00B27A29">
        <w:rPr>
          <w:rFonts w:eastAsiaTheme="minorEastAsia"/>
          <w:color w:val="000000" w:themeColor="text1"/>
          <w:szCs w:val="21"/>
        </w:rPr>
        <w:t>alpha</w:t>
      </w:r>
      <w:r w:rsidRPr="00B27A29">
        <w:rPr>
          <w:rFonts w:eastAsiaTheme="minorEastAsia"/>
          <w:color w:val="000000" w:themeColor="text1"/>
          <w:szCs w:val="21"/>
        </w:rPr>
        <w:t>，争取给投资人创造较好回报。</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本报告期摩根慧选成长</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:2.82%</w:t>
      </w:r>
      <w:r>
        <w:rPr>
          <w:rFonts w:eastAsiaTheme="minorEastAsia"/>
          <w:color w:val="000000" w:themeColor="text1"/>
          <w:szCs w:val="21"/>
        </w:rPr>
        <w:t>，同期业绩比较基准收益率为</w:t>
      </w:r>
      <w:r>
        <w:rPr>
          <w:rFonts w:eastAsiaTheme="minorEastAsia"/>
          <w:color w:val="000000" w:themeColor="text1"/>
          <w:szCs w:val="21"/>
        </w:rPr>
        <w:t>:-3.82%</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摩根慧选成长</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:2.62%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:-3.82%</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1,296,018,393.87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80.41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1,296,018,393.87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80.41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302,241,819.89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18.75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13,541,786.62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1,611,802,000.38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188118916.73</w:t>
      </w:r>
      <w:r w:rsidRPr="00B27A29">
        <w:rPr>
          <w:rFonts w:eastAsiaTheme="minorEastAsia"/>
          <w:color w:val="000000" w:themeColor="text1"/>
          <w:szCs w:val="21"/>
        </w:rPr>
        <w:t>元，占期末净值比例为</w:t>
      </w:r>
      <w:r w:rsidRPr="00B27A29">
        <w:rPr>
          <w:rFonts w:eastAsiaTheme="minorEastAsia"/>
          <w:color w:val="000000" w:themeColor="text1"/>
          <w:szCs w:val="21"/>
        </w:rPr>
        <w:t>11.77%</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978,011,337.28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61.21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535,277.21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97,123.52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4,565,856.00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86,552,912.15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21,096,556.80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17,040,414.18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1,107,899,477.14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69.34</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337EFC" w:rsidRDefault="001C3EDD">
            <w:pPr>
              <w:jc w:val="center"/>
            </w:pPr>
            <w:r>
              <w:rPr>
                <w:rFonts w:eastAsiaTheme="minorEastAsia"/>
                <w:color w:val="000000" w:themeColor="text1"/>
                <w:szCs w:val="21"/>
              </w:rPr>
              <w:t>-</w:t>
            </w:r>
          </w:p>
        </w:tc>
        <w:tc>
          <w:tcPr>
            <w:tcW w:w="3118" w:type="dxa"/>
            <w:vAlign w:val="center"/>
          </w:tcPr>
          <w:p w:rsidR="00337EFC" w:rsidRDefault="001C3EDD">
            <w:pPr>
              <w:jc w:val="center"/>
            </w:pPr>
            <w:r>
              <w:rPr>
                <w:rFonts w:eastAsiaTheme="minorEastAsia"/>
                <w:color w:val="000000" w:themeColor="text1"/>
                <w:szCs w:val="21"/>
              </w:rPr>
              <w:t>-</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337EFC" w:rsidRDefault="001C3EDD">
            <w:pPr>
              <w:jc w:val="center"/>
            </w:pPr>
            <w:r>
              <w:rPr>
                <w:rFonts w:eastAsiaTheme="minorEastAsia"/>
                <w:color w:val="000000" w:themeColor="text1"/>
                <w:szCs w:val="21"/>
              </w:rPr>
              <w:t>59,031,754.72</w:t>
            </w:r>
          </w:p>
        </w:tc>
        <w:tc>
          <w:tcPr>
            <w:tcW w:w="3118" w:type="dxa"/>
            <w:vAlign w:val="center"/>
          </w:tcPr>
          <w:p w:rsidR="00337EFC" w:rsidRDefault="001C3EDD">
            <w:pPr>
              <w:jc w:val="center"/>
            </w:pPr>
            <w:r>
              <w:rPr>
                <w:rFonts w:eastAsiaTheme="minorEastAsia"/>
                <w:color w:val="000000" w:themeColor="text1"/>
                <w:szCs w:val="21"/>
              </w:rPr>
              <w:t>3.69</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337EFC" w:rsidRDefault="001C3EDD">
            <w:pPr>
              <w:jc w:val="center"/>
            </w:pPr>
            <w:r>
              <w:rPr>
                <w:rFonts w:eastAsiaTheme="minorEastAsia"/>
                <w:color w:val="000000" w:themeColor="text1"/>
                <w:szCs w:val="21"/>
              </w:rPr>
              <w:t>-</w:t>
            </w:r>
          </w:p>
        </w:tc>
        <w:tc>
          <w:tcPr>
            <w:tcW w:w="3118" w:type="dxa"/>
            <w:vAlign w:val="center"/>
          </w:tcPr>
          <w:p w:rsidR="00337EFC" w:rsidRDefault="001C3EDD">
            <w:pPr>
              <w:jc w:val="center"/>
            </w:pPr>
            <w:r>
              <w:rPr>
                <w:rFonts w:eastAsiaTheme="minorEastAsia"/>
                <w:color w:val="000000" w:themeColor="text1"/>
                <w:szCs w:val="21"/>
              </w:rPr>
              <w:t>-</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337EFC" w:rsidRDefault="001C3EDD">
            <w:pPr>
              <w:jc w:val="center"/>
            </w:pPr>
            <w:r>
              <w:rPr>
                <w:rFonts w:eastAsiaTheme="minorEastAsia"/>
                <w:color w:val="000000" w:themeColor="text1"/>
                <w:szCs w:val="21"/>
              </w:rPr>
              <w:t>11,823,471.52</w:t>
            </w:r>
          </w:p>
        </w:tc>
        <w:tc>
          <w:tcPr>
            <w:tcW w:w="3118" w:type="dxa"/>
            <w:vAlign w:val="center"/>
          </w:tcPr>
          <w:p w:rsidR="00337EFC" w:rsidRDefault="001C3EDD">
            <w:pPr>
              <w:jc w:val="center"/>
            </w:pPr>
            <w:r>
              <w:rPr>
                <w:rFonts w:eastAsiaTheme="minorEastAsia"/>
                <w:color w:val="000000" w:themeColor="text1"/>
                <w:szCs w:val="21"/>
              </w:rPr>
              <w:t>0.74</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337EFC" w:rsidRDefault="001C3EDD">
            <w:pPr>
              <w:jc w:val="center"/>
            </w:pPr>
            <w:r>
              <w:rPr>
                <w:rFonts w:eastAsiaTheme="minorEastAsia"/>
                <w:color w:val="000000" w:themeColor="text1"/>
                <w:szCs w:val="21"/>
              </w:rPr>
              <w:t>-</w:t>
            </w:r>
          </w:p>
        </w:tc>
        <w:tc>
          <w:tcPr>
            <w:tcW w:w="3118" w:type="dxa"/>
            <w:vAlign w:val="center"/>
          </w:tcPr>
          <w:p w:rsidR="00337EFC" w:rsidRDefault="001C3EDD">
            <w:pPr>
              <w:jc w:val="center"/>
            </w:pPr>
            <w:r>
              <w:rPr>
                <w:rFonts w:eastAsiaTheme="minorEastAsia"/>
                <w:color w:val="000000" w:themeColor="text1"/>
                <w:szCs w:val="21"/>
              </w:rPr>
              <w:t>-</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337EFC" w:rsidRDefault="001C3EDD">
            <w:pPr>
              <w:jc w:val="center"/>
            </w:pPr>
            <w:r>
              <w:rPr>
                <w:rFonts w:eastAsiaTheme="minorEastAsia"/>
                <w:color w:val="000000" w:themeColor="text1"/>
                <w:szCs w:val="21"/>
              </w:rPr>
              <w:t>-</w:t>
            </w:r>
          </w:p>
        </w:tc>
        <w:tc>
          <w:tcPr>
            <w:tcW w:w="3118" w:type="dxa"/>
            <w:vAlign w:val="center"/>
          </w:tcPr>
          <w:p w:rsidR="00337EFC" w:rsidRDefault="001C3EDD">
            <w:pPr>
              <w:jc w:val="center"/>
            </w:pPr>
            <w:r>
              <w:rPr>
                <w:rFonts w:eastAsiaTheme="minorEastAsia"/>
                <w:color w:val="000000" w:themeColor="text1"/>
                <w:szCs w:val="21"/>
              </w:rPr>
              <w:t>-</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337EFC" w:rsidRDefault="001C3EDD">
            <w:pPr>
              <w:jc w:val="center"/>
            </w:pPr>
            <w:r>
              <w:rPr>
                <w:rFonts w:eastAsiaTheme="minorEastAsia"/>
                <w:color w:val="000000" w:themeColor="text1"/>
                <w:szCs w:val="21"/>
              </w:rPr>
              <w:t>3,872,979.83</w:t>
            </w:r>
          </w:p>
        </w:tc>
        <w:tc>
          <w:tcPr>
            <w:tcW w:w="3118" w:type="dxa"/>
            <w:vAlign w:val="center"/>
          </w:tcPr>
          <w:p w:rsidR="00337EFC" w:rsidRDefault="001C3EDD">
            <w:pPr>
              <w:jc w:val="center"/>
            </w:pPr>
            <w:r>
              <w:rPr>
                <w:rFonts w:eastAsiaTheme="minorEastAsia"/>
                <w:color w:val="000000" w:themeColor="text1"/>
                <w:szCs w:val="21"/>
              </w:rPr>
              <w:t>0.24</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337EFC" w:rsidRDefault="001C3EDD">
            <w:pPr>
              <w:jc w:val="center"/>
            </w:pPr>
            <w:r>
              <w:rPr>
                <w:rFonts w:eastAsiaTheme="minorEastAsia"/>
                <w:color w:val="000000" w:themeColor="text1"/>
                <w:szCs w:val="21"/>
              </w:rPr>
              <w:t>1,606,776.04</w:t>
            </w:r>
          </w:p>
        </w:tc>
        <w:tc>
          <w:tcPr>
            <w:tcW w:w="3118" w:type="dxa"/>
            <w:vAlign w:val="center"/>
          </w:tcPr>
          <w:p w:rsidR="00337EFC" w:rsidRDefault="001C3EDD">
            <w:pPr>
              <w:jc w:val="center"/>
            </w:pPr>
            <w:r>
              <w:rPr>
                <w:rFonts w:eastAsiaTheme="minorEastAsia"/>
                <w:color w:val="000000" w:themeColor="text1"/>
                <w:szCs w:val="21"/>
              </w:rPr>
              <w:t>0.10</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337EFC" w:rsidRDefault="001C3EDD">
            <w:pPr>
              <w:jc w:val="center"/>
            </w:pPr>
            <w:r>
              <w:rPr>
                <w:rFonts w:eastAsiaTheme="minorEastAsia"/>
                <w:color w:val="000000" w:themeColor="text1"/>
                <w:szCs w:val="21"/>
              </w:rPr>
              <w:t>111,783,934.62</w:t>
            </w:r>
          </w:p>
        </w:tc>
        <w:tc>
          <w:tcPr>
            <w:tcW w:w="3118" w:type="dxa"/>
            <w:vAlign w:val="center"/>
          </w:tcPr>
          <w:p w:rsidR="00337EFC" w:rsidRDefault="001C3EDD">
            <w:pPr>
              <w:jc w:val="center"/>
            </w:pPr>
            <w:r>
              <w:rPr>
                <w:rFonts w:eastAsiaTheme="minorEastAsia"/>
                <w:color w:val="000000" w:themeColor="text1"/>
                <w:szCs w:val="21"/>
              </w:rPr>
              <w:t>7.00</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337EFC" w:rsidRDefault="001C3EDD">
            <w:pPr>
              <w:jc w:val="center"/>
            </w:pPr>
            <w:r>
              <w:rPr>
                <w:rFonts w:eastAsiaTheme="minorEastAsia"/>
                <w:color w:val="000000" w:themeColor="text1"/>
                <w:szCs w:val="21"/>
              </w:rPr>
              <w:t>-</w:t>
            </w:r>
          </w:p>
        </w:tc>
        <w:tc>
          <w:tcPr>
            <w:tcW w:w="3118" w:type="dxa"/>
            <w:vAlign w:val="center"/>
          </w:tcPr>
          <w:p w:rsidR="00337EFC" w:rsidRDefault="001C3EDD">
            <w:pPr>
              <w:jc w:val="center"/>
            </w:pPr>
            <w:r>
              <w:rPr>
                <w:rFonts w:eastAsiaTheme="minorEastAsia"/>
                <w:color w:val="000000" w:themeColor="text1"/>
                <w:szCs w:val="21"/>
              </w:rPr>
              <w:t>-</w:t>
            </w:r>
          </w:p>
        </w:tc>
      </w:tr>
      <w:tr w:rsidR="00337EFC">
        <w:trPr>
          <w:jc w:val="center"/>
        </w:trPr>
        <w:tc>
          <w:tcPr>
            <w:tcW w:w="2397" w:type="dxa"/>
            <w:vAlign w:val="center"/>
          </w:tcPr>
          <w:p w:rsidR="00337EFC" w:rsidRDefault="001C3EDD">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337EFC" w:rsidRDefault="001C3EDD">
            <w:pPr>
              <w:jc w:val="center"/>
            </w:pPr>
            <w:r>
              <w:rPr>
                <w:rFonts w:eastAsiaTheme="minorEastAsia"/>
                <w:color w:val="000000" w:themeColor="text1"/>
                <w:szCs w:val="21"/>
              </w:rPr>
              <w:t>-</w:t>
            </w:r>
          </w:p>
        </w:tc>
        <w:tc>
          <w:tcPr>
            <w:tcW w:w="3118" w:type="dxa"/>
            <w:vAlign w:val="center"/>
          </w:tcPr>
          <w:p w:rsidR="00337EFC" w:rsidRDefault="001C3EDD">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188,118,916.73</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11.77</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37EFC">
        <w:tc>
          <w:tcPr>
            <w:tcW w:w="817" w:type="dxa"/>
            <w:vAlign w:val="center"/>
          </w:tcPr>
          <w:p w:rsidR="00337EFC" w:rsidRDefault="001C3EDD">
            <w:pPr>
              <w:jc w:val="center"/>
            </w:pPr>
            <w:r>
              <w:rPr>
                <w:rFonts w:eastAsiaTheme="minorEastAsia"/>
                <w:kern w:val="0"/>
                <w:szCs w:val="21"/>
              </w:rPr>
              <w:t>1</w:t>
            </w:r>
          </w:p>
        </w:tc>
        <w:tc>
          <w:tcPr>
            <w:tcW w:w="1276" w:type="dxa"/>
            <w:vAlign w:val="center"/>
          </w:tcPr>
          <w:p w:rsidR="00337EFC" w:rsidRDefault="001C3EDD">
            <w:pPr>
              <w:jc w:val="center"/>
            </w:pPr>
            <w:r>
              <w:rPr>
                <w:rFonts w:eastAsiaTheme="minorEastAsia"/>
                <w:kern w:val="0"/>
                <w:szCs w:val="21"/>
              </w:rPr>
              <w:t>000063</w:t>
            </w:r>
          </w:p>
        </w:tc>
        <w:tc>
          <w:tcPr>
            <w:tcW w:w="1701" w:type="dxa"/>
            <w:vAlign w:val="center"/>
          </w:tcPr>
          <w:p w:rsidR="00337EFC" w:rsidRDefault="001C3EDD">
            <w:pPr>
              <w:jc w:val="center"/>
            </w:pPr>
            <w:r>
              <w:rPr>
                <w:rFonts w:eastAsiaTheme="minorEastAsia"/>
                <w:kern w:val="0"/>
                <w:szCs w:val="21"/>
              </w:rPr>
              <w:t>中兴通讯</w:t>
            </w:r>
          </w:p>
        </w:tc>
        <w:tc>
          <w:tcPr>
            <w:tcW w:w="1276" w:type="dxa"/>
            <w:vAlign w:val="center"/>
          </w:tcPr>
          <w:p w:rsidR="00337EFC" w:rsidRDefault="001C3EDD">
            <w:pPr>
              <w:jc w:val="right"/>
            </w:pPr>
            <w:r>
              <w:rPr>
                <w:rFonts w:eastAsiaTheme="minorEastAsia"/>
                <w:kern w:val="0"/>
                <w:szCs w:val="21"/>
              </w:rPr>
              <w:t>2,531,526.0</w:t>
            </w:r>
            <w:r>
              <w:rPr>
                <w:rFonts w:eastAsiaTheme="minorEastAsia"/>
                <w:kern w:val="0"/>
                <w:szCs w:val="21"/>
              </w:rPr>
              <w:lastRenderedPageBreak/>
              <w:t>0</w:t>
            </w:r>
          </w:p>
        </w:tc>
        <w:tc>
          <w:tcPr>
            <w:tcW w:w="1842" w:type="dxa"/>
            <w:vAlign w:val="center"/>
          </w:tcPr>
          <w:p w:rsidR="00337EFC" w:rsidRDefault="001C3EDD">
            <w:pPr>
              <w:jc w:val="right"/>
            </w:pPr>
            <w:r>
              <w:rPr>
                <w:rFonts w:eastAsiaTheme="minorEastAsia"/>
                <w:kern w:val="0"/>
                <w:szCs w:val="21"/>
              </w:rPr>
              <w:lastRenderedPageBreak/>
              <w:t>115,285,694.04</w:t>
            </w:r>
          </w:p>
        </w:tc>
        <w:tc>
          <w:tcPr>
            <w:tcW w:w="1616" w:type="dxa"/>
            <w:vAlign w:val="center"/>
          </w:tcPr>
          <w:p w:rsidR="00337EFC" w:rsidRDefault="001C3EDD">
            <w:pPr>
              <w:jc w:val="right"/>
            </w:pPr>
            <w:r>
              <w:rPr>
                <w:rFonts w:eastAsiaTheme="minorEastAsia"/>
                <w:kern w:val="0"/>
                <w:szCs w:val="21"/>
              </w:rPr>
              <w:t>7.22</w:t>
            </w:r>
          </w:p>
        </w:tc>
      </w:tr>
      <w:tr w:rsidR="00337EFC">
        <w:tc>
          <w:tcPr>
            <w:tcW w:w="817" w:type="dxa"/>
            <w:vAlign w:val="center"/>
          </w:tcPr>
          <w:p w:rsidR="00337EFC" w:rsidRDefault="001C3EDD">
            <w:pPr>
              <w:jc w:val="center"/>
            </w:pPr>
            <w:r>
              <w:rPr>
                <w:rFonts w:eastAsiaTheme="minorEastAsia"/>
                <w:kern w:val="0"/>
                <w:szCs w:val="21"/>
              </w:rPr>
              <w:t>2</w:t>
            </w:r>
          </w:p>
        </w:tc>
        <w:tc>
          <w:tcPr>
            <w:tcW w:w="1276" w:type="dxa"/>
            <w:vAlign w:val="center"/>
          </w:tcPr>
          <w:p w:rsidR="00337EFC" w:rsidRDefault="001C3EDD">
            <w:pPr>
              <w:jc w:val="center"/>
            </w:pPr>
            <w:r>
              <w:rPr>
                <w:rFonts w:eastAsiaTheme="minorEastAsia"/>
                <w:kern w:val="0"/>
                <w:szCs w:val="21"/>
              </w:rPr>
              <w:t>300308</w:t>
            </w:r>
          </w:p>
        </w:tc>
        <w:tc>
          <w:tcPr>
            <w:tcW w:w="1701" w:type="dxa"/>
            <w:vAlign w:val="center"/>
          </w:tcPr>
          <w:p w:rsidR="00337EFC" w:rsidRDefault="001C3EDD">
            <w:pPr>
              <w:jc w:val="center"/>
            </w:pPr>
            <w:r>
              <w:rPr>
                <w:rFonts w:eastAsiaTheme="minorEastAsia"/>
                <w:kern w:val="0"/>
                <w:szCs w:val="21"/>
              </w:rPr>
              <w:t>中际旭创</w:t>
            </w:r>
          </w:p>
        </w:tc>
        <w:tc>
          <w:tcPr>
            <w:tcW w:w="1276" w:type="dxa"/>
            <w:vAlign w:val="center"/>
          </w:tcPr>
          <w:p w:rsidR="00337EFC" w:rsidRDefault="001C3EDD">
            <w:pPr>
              <w:jc w:val="right"/>
            </w:pPr>
            <w:r>
              <w:rPr>
                <w:rFonts w:eastAsiaTheme="minorEastAsia"/>
                <w:kern w:val="0"/>
                <w:szCs w:val="21"/>
              </w:rPr>
              <w:t>759,143.00</w:t>
            </w:r>
          </w:p>
        </w:tc>
        <w:tc>
          <w:tcPr>
            <w:tcW w:w="1842" w:type="dxa"/>
            <w:vAlign w:val="center"/>
          </w:tcPr>
          <w:p w:rsidR="00337EFC" w:rsidRDefault="001C3EDD">
            <w:pPr>
              <w:jc w:val="right"/>
            </w:pPr>
            <w:r>
              <w:rPr>
                <w:rFonts w:eastAsiaTheme="minorEastAsia"/>
                <w:kern w:val="0"/>
                <w:szCs w:val="21"/>
              </w:rPr>
              <w:t>111,935,635.35</w:t>
            </w:r>
          </w:p>
        </w:tc>
        <w:tc>
          <w:tcPr>
            <w:tcW w:w="1616" w:type="dxa"/>
            <w:vAlign w:val="center"/>
          </w:tcPr>
          <w:p w:rsidR="00337EFC" w:rsidRDefault="001C3EDD">
            <w:pPr>
              <w:jc w:val="right"/>
            </w:pPr>
            <w:r>
              <w:rPr>
                <w:rFonts w:eastAsiaTheme="minorEastAsia"/>
                <w:kern w:val="0"/>
                <w:szCs w:val="21"/>
              </w:rPr>
              <w:t>7.01</w:t>
            </w:r>
          </w:p>
        </w:tc>
      </w:tr>
      <w:tr w:rsidR="00337EFC">
        <w:tc>
          <w:tcPr>
            <w:tcW w:w="817" w:type="dxa"/>
            <w:vAlign w:val="center"/>
          </w:tcPr>
          <w:p w:rsidR="00337EFC" w:rsidRDefault="001C3EDD">
            <w:pPr>
              <w:jc w:val="center"/>
            </w:pPr>
            <w:r>
              <w:rPr>
                <w:rFonts w:eastAsiaTheme="minorEastAsia"/>
                <w:kern w:val="0"/>
                <w:szCs w:val="21"/>
              </w:rPr>
              <w:t>3</w:t>
            </w:r>
          </w:p>
        </w:tc>
        <w:tc>
          <w:tcPr>
            <w:tcW w:w="1276" w:type="dxa"/>
            <w:vAlign w:val="center"/>
          </w:tcPr>
          <w:p w:rsidR="00337EFC" w:rsidRDefault="001C3EDD">
            <w:pPr>
              <w:jc w:val="center"/>
            </w:pPr>
            <w:r>
              <w:rPr>
                <w:rFonts w:eastAsiaTheme="minorEastAsia"/>
                <w:kern w:val="0"/>
                <w:szCs w:val="21"/>
              </w:rPr>
              <w:t>300750</w:t>
            </w:r>
          </w:p>
        </w:tc>
        <w:tc>
          <w:tcPr>
            <w:tcW w:w="1701" w:type="dxa"/>
            <w:vAlign w:val="center"/>
          </w:tcPr>
          <w:p w:rsidR="00337EFC" w:rsidRDefault="001C3EDD">
            <w:pPr>
              <w:jc w:val="center"/>
            </w:pPr>
            <w:r>
              <w:rPr>
                <w:rFonts w:eastAsiaTheme="minorEastAsia"/>
                <w:kern w:val="0"/>
                <w:szCs w:val="21"/>
              </w:rPr>
              <w:t>宁德时代</w:t>
            </w:r>
          </w:p>
        </w:tc>
        <w:tc>
          <w:tcPr>
            <w:tcW w:w="1276" w:type="dxa"/>
            <w:vAlign w:val="center"/>
          </w:tcPr>
          <w:p w:rsidR="00337EFC" w:rsidRDefault="001C3EDD">
            <w:pPr>
              <w:jc w:val="right"/>
            </w:pPr>
            <w:r>
              <w:rPr>
                <w:rFonts w:eastAsiaTheme="minorEastAsia"/>
                <w:kern w:val="0"/>
                <w:szCs w:val="21"/>
              </w:rPr>
              <w:t>449,805.00</w:t>
            </w:r>
          </w:p>
        </w:tc>
        <w:tc>
          <w:tcPr>
            <w:tcW w:w="1842" w:type="dxa"/>
            <w:vAlign w:val="center"/>
          </w:tcPr>
          <w:p w:rsidR="00337EFC" w:rsidRDefault="001C3EDD">
            <w:pPr>
              <w:jc w:val="right"/>
            </w:pPr>
            <w:r>
              <w:rPr>
                <w:rFonts w:eastAsiaTheme="minorEastAsia"/>
                <w:kern w:val="0"/>
                <w:szCs w:val="21"/>
              </w:rPr>
              <w:t>102,910,885.95</w:t>
            </w:r>
          </w:p>
        </w:tc>
        <w:tc>
          <w:tcPr>
            <w:tcW w:w="1616" w:type="dxa"/>
            <w:vAlign w:val="center"/>
          </w:tcPr>
          <w:p w:rsidR="00337EFC" w:rsidRDefault="001C3EDD">
            <w:pPr>
              <w:jc w:val="right"/>
            </w:pPr>
            <w:r>
              <w:rPr>
                <w:rFonts w:eastAsiaTheme="minorEastAsia"/>
                <w:kern w:val="0"/>
                <w:szCs w:val="21"/>
              </w:rPr>
              <w:t>6.44</w:t>
            </w:r>
          </w:p>
        </w:tc>
      </w:tr>
      <w:tr w:rsidR="00337EFC">
        <w:tc>
          <w:tcPr>
            <w:tcW w:w="817" w:type="dxa"/>
            <w:vAlign w:val="center"/>
          </w:tcPr>
          <w:p w:rsidR="00337EFC" w:rsidRDefault="001C3EDD">
            <w:pPr>
              <w:jc w:val="center"/>
            </w:pPr>
            <w:r>
              <w:rPr>
                <w:rFonts w:eastAsiaTheme="minorEastAsia"/>
                <w:kern w:val="0"/>
                <w:szCs w:val="21"/>
              </w:rPr>
              <w:t>4</w:t>
            </w:r>
          </w:p>
        </w:tc>
        <w:tc>
          <w:tcPr>
            <w:tcW w:w="1276" w:type="dxa"/>
            <w:vAlign w:val="center"/>
          </w:tcPr>
          <w:p w:rsidR="00337EFC" w:rsidRDefault="001C3EDD">
            <w:pPr>
              <w:jc w:val="center"/>
            </w:pPr>
            <w:r>
              <w:rPr>
                <w:rFonts w:eastAsiaTheme="minorEastAsia"/>
                <w:kern w:val="0"/>
                <w:szCs w:val="21"/>
              </w:rPr>
              <w:t>600519</w:t>
            </w:r>
          </w:p>
        </w:tc>
        <w:tc>
          <w:tcPr>
            <w:tcW w:w="1701" w:type="dxa"/>
            <w:vAlign w:val="center"/>
          </w:tcPr>
          <w:p w:rsidR="00337EFC" w:rsidRDefault="001C3EDD">
            <w:pPr>
              <w:jc w:val="center"/>
            </w:pPr>
            <w:r>
              <w:rPr>
                <w:rFonts w:eastAsiaTheme="minorEastAsia"/>
                <w:kern w:val="0"/>
                <w:szCs w:val="21"/>
              </w:rPr>
              <w:t>贵州茅台</w:t>
            </w:r>
          </w:p>
        </w:tc>
        <w:tc>
          <w:tcPr>
            <w:tcW w:w="1276" w:type="dxa"/>
            <w:vAlign w:val="center"/>
          </w:tcPr>
          <w:p w:rsidR="00337EFC" w:rsidRDefault="001C3EDD">
            <w:pPr>
              <w:jc w:val="right"/>
            </w:pPr>
            <w:r>
              <w:rPr>
                <w:rFonts w:eastAsiaTheme="minorEastAsia"/>
                <w:kern w:val="0"/>
                <w:szCs w:val="21"/>
              </w:rPr>
              <w:t>56,082.00</w:t>
            </w:r>
          </w:p>
        </w:tc>
        <w:tc>
          <w:tcPr>
            <w:tcW w:w="1842" w:type="dxa"/>
            <w:vAlign w:val="center"/>
          </w:tcPr>
          <w:p w:rsidR="00337EFC" w:rsidRDefault="001C3EDD">
            <w:pPr>
              <w:jc w:val="right"/>
            </w:pPr>
            <w:r>
              <w:rPr>
                <w:rFonts w:eastAsiaTheme="minorEastAsia"/>
                <w:kern w:val="0"/>
                <w:szCs w:val="21"/>
              </w:rPr>
              <w:t>94,834,662.00</w:t>
            </w:r>
          </w:p>
        </w:tc>
        <w:tc>
          <w:tcPr>
            <w:tcW w:w="1616" w:type="dxa"/>
            <w:vAlign w:val="center"/>
          </w:tcPr>
          <w:p w:rsidR="00337EFC" w:rsidRDefault="001C3EDD">
            <w:pPr>
              <w:jc w:val="right"/>
            </w:pPr>
            <w:r>
              <w:rPr>
                <w:rFonts w:eastAsiaTheme="minorEastAsia"/>
                <w:kern w:val="0"/>
                <w:szCs w:val="21"/>
              </w:rPr>
              <w:t>5.94</w:t>
            </w:r>
          </w:p>
        </w:tc>
      </w:tr>
      <w:tr w:rsidR="00337EFC">
        <w:tc>
          <w:tcPr>
            <w:tcW w:w="817" w:type="dxa"/>
            <w:vAlign w:val="center"/>
          </w:tcPr>
          <w:p w:rsidR="00337EFC" w:rsidRDefault="001C3EDD">
            <w:pPr>
              <w:jc w:val="center"/>
            </w:pPr>
            <w:r>
              <w:rPr>
                <w:rFonts w:eastAsiaTheme="minorEastAsia"/>
                <w:kern w:val="0"/>
                <w:szCs w:val="21"/>
              </w:rPr>
              <w:t>5</w:t>
            </w:r>
          </w:p>
        </w:tc>
        <w:tc>
          <w:tcPr>
            <w:tcW w:w="1276" w:type="dxa"/>
            <w:vAlign w:val="center"/>
          </w:tcPr>
          <w:p w:rsidR="00337EFC" w:rsidRDefault="001C3EDD">
            <w:pPr>
              <w:jc w:val="center"/>
            </w:pPr>
            <w:r>
              <w:rPr>
                <w:rFonts w:eastAsiaTheme="minorEastAsia"/>
                <w:kern w:val="0"/>
                <w:szCs w:val="21"/>
              </w:rPr>
              <w:t>600941</w:t>
            </w:r>
          </w:p>
        </w:tc>
        <w:tc>
          <w:tcPr>
            <w:tcW w:w="1701" w:type="dxa"/>
            <w:vAlign w:val="center"/>
          </w:tcPr>
          <w:p w:rsidR="00337EFC" w:rsidRDefault="001C3EDD">
            <w:pPr>
              <w:jc w:val="center"/>
            </w:pPr>
            <w:r>
              <w:rPr>
                <w:rFonts w:eastAsiaTheme="minorEastAsia"/>
                <w:kern w:val="0"/>
                <w:szCs w:val="21"/>
              </w:rPr>
              <w:t>中国移动</w:t>
            </w:r>
          </w:p>
        </w:tc>
        <w:tc>
          <w:tcPr>
            <w:tcW w:w="1276" w:type="dxa"/>
            <w:vAlign w:val="center"/>
          </w:tcPr>
          <w:p w:rsidR="00337EFC" w:rsidRDefault="001C3EDD">
            <w:pPr>
              <w:jc w:val="right"/>
            </w:pPr>
            <w:r>
              <w:rPr>
                <w:rFonts w:eastAsiaTheme="minorEastAsia"/>
                <w:kern w:val="0"/>
                <w:szCs w:val="21"/>
              </w:rPr>
              <w:t>432,200.00</w:t>
            </w:r>
          </w:p>
        </w:tc>
        <w:tc>
          <w:tcPr>
            <w:tcW w:w="1842" w:type="dxa"/>
            <w:vAlign w:val="center"/>
          </w:tcPr>
          <w:p w:rsidR="00337EFC" w:rsidRDefault="001C3EDD">
            <w:pPr>
              <w:jc w:val="right"/>
            </w:pPr>
            <w:r>
              <w:rPr>
                <w:rFonts w:eastAsiaTheme="minorEastAsia"/>
                <w:kern w:val="0"/>
                <w:szCs w:val="21"/>
              </w:rPr>
              <w:t>40,324,260.00</w:t>
            </w:r>
          </w:p>
        </w:tc>
        <w:tc>
          <w:tcPr>
            <w:tcW w:w="1616" w:type="dxa"/>
            <w:vAlign w:val="center"/>
          </w:tcPr>
          <w:p w:rsidR="00337EFC" w:rsidRDefault="001C3EDD">
            <w:pPr>
              <w:jc w:val="right"/>
            </w:pPr>
            <w:r>
              <w:rPr>
                <w:rFonts w:eastAsiaTheme="minorEastAsia"/>
                <w:kern w:val="0"/>
                <w:szCs w:val="21"/>
              </w:rPr>
              <w:t>2.52</w:t>
            </w:r>
          </w:p>
        </w:tc>
      </w:tr>
      <w:tr w:rsidR="00337EFC">
        <w:tc>
          <w:tcPr>
            <w:tcW w:w="817" w:type="dxa"/>
            <w:vAlign w:val="center"/>
          </w:tcPr>
          <w:p w:rsidR="00337EFC" w:rsidRDefault="001C3EDD">
            <w:pPr>
              <w:jc w:val="center"/>
            </w:pPr>
            <w:r>
              <w:rPr>
                <w:rFonts w:eastAsiaTheme="minorEastAsia"/>
                <w:kern w:val="0"/>
                <w:szCs w:val="21"/>
              </w:rPr>
              <w:t>5</w:t>
            </w:r>
          </w:p>
        </w:tc>
        <w:tc>
          <w:tcPr>
            <w:tcW w:w="1276" w:type="dxa"/>
            <w:vAlign w:val="center"/>
          </w:tcPr>
          <w:p w:rsidR="00337EFC" w:rsidRDefault="001C3EDD">
            <w:pPr>
              <w:jc w:val="center"/>
            </w:pPr>
            <w:r>
              <w:rPr>
                <w:rFonts w:eastAsiaTheme="minorEastAsia"/>
                <w:kern w:val="0"/>
                <w:szCs w:val="21"/>
              </w:rPr>
              <w:t>00941</w:t>
            </w:r>
          </w:p>
        </w:tc>
        <w:tc>
          <w:tcPr>
            <w:tcW w:w="1701" w:type="dxa"/>
            <w:vAlign w:val="center"/>
          </w:tcPr>
          <w:p w:rsidR="00337EFC" w:rsidRDefault="001C3EDD">
            <w:pPr>
              <w:jc w:val="center"/>
            </w:pPr>
            <w:r>
              <w:rPr>
                <w:rFonts w:eastAsiaTheme="minorEastAsia"/>
                <w:kern w:val="0"/>
                <w:szCs w:val="21"/>
              </w:rPr>
              <w:t>中国移动</w:t>
            </w:r>
          </w:p>
        </w:tc>
        <w:tc>
          <w:tcPr>
            <w:tcW w:w="1276" w:type="dxa"/>
            <w:vAlign w:val="center"/>
          </w:tcPr>
          <w:p w:rsidR="00337EFC" w:rsidRDefault="001C3EDD">
            <w:pPr>
              <w:jc w:val="right"/>
            </w:pPr>
            <w:r>
              <w:rPr>
                <w:rFonts w:eastAsiaTheme="minorEastAsia"/>
                <w:kern w:val="0"/>
                <w:szCs w:val="21"/>
              </w:rPr>
              <w:t>682,000.00</w:t>
            </w:r>
          </w:p>
        </w:tc>
        <w:tc>
          <w:tcPr>
            <w:tcW w:w="1842" w:type="dxa"/>
            <w:vAlign w:val="center"/>
          </w:tcPr>
          <w:p w:rsidR="00337EFC" w:rsidRDefault="001C3EDD">
            <w:pPr>
              <w:jc w:val="right"/>
            </w:pPr>
            <w:r>
              <w:rPr>
                <w:rFonts w:eastAsiaTheme="minorEastAsia"/>
                <w:kern w:val="0"/>
                <w:szCs w:val="21"/>
              </w:rPr>
              <w:t>40,274,022.56</w:t>
            </w:r>
          </w:p>
        </w:tc>
        <w:tc>
          <w:tcPr>
            <w:tcW w:w="1616" w:type="dxa"/>
            <w:vAlign w:val="center"/>
          </w:tcPr>
          <w:p w:rsidR="00337EFC" w:rsidRDefault="001C3EDD">
            <w:pPr>
              <w:jc w:val="right"/>
            </w:pPr>
            <w:r>
              <w:rPr>
                <w:rFonts w:eastAsiaTheme="minorEastAsia"/>
                <w:kern w:val="0"/>
                <w:szCs w:val="21"/>
              </w:rPr>
              <w:t>2.52</w:t>
            </w:r>
          </w:p>
        </w:tc>
      </w:tr>
      <w:tr w:rsidR="00337EFC">
        <w:tc>
          <w:tcPr>
            <w:tcW w:w="817" w:type="dxa"/>
            <w:vAlign w:val="center"/>
          </w:tcPr>
          <w:p w:rsidR="00337EFC" w:rsidRDefault="001C3EDD">
            <w:pPr>
              <w:jc w:val="center"/>
            </w:pPr>
            <w:r>
              <w:rPr>
                <w:rFonts w:eastAsiaTheme="minorEastAsia"/>
                <w:kern w:val="0"/>
                <w:szCs w:val="21"/>
              </w:rPr>
              <w:t>6</w:t>
            </w:r>
          </w:p>
        </w:tc>
        <w:tc>
          <w:tcPr>
            <w:tcW w:w="1276" w:type="dxa"/>
            <w:vAlign w:val="center"/>
          </w:tcPr>
          <w:p w:rsidR="00337EFC" w:rsidRDefault="001C3EDD">
            <w:pPr>
              <w:jc w:val="center"/>
            </w:pPr>
            <w:r>
              <w:rPr>
                <w:rFonts w:eastAsiaTheme="minorEastAsia"/>
                <w:kern w:val="0"/>
                <w:szCs w:val="21"/>
              </w:rPr>
              <w:t>00700</w:t>
            </w:r>
          </w:p>
        </w:tc>
        <w:tc>
          <w:tcPr>
            <w:tcW w:w="1701" w:type="dxa"/>
            <w:vAlign w:val="center"/>
          </w:tcPr>
          <w:p w:rsidR="00337EFC" w:rsidRDefault="001C3EDD">
            <w:pPr>
              <w:jc w:val="center"/>
            </w:pPr>
            <w:r>
              <w:rPr>
                <w:rFonts w:eastAsiaTheme="minorEastAsia"/>
                <w:kern w:val="0"/>
                <w:szCs w:val="21"/>
              </w:rPr>
              <w:t>腾讯控股</w:t>
            </w:r>
          </w:p>
        </w:tc>
        <w:tc>
          <w:tcPr>
            <w:tcW w:w="1276" w:type="dxa"/>
            <w:vAlign w:val="center"/>
          </w:tcPr>
          <w:p w:rsidR="00337EFC" w:rsidRDefault="001C3EDD">
            <w:pPr>
              <w:jc w:val="right"/>
            </w:pPr>
            <w:r>
              <w:rPr>
                <w:rFonts w:eastAsiaTheme="minorEastAsia"/>
                <w:kern w:val="0"/>
                <w:szCs w:val="21"/>
              </w:rPr>
              <w:t>233,900.00</w:t>
            </w:r>
          </w:p>
        </w:tc>
        <w:tc>
          <w:tcPr>
            <w:tcW w:w="1842" w:type="dxa"/>
            <w:vAlign w:val="center"/>
          </w:tcPr>
          <w:p w:rsidR="00337EFC" w:rsidRDefault="001C3EDD">
            <w:pPr>
              <w:jc w:val="right"/>
            </w:pPr>
            <w:r>
              <w:rPr>
                <w:rFonts w:eastAsiaTheme="minorEastAsia"/>
                <w:kern w:val="0"/>
                <w:szCs w:val="21"/>
              </w:rPr>
              <w:t>71,509,912.06</w:t>
            </w:r>
          </w:p>
        </w:tc>
        <w:tc>
          <w:tcPr>
            <w:tcW w:w="1616" w:type="dxa"/>
            <w:vAlign w:val="center"/>
          </w:tcPr>
          <w:p w:rsidR="00337EFC" w:rsidRDefault="001C3EDD">
            <w:pPr>
              <w:jc w:val="right"/>
            </w:pPr>
            <w:r>
              <w:rPr>
                <w:rFonts w:eastAsiaTheme="minorEastAsia"/>
                <w:kern w:val="0"/>
                <w:szCs w:val="21"/>
              </w:rPr>
              <w:t>4.48</w:t>
            </w:r>
          </w:p>
        </w:tc>
      </w:tr>
      <w:tr w:rsidR="00337EFC">
        <w:tc>
          <w:tcPr>
            <w:tcW w:w="817" w:type="dxa"/>
            <w:vAlign w:val="center"/>
          </w:tcPr>
          <w:p w:rsidR="00337EFC" w:rsidRDefault="001C3EDD">
            <w:pPr>
              <w:jc w:val="center"/>
            </w:pPr>
            <w:r>
              <w:rPr>
                <w:rFonts w:eastAsiaTheme="minorEastAsia"/>
                <w:kern w:val="0"/>
                <w:szCs w:val="21"/>
              </w:rPr>
              <w:t>7</w:t>
            </w:r>
          </w:p>
        </w:tc>
        <w:tc>
          <w:tcPr>
            <w:tcW w:w="1276" w:type="dxa"/>
            <w:vAlign w:val="center"/>
          </w:tcPr>
          <w:p w:rsidR="00337EFC" w:rsidRDefault="001C3EDD">
            <w:pPr>
              <w:jc w:val="center"/>
            </w:pPr>
            <w:r>
              <w:rPr>
                <w:rFonts w:eastAsiaTheme="minorEastAsia"/>
                <w:kern w:val="0"/>
                <w:szCs w:val="21"/>
              </w:rPr>
              <w:t>02015</w:t>
            </w:r>
          </w:p>
        </w:tc>
        <w:tc>
          <w:tcPr>
            <w:tcW w:w="1701" w:type="dxa"/>
            <w:vAlign w:val="center"/>
          </w:tcPr>
          <w:p w:rsidR="00337EFC" w:rsidRDefault="001C3EDD">
            <w:pPr>
              <w:jc w:val="center"/>
            </w:pPr>
            <w:r>
              <w:rPr>
                <w:rFonts w:eastAsiaTheme="minorEastAsia"/>
                <w:kern w:val="0"/>
                <w:szCs w:val="21"/>
              </w:rPr>
              <w:t>理想汽车－Ｗ</w:t>
            </w:r>
          </w:p>
        </w:tc>
        <w:tc>
          <w:tcPr>
            <w:tcW w:w="1276" w:type="dxa"/>
            <w:vAlign w:val="center"/>
          </w:tcPr>
          <w:p w:rsidR="00337EFC" w:rsidRDefault="001C3EDD">
            <w:pPr>
              <w:jc w:val="right"/>
            </w:pPr>
            <w:r>
              <w:rPr>
                <w:rFonts w:eastAsiaTheme="minorEastAsia"/>
                <w:kern w:val="0"/>
                <w:szCs w:val="21"/>
              </w:rPr>
              <w:t>448,300.00</w:t>
            </w:r>
          </w:p>
        </w:tc>
        <w:tc>
          <w:tcPr>
            <w:tcW w:w="1842" w:type="dxa"/>
            <w:vAlign w:val="center"/>
          </w:tcPr>
          <w:p w:rsidR="00337EFC" w:rsidRDefault="001C3EDD">
            <w:pPr>
              <w:jc w:val="right"/>
            </w:pPr>
            <w:r>
              <w:rPr>
                <w:rFonts w:eastAsiaTheme="minorEastAsia"/>
                <w:kern w:val="0"/>
                <w:szCs w:val="21"/>
              </w:rPr>
              <w:t>56,005,352.41</w:t>
            </w:r>
          </w:p>
        </w:tc>
        <w:tc>
          <w:tcPr>
            <w:tcW w:w="1616" w:type="dxa"/>
            <w:vAlign w:val="center"/>
          </w:tcPr>
          <w:p w:rsidR="00337EFC" w:rsidRDefault="001C3EDD">
            <w:pPr>
              <w:jc w:val="right"/>
            </w:pPr>
            <w:r>
              <w:rPr>
                <w:rFonts w:eastAsiaTheme="minorEastAsia"/>
                <w:kern w:val="0"/>
                <w:szCs w:val="21"/>
              </w:rPr>
              <w:t>3.51</w:t>
            </w:r>
          </w:p>
        </w:tc>
      </w:tr>
      <w:tr w:rsidR="00337EFC">
        <w:tc>
          <w:tcPr>
            <w:tcW w:w="817" w:type="dxa"/>
            <w:vAlign w:val="center"/>
          </w:tcPr>
          <w:p w:rsidR="00337EFC" w:rsidRDefault="001C3EDD">
            <w:pPr>
              <w:jc w:val="center"/>
            </w:pPr>
            <w:r>
              <w:rPr>
                <w:rFonts w:eastAsiaTheme="minorEastAsia"/>
                <w:kern w:val="0"/>
                <w:szCs w:val="21"/>
              </w:rPr>
              <w:t>8</w:t>
            </w:r>
          </w:p>
        </w:tc>
        <w:tc>
          <w:tcPr>
            <w:tcW w:w="1276" w:type="dxa"/>
            <w:vAlign w:val="center"/>
          </w:tcPr>
          <w:p w:rsidR="00337EFC" w:rsidRDefault="001C3EDD">
            <w:pPr>
              <w:jc w:val="center"/>
            </w:pPr>
            <w:r>
              <w:rPr>
                <w:rFonts w:eastAsiaTheme="minorEastAsia"/>
                <w:kern w:val="0"/>
                <w:szCs w:val="21"/>
              </w:rPr>
              <w:t>688036</w:t>
            </w:r>
          </w:p>
        </w:tc>
        <w:tc>
          <w:tcPr>
            <w:tcW w:w="1701" w:type="dxa"/>
            <w:vAlign w:val="center"/>
          </w:tcPr>
          <w:p w:rsidR="00337EFC" w:rsidRDefault="001C3EDD">
            <w:pPr>
              <w:jc w:val="center"/>
            </w:pPr>
            <w:r>
              <w:rPr>
                <w:rFonts w:eastAsiaTheme="minorEastAsia"/>
                <w:kern w:val="0"/>
                <w:szCs w:val="21"/>
              </w:rPr>
              <w:t>传音控股</w:t>
            </w:r>
          </w:p>
        </w:tc>
        <w:tc>
          <w:tcPr>
            <w:tcW w:w="1276" w:type="dxa"/>
            <w:vAlign w:val="center"/>
          </w:tcPr>
          <w:p w:rsidR="00337EFC" w:rsidRDefault="001C3EDD">
            <w:pPr>
              <w:jc w:val="right"/>
            </w:pPr>
            <w:r>
              <w:rPr>
                <w:rFonts w:eastAsiaTheme="minorEastAsia"/>
                <w:kern w:val="0"/>
                <w:szCs w:val="21"/>
              </w:rPr>
              <w:t>334,947.00</w:t>
            </w:r>
          </w:p>
        </w:tc>
        <w:tc>
          <w:tcPr>
            <w:tcW w:w="1842" w:type="dxa"/>
            <w:vAlign w:val="center"/>
          </w:tcPr>
          <w:p w:rsidR="00337EFC" w:rsidRDefault="001C3EDD">
            <w:pPr>
              <w:jc w:val="right"/>
            </w:pPr>
            <w:r>
              <w:rPr>
                <w:rFonts w:eastAsiaTheme="minorEastAsia"/>
                <w:kern w:val="0"/>
                <w:szCs w:val="21"/>
              </w:rPr>
              <w:t>49,237,209.00</w:t>
            </w:r>
          </w:p>
        </w:tc>
        <w:tc>
          <w:tcPr>
            <w:tcW w:w="1616" w:type="dxa"/>
            <w:vAlign w:val="center"/>
          </w:tcPr>
          <w:p w:rsidR="00337EFC" w:rsidRDefault="001C3EDD">
            <w:pPr>
              <w:jc w:val="right"/>
            </w:pPr>
            <w:r>
              <w:rPr>
                <w:rFonts w:eastAsiaTheme="minorEastAsia"/>
                <w:kern w:val="0"/>
                <w:szCs w:val="21"/>
              </w:rPr>
              <w:t>3.08</w:t>
            </w:r>
          </w:p>
        </w:tc>
      </w:tr>
      <w:tr w:rsidR="00337EFC">
        <w:tc>
          <w:tcPr>
            <w:tcW w:w="817" w:type="dxa"/>
            <w:vAlign w:val="center"/>
          </w:tcPr>
          <w:p w:rsidR="00337EFC" w:rsidRDefault="001C3EDD">
            <w:pPr>
              <w:jc w:val="center"/>
            </w:pPr>
            <w:r>
              <w:rPr>
                <w:rFonts w:eastAsiaTheme="minorEastAsia"/>
                <w:kern w:val="0"/>
                <w:szCs w:val="21"/>
              </w:rPr>
              <w:t>9</w:t>
            </w:r>
          </w:p>
        </w:tc>
        <w:tc>
          <w:tcPr>
            <w:tcW w:w="1276" w:type="dxa"/>
            <w:vAlign w:val="center"/>
          </w:tcPr>
          <w:p w:rsidR="00337EFC" w:rsidRDefault="001C3EDD">
            <w:pPr>
              <w:jc w:val="center"/>
            </w:pPr>
            <w:r>
              <w:rPr>
                <w:rFonts w:eastAsiaTheme="minorEastAsia"/>
                <w:kern w:val="0"/>
                <w:szCs w:val="21"/>
              </w:rPr>
              <w:t>002050</w:t>
            </w:r>
          </w:p>
        </w:tc>
        <w:tc>
          <w:tcPr>
            <w:tcW w:w="1701" w:type="dxa"/>
            <w:vAlign w:val="center"/>
          </w:tcPr>
          <w:p w:rsidR="00337EFC" w:rsidRDefault="001C3EDD">
            <w:pPr>
              <w:jc w:val="center"/>
            </w:pPr>
            <w:r>
              <w:rPr>
                <w:rFonts w:eastAsiaTheme="minorEastAsia"/>
                <w:kern w:val="0"/>
                <w:szCs w:val="21"/>
              </w:rPr>
              <w:t>三花智控</w:t>
            </w:r>
          </w:p>
        </w:tc>
        <w:tc>
          <w:tcPr>
            <w:tcW w:w="1276" w:type="dxa"/>
            <w:vAlign w:val="center"/>
          </w:tcPr>
          <w:p w:rsidR="00337EFC" w:rsidRDefault="001C3EDD">
            <w:pPr>
              <w:jc w:val="right"/>
            </w:pPr>
            <w:r>
              <w:rPr>
                <w:rFonts w:eastAsiaTheme="minorEastAsia"/>
                <w:kern w:val="0"/>
                <w:szCs w:val="21"/>
              </w:rPr>
              <w:t>1,613,400.00</w:t>
            </w:r>
          </w:p>
        </w:tc>
        <w:tc>
          <w:tcPr>
            <w:tcW w:w="1842" w:type="dxa"/>
            <w:vAlign w:val="center"/>
          </w:tcPr>
          <w:p w:rsidR="00337EFC" w:rsidRDefault="001C3EDD">
            <w:pPr>
              <w:jc w:val="right"/>
            </w:pPr>
            <w:r>
              <w:rPr>
                <w:rFonts w:eastAsiaTheme="minorEastAsia"/>
                <w:kern w:val="0"/>
                <w:szCs w:val="21"/>
              </w:rPr>
              <w:t>48,821,484.00</w:t>
            </w:r>
          </w:p>
        </w:tc>
        <w:tc>
          <w:tcPr>
            <w:tcW w:w="1616" w:type="dxa"/>
            <w:vAlign w:val="center"/>
          </w:tcPr>
          <w:p w:rsidR="00337EFC" w:rsidRDefault="001C3EDD">
            <w:pPr>
              <w:jc w:val="right"/>
            </w:pPr>
            <w:r>
              <w:rPr>
                <w:rFonts w:eastAsiaTheme="minorEastAsia"/>
                <w:kern w:val="0"/>
                <w:szCs w:val="21"/>
              </w:rPr>
              <w:t>3.06</w:t>
            </w:r>
          </w:p>
        </w:tc>
      </w:tr>
      <w:tr w:rsidR="00337EFC">
        <w:tc>
          <w:tcPr>
            <w:tcW w:w="817" w:type="dxa"/>
            <w:vAlign w:val="center"/>
          </w:tcPr>
          <w:p w:rsidR="00337EFC" w:rsidRDefault="001C3EDD">
            <w:pPr>
              <w:jc w:val="center"/>
            </w:pPr>
            <w:r>
              <w:rPr>
                <w:rFonts w:eastAsiaTheme="minorEastAsia"/>
                <w:kern w:val="0"/>
                <w:szCs w:val="21"/>
              </w:rPr>
              <w:t>10</w:t>
            </w:r>
          </w:p>
        </w:tc>
        <w:tc>
          <w:tcPr>
            <w:tcW w:w="1276" w:type="dxa"/>
            <w:vAlign w:val="center"/>
          </w:tcPr>
          <w:p w:rsidR="00337EFC" w:rsidRDefault="001C3EDD">
            <w:pPr>
              <w:jc w:val="center"/>
            </w:pPr>
            <w:r>
              <w:rPr>
                <w:rFonts w:eastAsiaTheme="minorEastAsia"/>
                <w:kern w:val="0"/>
                <w:szCs w:val="21"/>
              </w:rPr>
              <w:t>601689</w:t>
            </w:r>
          </w:p>
        </w:tc>
        <w:tc>
          <w:tcPr>
            <w:tcW w:w="1701" w:type="dxa"/>
            <w:vAlign w:val="center"/>
          </w:tcPr>
          <w:p w:rsidR="00337EFC" w:rsidRDefault="001C3EDD">
            <w:pPr>
              <w:jc w:val="center"/>
            </w:pPr>
            <w:r>
              <w:rPr>
                <w:rFonts w:eastAsiaTheme="minorEastAsia"/>
                <w:kern w:val="0"/>
                <w:szCs w:val="21"/>
              </w:rPr>
              <w:t>拓普集团</w:t>
            </w:r>
          </w:p>
        </w:tc>
        <w:tc>
          <w:tcPr>
            <w:tcW w:w="1276" w:type="dxa"/>
            <w:vAlign w:val="center"/>
          </w:tcPr>
          <w:p w:rsidR="00337EFC" w:rsidRDefault="001C3EDD">
            <w:pPr>
              <w:jc w:val="right"/>
            </w:pPr>
            <w:r>
              <w:rPr>
                <w:rFonts w:eastAsiaTheme="minorEastAsia"/>
                <w:kern w:val="0"/>
                <w:szCs w:val="21"/>
              </w:rPr>
              <w:t>586,850.00</w:t>
            </w:r>
          </w:p>
        </w:tc>
        <w:tc>
          <w:tcPr>
            <w:tcW w:w="1842" w:type="dxa"/>
            <w:vAlign w:val="center"/>
          </w:tcPr>
          <w:p w:rsidR="00337EFC" w:rsidRDefault="001C3EDD">
            <w:pPr>
              <w:jc w:val="right"/>
            </w:pPr>
            <w:r>
              <w:rPr>
                <w:rFonts w:eastAsiaTheme="minorEastAsia"/>
                <w:kern w:val="0"/>
                <w:szCs w:val="21"/>
              </w:rPr>
              <w:t>47,358,795.00</w:t>
            </w:r>
          </w:p>
        </w:tc>
        <w:tc>
          <w:tcPr>
            <w:tcW w:w="1616" w:type="dxa"/>
            <w:vAlign w:val="center"/>
          </w:tcPr>
          <w:p w:rsidR="00337EFC" w:rsidRDefault="001C3EDD">
            <w:pPr>
              <w:jc w:val="right"/>
            </w:pPr>
            <w:r>
              <w:rPr>
                <w:rFonts w:eastAsiaTheme="minorEastAsia"/>
                <w:kern w:val="0"/>
                <w:szCs w:val="21"/>
              </w:rPr>
              <w:t>2.96</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565,819.78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12,171,438.01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583,241.10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221,287.73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13,541,786.62</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摩根慧选成长股票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1,163,444,007.65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270,509,947.62</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14,503,245.91</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9,998,838.34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95,644,388.39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21,305,139.25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1,082,302,865.17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259,203,646.71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摩根慧选成长股票型证券投资基金基金合同</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摩根慧选成长股票型证券投资基金托管协议</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337EFC" w:rsidRDefault="001C3EDD">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C3ED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C3EDD">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C3EDD">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摩根慧选成长股票型证券投资基金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3EDD"/>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37EFC"/>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F1883C-D01B-4F55-9758-601D2BE1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13</Pages>
  <Words>1198</Words>
  <Characters>6830</Characters>
  <Application>Microsoft Office Word</Application>
  <DocSecurity>0</DocSecurity>
  <Lines>56</Lines>
  <Paragraphs>16</Paragraphs>
  <ScaleCrop>false</ScaleCrop>
  <Company>TRT. Ltd. Co.</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2023-07-20T05:42:00Z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