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上投摩根慧选成长股票型证券投资基金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2020年第4季度报告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2020年12月31日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中国银行股份有限公司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二〇二一年一月二十二日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本报告期自2020年10月1日起至12月31日止。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上投摩根慧选成长股票</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008314</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2020年1月22日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3,289,335,315.10</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采用定量及定性研究方法，通过自上而下资产配置与自下而上精选个股相结合，基于严格的风险控制，力争实现基金资产的长期增值。</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坚持“成长与价值并重”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中证800指数收益率*75%+中证港股通指数收益率*10%+上证国债指数收益率*15%</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本基金属于股票型基金产品，预期风险和收益水平高于混合型基金、债券型基金和货币市场基金。</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中国银行股份有限公司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上投摩根慧选成长股票A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008314</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008315</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2,920,287,012.61</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369,048,302.49</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2020年10月1日-</w:t>
            </w:r>
            <w:proofErr w:type="spellStart"/>
            <w:r>
              <w:rPr>
                <w:rFonts w:eastAsiaTheme="minorEastAsia"/>
                <w:color w:themeColor="text1" w:val="000000"/>
                <w:szCs w:val="21"/>
              </w:rPr>
              <w:t/>
            </w:r>
            <w:proofErr w:type="spellEnd"/>
            <w:r>
              <w:rPr>
                <w:rFonts w:eastAsiaTheme="minorEastAsia"/>
                <w:color w:themeColor="text1" w:val="000000"/>
                <w:szCs w:val="21"/>
              </w:rPr>
              <w:t>2020年12月31日)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352,849,316.51</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46,998,640.76</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793,929,239.19</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103,886,145.31</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0.2888</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0.2795</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5,394,078,921.95</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676,677,841.79</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1.8471</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1.8336</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上投摩根慧选成长股票A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18.38%</w:t>
            </w:r>
          </w:p>
        </w:tc>
        <w:tc>
          <w:tcPr>
            <w:vAlign w:val="center"/>
          </w:tcPr>
          <w:p>
            <w:pPr>
              <w:jc w:val="right"/>
            </w:pPr>
            <w:r>
              <w:rPr>
                <w:rFonts w:eastAsiaTheme="minorEastAsia"/>
                <w:color w:themeColor="text1" w:val="000000"/>
                <w:szCs w:val="21"/>
              </w:rPr>
              <w:t>1.32%</w:t>
            </w:r>
          </w:p>
        </w:tc>
        <w:tc>
          <w:tcPr>
            <w:vAlign w:val="center"/>
          </w:tcPr>
          <w:p>
            <w:pPr>
              <w:jc w:val="right"/>
            </w:pPr>
            <w:r>
              <w:rPr>
                <w:rFonts w:eastAsiaTheme="minorEastAsia"/>
                <w:color w:themeColor="text1" w:val="000000"/>
                <w:szCs w:val="21"/>
              </w:rPr>
              <w:t>9.57%</w:t>
            </w:r>
          </w:p>
        </w:tc>
        <w:tc>
          <w:tcPr>
            <w:vAlign w:val="center"/>
          </w:tcPr>
          <w:p>
            <w:pPr>
              <w:jc w:val="right"/>
            </w:pPr>
            <w:r>
              <w:rPr>
                <w:rFonts w:eastAsiaTheme="minorEastAsia"/>
                <w:color w:themeColor="text1" w:val="000000"/>
                <w:szCs w:val="21"/>
              </w:rPr>
              <w:t>0.82%</w:t>
            </w:r>
          </w:p>
        </w:tc>
        <w:tc>
          <w:tcPr>
            <w:vAlign w:val="center"/>
          </w:tcPr>
          <w:p>
            <w:pPr>
              <w:jc w:val="right"/>
            </w:pPr>
            <w:r>
              <w:rPr>
                <w:rFonts w:eastAsiaTheme="minorEastAsia"/>
                <w:color w:themeColor="text1" w:val="000000"/>
                <w:szCs w:val="21"/>
              </w:rPr>
              <w:t>8.81%</w:t>
            </w:r>
          </w:p>
        </w:tc>
        <w:tc>
          <w:tcPr>
            <w:vAlign w:val="center"/>
          </w:tcPr>
          <w:p>
            <w:pPr>
              <w:jc w:val="right"/>
            </w:pPr>
            <w:r>
              <w:rPr>
                <w:rFonts w:eastAsiaTheme="minorEastAsia"/>
                <w:color w:themeColor="text1" w:val="000000"/>
                <w:szCs w:val="21"/>
              </w:rPr>
              <w:t>0.50%</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39.50%</w:t>
            </w:r>
          </w:p>
        </w:tc>
        <w:tc>
          <w:tcPr>
            <w:vAlign w:val="center"/>
          </w:tcPr>
          <w:p>
            <w:pPr>
              <w:jc w:val="right"/>
            </w:pPr>
            <w:r>
              <w:rPr>
                <w:rFonts w:eastAsiaTheme="minorEastAsia"/>
                <w:color w:themeColor="text1" w:val="000000"/>
                <w:szCs w:val="21"/>
              </w:rPr>
              <w:t>1.65%</w:t>
            </w:r>
          </w:p>
        </w:tc>
        <w:tc>
          <w:tcPr>
            <w:vAlign w:val="center"/>
          </w:tcPr>
          <w:p>
            <w:pPr>
              <w:jc w:val="right"/>
            </w:pPr>
            <w:r>
              <w:rPr>
                <w:rFonts w:eastAsiaTheme="minorEastAsia"/>
                <w:color w:themeColor="text1" w:val="000000"/>
                <w:szCs w:val="21"/>
              </w:rPr>
              <w:t>17.03%</w:t>
            </w:r>
          </w:p>
        </w:tc>
        <w:tc>
          <w:tcPr>
            <w:vAlign w:val="center"/>
          </w:tcPr>
          <w:p>
            <w:pPr>
              <w:jc w:val="right"/>
            </w:pPr>
            <w:r>
              <w:rPr>
                <w:rFonts w:eastAsiaTheme="minorEastAsia"/>
                <w:color w:themeColor="text1" w:val="000000"/>
                <w:szCs w:val="21"/>
              </w:rPr>
              <w:t>1.09%</w:t>
            </w:r>
          </w:p>
        </w:tc>
        <w:tc>
          <w:tcPr>
            <w:vAlign w:val="center"/>
          </w:tcPr>
          <w:p>
            <w:pPr>
              <w:jc w:val="right"/>
            </w:pPr>
            <w:r>
              <w:rPr>
                <w:rFonts w:eastAsiaTheme="minorEastAsia"/>
                <w:color w:themeColor="text1" w:val="000000"/>
                <w:szCs w:val="21"/>
              </w:rPr>
              <w:t>22.47%</w:t>
            </w:r>
          </w:p>
        </w:tc>
        <w:tc>
          <w:tcPr>
            <w:vAlign w:val="center"/>
          </w:tcPr>
          <w:p>
            <w:pPr>
              <w:jc w:val="right"/>
            </w:pPr>
            <w:r>
              <w:rPr>
                <w:rFonts w:eastAsiaTheme="minorEastAsia"/>
                <w:color w:themeColor="text1" w:val="000000"/>
                <w:szCs w:val="21"/>
              </w:rPr>
              <w:t>0.56%</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84.71%</w:t>
            </w:r>
          </w:p>
        </w:tc>
        <w:tc>
          <w:tcPr>
            <w:vAlign w:val="center"/>
          </w:tcPr>
          <w:p>
            <w:pPr>
              <w:jc w:val="right"/>
            </w:pPr>
            <w:r>
              <w:rPr>
                <w:rFonts w:eastAsiaTheme="minorEastAsia"/>
                <w:color w:themeColor="text1" w:val="000000"/>
                <w:szCs w:val="21"/>
              </w:rPr>
              <w:t>1.46%</w:t>
            </w:r>
          </w:p>
        </w:tc>
        <w:tc>
          <w:tcPr>
            <w:vAlign w:val="center"/>
          </w:tcPr>
          <w:p>
            <w:pPr>
              <w:jc w:val="right"/>
            </w:pPr>
            <w:r>
              <w:rPr>
                <w:rFonts w:eastAsiaTheme="minorEastAsia"/>
                <w:color w:themeColor="text1" w:val="000000"/>
                <w:szCs w:val="21"/>
              </w:rPr>
              <w:t>19.16%</w:t>
            </w:r>
          </w:p>
        </w:tc>
        <w:tc>
          <w:tcPr>
            <w:vAlign w:val="center"/>
          </w:tcPr>
          <w:p>
            <w:pPr>
              <w:jc w:val="right"/>
            </w:pPr>
            <w:r>
              <w:rPr>
                <w:rFonts w:eastAsiaTheme="minorEastAsia"/>
                <w:color w:themeColor="text1" w:val="000000"/>
                <w:szCs w:val="21"/>
              </w:rPr>
              <w:t>1.22%</w:t>
            </w:r>
          </w:p>
        </w:tc>
        <w:tc>
          <w:tcPr>
            <w:vAlign w:val="center"/>
          </w:tcPr>
          <w:p>
            <w:pPr>
              <w:jc w:val="right"/>
            </w:pPr>
            <w:r>
              <w:rPr>
                <w:rFonts w:eastAsiaTheme="minorEastAsia"/>
                <w:color w:themeColor="text1" w:val="000000"/>
                <w:szCs w:val="21"/>
              </w:rPr>
              <w:t>65.55%</w:t>
            </w:r>
          </w:p>
        </w:tc>
        <w:tc>
          <w:tcPr>
            <w:vAlign w:val="center"/>
          </w:tcPr>
          <w:p>
            <w:pPr>
              <w:jc w:val="right"/>
            </w:pPr>
            <w:r>
              <w:rPr>
                <w:rFonts w:eastAsiaTheme="minorEastAsia"/>
                <w:color w:themeColor="text1" w:val="000000"/>
                <w:szCs w:val="21"/>
              </w:rPr>
              <w:t>0.24%</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上投摩根慧选成长股票C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18.14%</w:t>
            </w:r>
          </w:p>
        </w:tc>
        <w:tc>
          <w:tcPr>
            <w:vAlign w:val="center"/>
          </w:tcPr>
          <w:p>
            <w:pPr>
              <w:jc w:val="right"/>
            </w:pPr>
            <w:r>
              <w:rPr>
                <w:rFonts w:eastAsiaTheme="minorEastAsia"/>
                <w:color w:themeColor="text1" w:val="000000"/>
                <w:szCs w:val="21"/>
              </w:rPr>
              <w:t>1.32%</w:t>
            </w:r>
          </w:p>
        </w:tc>
        <w:tc>
          <w:tcPr>
            <w:vAlign w:val="center"/>
          </w:tcPr>
          <w:p>
            <w:pPr>
              <w:jc w:val="right"/>
            </w:pPr>
            <w:r>
              <w:rPr>
                <w:rFonts w:eastAsiaTheme="minorEastAsia"/>
                <w:color w:themeColor="text1" w:val="000000"/>
                <w:szCs w:val="21"/>
              </w:rPr>
              <w:t>9.57%</w:t>
            </w:r>
          </w:p>
        </w:tc>
        <w:tc>
          <w:tcPr>
            <w:vAlign w:val="center"/>
          </w:tcPr>
          <w:p>
            <w:pPr>
              <w:jc w:val="right"/>
            </w:pPr>
            <w:r>
              <w:rPr>
                <w:rFonts w:eastAsiaTheme="minorEastAsia"/>
                <w:color w:themeColor="text1" w:val="000000"/>
                <w:szCs w:val="21"/>
              </w:rPr>
              <w:t>0.82%</w:t>
            </w:r>
          </w:p>
        </w:tc>
        <w:tc>
          <w:tcPr>
            <w:vAlign w:val="center"/>
          </w:tcPr>
          <w:p>
            <w:pPr>
              <w:jc w:val="right"/>
            </w:pPr>
            <w:r>
              <w:rPr>
                <w:rFonts w:eastAsiaTheme="minorEastAsia"/>
                <w:color w:themeColor="text1" w:val="000000"/>
                <w:szCs w:val="21"/>
              </w:rPr>
              <w:t>8.57%</w:t>
            </w:r>
          </w:p>
        </w:tc>
        <w:tc>
          <w:tcPr>
            <w:vAlign w:val="center"/>
          </w:tcPr>
          <w:p>
            <w:pPr>
              <w:jc w:val="right"/>
            </w:pPr>
            <w:r>
              <w:rPr>
                <w:rFonts w:eastAsiaTheme="minorEastAsia"/>
                <w:color w:themeColor="text1" w:val="000000"/>
                <w:szCs w:val="21"/>
              </w:rPr>
              <w:t>0.50%</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38.95%</w:t>
            </w:r>
          </w:p>
        </w:tc>
        <w:tc>
          <w:tcPr>
            <w:vAlign w:val="center"/>
          </w:tcPr>
          <w:p>
            <w:pPr>
              <w:jc w:val="right"/>
            </w:pPr>
            <w:r>
              <w:rPr>
                <w:rFonts w:eastAsiaTheme="minorEastAsia"/>
                <w:color w:themeColor="text1" w:val="000000"/>
                <w:szCs w:val="21"/>
              </w:rPr>
              <w:t>1.65%</w:t>
            </w:r>
          </w:p>
        </w:tc>
        <w:tc>
          <w:tcPr>
            <w:vAlign w:val="center"/>
          </w:tcPr>
          <w:p>
            <w:pPr>
              <w:jc w:val="right"/>
            </w:pPr>
            <w:r>
              <w:rPr>
                <w:rFonts w:eastAsiaTheme="minorEastAsia"/>
                <w:color w:themeColor="text1" w:val="000000"/>
                <w:szCs w:val="21"/>
              </w:rPr>
              <w:t>17.03%</w:t>
            </w:r>
          </w:p>
        </w:tc>
        <w:tc>
          <w:tcPr>
            <w:vAlign w:val="center"/>
          </w:tcPr>
          <w:p>
            <w:pPr>
              <w:jc w:val="right"/>
            </w:pPr>
            <w:r>
              <w:rPr>
                <w:rFonts w:eastAsiaTheme="minorEastAsia"/>
                <w:color w:themeColor="text1" w:val="000000"/>
                <w:szCs w:val="21"/>
              </w:rPr>
              <w:t>1.09%</w:t>
            </w:r>
          </w:p>
        </w:tc>
        <w:tc>
          <w:tcPr>
            <w:vAlign w:val="center"/>
          </w:tcPr>
          <w:p>
            <w:pPr>
              <w:jc w:val="right"/>
            </w:pPr>
            <w:r>
              <w:rPr>
                <w:rFonts w:eastAsiaTheme="minorEastAsia"/>
                <w:color w:themeColor="text1" w:val="000000"/>
                <w:szCs w:val="21"/>
              </w:rPr>
              <w:t>21.92%</w:t>
            </w:r>
          </w:p>
        </w:tc>
        <w:tc>
          <w:tcPr>
            <w:vAlign w:val="center"/>
          </w:tcPr>
          <w:p>
            <w:pPr>
              <w:jc w:val="right"/>
            </w:pPr>
            <w:r>
              <w:rPr>
                <w:rFonts w:eastAsiaTheme="minorEastAsia"/>
                <w:color w:themeColor="text1" w:val="000000"/>
                <w:szCs w:val="21"/>
              </w:rPr>
              <w:t>0.56%</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83.36%</w:t>
            </w:r>
          </w:p>
        </w:tc>
        <w:tc>
          <w:tcPr>
            <w:vAlign w:val="center"/>
          </w:tcPr>
          <w:p>
            <w:pPr>
              <w:jc w:val="right"/>
            </w:pPr>
            <w:r>
              <w:rPr>
                <w:rFonts w:eastAsiaTheme="minorEastAsia"/>
                <w:color w:themeColor="text1" w:val="000000"/>
                <w:szCs w:val="21"/>
              </w:rPr>
              <w:t>1.46%</w:t>
            </w:r>
          </w:p>
        </w:tc>
        <w:tc>
          <w:tcPr>
            <w:vAlign w:val="center"/>
          </w:tcPr>
          <w:p>
            <w:pPr>
              <w:jc w:val="right"/>
            </w:pPr>
            <w:r>
              <w:rPr>
                <w:rFonts w:eastAsiaTheme="minorEastAsia"/>
                <w:color w:themeColor="text1" w:val="000000"/>
                <w:szCs w:val="21"/>
              </w:rPr>
              <w:t>19.16%</w:t>
            </w:r>
          </w:p>
        </w:tc>
        <w:tc>
          <w:tcPr>
            <w:vAlign w:val="center"/>
          </w:tcPr>
          <w:p>
            <w:pPr>
              <w:jc w:val="right"/>
            </w:pPr>
            <w:r>
              <w:rPr>
                <w:rFonts w:eastAsiaTheme="minorEastAsia"/>
                <w:color w:themeColor="text1" w:val="000000"/>
                <w:szCs w:val="21"/>
              </w:rPr>
              <w:t>1.22%</w:t>
            </w:r>
          </w:p>
        </w:tc>
        <w:tc>
          <w:tcPr>
            <w:vAlign w:val="center"/>
          </w:tcPr>
          <w:p>
            <w:pPr>
              <w:jc w:val="right"/>
            </w:pPr>
            <w:r>
              <w:rPr>
                <w:rFonts w:eastAsiaTheme="minorEastAsia"/>
                <w:color w:themeColor="text1" w:val="000000"/>
                <w:szCs w:val="21"/>
              </w:rPr>
              <w:t>64.20%</w:t>
            </w:r>
          </w:p>
        </w:tc>
        <w:tc>
          <w:tcPr>
            <w:vAlign w:val="center"/>
          </w:tcPr>
          <w:p>
            <w:pPr>
              <w:jc w:val="right"/>
            </w:pPr>
            <w:r>
              <w:rPr>
                <w:rFonts w:eastAsiaTheme="minorEastAsia"/>
                <w:color w:themeColor="text1" w:val="000000"/>
                <w:szCs w:val="21"/>
              </w:rPr>
              <w:t>0.24%</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2020年1月22日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2020年12月31日)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注：本基金合同生效日为2020年1月22日，截至报告期末本基金合同生效未满一年。</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本基金建仓期自2020年1月22日至2020年7月21日，建仓期结束时资产配置比例符合本基金基金合同规定。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上投摩根慧选成长股票C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注：本基金合同生效日为2020年1月22日，截至报告期末本基金合同生效未满一年。</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本基金建仓期自2020年1月22日至2020年7月21日，建仓期结束时资产配置比例符合本基金基金合同规定。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李德辉</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2020-01-22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8年</w:t>
            </w:r>
          </w:p>
        </w:tc>
        <w:tc>
          <w:tcPr>
            <w:vAlign w:val="center"/>
          </w:tcPr>
          <w:p>
            <w:pPr>
              <w:jc w:val="both"/>
            </w:pPr>
            <w:r>
              <w:rPr>
                <w:rFonts w:eastAsiaTheme="minorEastAsia"/>
                <w:color w:themeColor="text1" w:val="000000"/>
                <w:szCs w:val="21"/>
              </w:rPr>
              <w:t>李德辉先生，上海交通大学生物医学工程博士，自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李德辉先生为本基金首任基金经理，其任职日期为本基金基金合同生效之日；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	</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2020年四季度权益市场震荡上行，经济延续复苏，流动性保持适度宽裕，结构上新能源汽车、光伏、消费等长期成长性好的资产表现更加强劲。本基金维持成长风格的配置，行业上超配了电子、新能源、医药、消费等方向核心资产，取得了不错的效果，超赢市场和基金基准。</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2021年第一季度，我们认为国内经济延续复苏态势，流动性仍适度宽松，权益市场整体谨慎乐观。全年看我们认为经济和流动性大体上都在目前偏好状态回落到合理状态，整体对权益市场的影响偏中性。中长期角度看，我们认为宏观总需求大概率将逐步放缓，微观层面会出现竞争替代和马太效应加剧的现象。从投资角度看，优选需求韧性强、竞争格局好、护城河高的一些行业和公司，增强组合的稳定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具体来看，我们看好科技、新能源汽车、医药、消费等行业。科技行业：我们认为线上经济正在加速替代线下经济，线上化、云化有助于提升全产业链效率，有较强网络效应的互联网公司仍是稀缺的核心资产。新能源汽车行业：电动化和智能化趋势已经获得消费者认可，行业渗透率有望快速提升，未来成长空间较大。医药行业：人口老龄化导致医疗总需求增加，但是支付能力难以赶上需求增长，全产业链降价将会是必然的趋势，有创新能力的公司将是竞争中受益者。消费行业：伴随经济复苏和居民财富效应，高端消费品和中低端高性价比产品都需求旺盛，消费行业各细分品类也呈现品牌集中化趋势。</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个股选择上，我们优选具有持续成长性、竞争力较强的平台型公司，希望通过优秀公司的韧性来降低行业需求的波动性风险，力争获取长期稳定超额收益。</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本报告期上投摩根慧选成长股票A份额净值增长率为:18.38%，同期业绩比较基准收益率为:9.57%,</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上投摩根慧选成长股票C份额净值增长率为:18.14%，同期业绩比较基准收益率为:9.57%。</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5,181,063,527.38</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79.10</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5,181,063,527.38</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79.10</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361,700,000.00</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5.52</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980,075,896.09</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14.96</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27,185,992.25</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0.42</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6,550,025,415.72</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14:paraId="6590882E"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374162"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07E93AA0" w14:textId="77777777" w:rsidR="005E6DF3" w:rsidRDefault="005E6DF3">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160C7D7F" w14:textId="77777777" w:rsidR="005E6DF3" w:rsidRDefault="005E6DF3">
            <w:pPr>
              <w:jc w:val="right"/>
              <w:rPr>
                <w:rFonts w:eastAsiaTheme="minorEastAsia"/>
                <w:color w:themeColor="text1" w:val="000000"/>
                <w:szCs w:val="21"/>
              </w:rPr>
            </w:pPr>
          </w:p>
        </w:tc>
      </w:tr>
      <w:tr w14:paraId="75458CB8"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2,862,270,281.20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47.15</w:t>
            </w:r>
          </w:p>
        </w:tc>
      </w:tr>
      <w:tr w14:paraId="4409511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51906F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13,344.48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4327CAE1"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60915CC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174,513,999.12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pPr>
              <w:jc w:val="right"/>
              <w:rPr>
                <w:rFonts w:eastAsiaTheme="minorEastAsia"/>
                <w:color w:themeColor="text1" w:val="000000"/>
                <w:szCs w:val="21"/>
              </w:rPr>
            </w:pPr>
            <w:r>
              <w:rPr>
                <w:rFonts w:eastAsiaTheme="minorEastAsia"/>
                <w:color w:themeColor="text1" w:val="000000"/>
                <w:szCs w:val="21"/>
              </w:rPr>
              <w:t>2.87</w:t>
            </w:r>
          </w:p>
        </w:tc>
      </w:tr>
      <w:tr w14:paraId="32E073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3DC29D8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28,923,522.08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pPr>
              <w:jc w:val="right"/>
              <w:rPr>
                <w:rFonts w:eastAsiaTheme="minorEastAsia"/>
                <w:color w:themeColor="text1" w:val="000000"/>
                <w:szCs w:val="21"/>
              </w:rPr>
            </w:pPr>
            <w:r>
              <w:rPr>
                <w:rFonts w:eastAsiaTheme="minorEastAsia"/>
                <w:color w:themeColor="text1" w:val="000000"/>
                <w:szCs w:val="21"/>
              </w:rPr>
              <w:t>0.48</w:t>
            </w:r>
          </w:p>
        </w:tc>
      </w:tr>
      <w:tr w14:paraId="227F68A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411,657,351.89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6.78</w:t>
            </w:r>
          </w:p>
        </w:tc>
      </w:tr>
      <w:tr w14:paraId="070935FD"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111,116.14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259E14B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469,501,100.25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7.73</w:t>
            </w:r>
          </w:p>
        </w:tc>
      </w:tr>
      <w:tr w14:paraId="5343ADB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152,162,049.13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2.51</w:t>
            </w:r>
          </w:p>
        </w:tc>
      </w:tr>
      <w:tr w14:paraId="6808911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978,265.70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pPr>
              <w:jc w:val="right"/>
              <w:rPr>
                <w:rFonts w:eastAsiaTheme="minorEastAsia"/>
                <w:color w:themeColor="text1" w:val="000000"/>
                <w:szCs w:val="21"/>
              </w:rPr>
            </w:pPr>
            <w:r>
              <w:rPr>
                <w:rFonts w:eastAsiaTheme="minorEastAsia"/>
                <w:color w:themeColor="text1" w:val="000000"/>
                <w:szCs w:val="21"/>
              </w:rPr>
              <w:t>0.02</w:t>
            </w:r>
          </w:p>
        </w:tc>
      </w:tr>
      <w:tr w14:paraId="29DA128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4AD531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D8DAA0"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70,427,564.00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1.16</w:t>
            </w:r>
          </w:p>
        </w:tc>
      </w:tr>
      <w:tr w14:paraId="14DA41B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48,261.27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75E36F96"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21DEFFE9"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4,170,623,177.98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68.70</w:t>
            </w:r>
          </w:p>
        </w:tc>
      </w:tr>
    </w:tbl>
    <w:p w14:paraId="08EE8B25" w14:textId="77777777" w:rsidR="005E6DF3" w:rsidRDefault="005C671B">
      <w:pPr>
        <w:jc w:val="left"/>
        <w:rPr>
          <w:b/>
        </w:rPr>
      </w:pPr>
      <w:r>
        <w:rPr>
          <w:rFonts w:eastAsiaTheme="minorEastAsia" w:hint="eastAsia"/>
          <w:b/>
          <w:color w:themeColor="text1" w:val="000000"/>
          <w:szCs w:val="21"/>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ascii="宋体" w:hAnsi="宋体" w:hint="eastAsia"/>
          <w:b/>
          <w:kern w:val="0"/>
          <w:sz w:val="18"/>
        </w:rPr>
        <w:t>5.2.2</w:t>
      </w:r>
      <w:r>
        <w:rPr>
          <w:rFonts w:hint="eastAsia"/>
          <w:b/>
        </w:rPr>
        <w:t>报告期末按行业分类的港股通投资股票投资组合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14:paraId="3D69E3BD" w14:textId="77777777" w:rsidR="005E6DF3">
        <w:trPr>
          <w:jc w:val="center"/>
        </w:trPr>
        <w:tc>
          <w:tcPr>
            <w:tcW w:type="dxa" w:w="2397"/>
            <w:vAlign w:val="center"/>
          </w:tcPr>
          <w:p w14:paraId="425CB1C8"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行业类别</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119"/>
            <w:vAlign w:val="center"/>
          </w:tcPr>
          <w:p w14:paraId="791D1DFC"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公允价值（人民币）</w:t>
            </w:r>
          </w:p>
        </w:tc>
        <w:tc>
          <w:tcPr>
            <w:tcW w:type="dxa" w:w="3118"/>
            <w:vAlign w:val="center"/>
          </w:tcPr>
          <w:p w14:paraId="6D144361"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占基金资产净值比例（</w:t>
            </w:r>
            <w:r>
              <w:rPr>
                <w:rFonts w:eastAsiaTheme="minorEastAsia" w:hint="eastAsia"/>
                <w:color w:themeColor="text1" w:val="000000"/>
                <w:szCs w:val="21"/>
              </w:rPr>
              <w:t>%</w:t>
            </w:r>
            <w:r>
              <w:rPr>
                <w:rFonts w:eastAsiaTheme="minorEastAsia" w:hint="eastAsia"/>
                <w:color w:themeColor="text1" w:val="000000"/>
                <w:szCs w:val="21"/>
              </w:rPr>
              <w:t>）</w:t>
            </w:r>
          </w:p>
        </w:tc>
      </w:tr>
      <w:tr>
        <w:tc>
          <w:tcPr>
            <w:vAlign w:val="center"/>
          </w:tcPr>
          <w:p>
            <w:pPr>
              <w:jc w:val="center"/>
            </w:pPr>
            <w:r>
              <w:rPr>
                <w:rFonts w:eastAsiaTheme="minorEastAsia"/>
                <w:color w:themeColor="text1" w:val="000000"/>
                <w:szCs w:val="21"/>
              </w:rPr>
              <w:t>A 基础材料</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B 消费者非必需品</w:t>
            </w:r>
          </w:p>
        </w:tc>
        <w:tc>
          <w:tcPr>
            <w:vAlign w:val="center"/>
          </w:tcPr>
          <w:p>
            <w:pPr>
              <w:jc w:val="center"/>
            </w:pPr>
            <w:r>
              <w:rPr>
                <w:rFonts w:eastAsiaTheme="minorEastAsia"/>
                <w:color w:themeColor="text1" w:val="000000"/>
                <w:szCs w:val="21"/>
              </w:rPr>
              <w:t>359,415,797.20</w:t>
            </w:r>
          </w:p>
        </w:tc>
        <w:tc>
          <w:tcPr>
            <w:vAlign w:val="center"/>
          </w:tcPr>
          <w:p>
            <w:pPr>
              <w:jc w:val="center"/>
            </w:pPr>
            <w:r>
              <w:rPr>
                <w:rFonts w:eastAsiaTheme="minorEastAsia"/>
                <w:color w:themeColor="text1" w:val="000000"/>
                <w:szCs w:val="21"/>
              </w:rPr>
              <w:t>5.92</w:t>
            </w:r>
          </w:p>
        </w:tc>
      </w:tr>
      <w:tr>
        <w:tc>
          <w:tcPr>
            <w:vAlign w:val="center"/>
          </w:tcPr>
          <w:p>
            <w:pPr>
              <w:jc w:val="center"/>
            </w:pPr>
            <w:r>
              <w:rPr>
                <w:rFonts w:eastAsiaTheme="minorEastAsia"/>
                <w:color w:themeColor="text1" w:val="000000"/>
                <w:szCs w:val="21"/>
              </w:rPr>
              <w:t>C 消费者常用品</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D 能源</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E 金融</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F 医疗保健</w:t>
            </w:r>
          </w:p>
        </w:tc>
        <w:tc>
          <w:tcPr>
            <w:vAlign w:val="center"/>
          </w:tcPr>
          <w:p>
            <w:pPr>
              <w:jc w:val="center"/>
            </w:pPr>
            <w:r>
              <w:rPr>
                <w:rFonts w:eastAsiaTheme="minorEastAsia"/>
                <w:color w:themeColor="text1" w:val="000000"/>
                <w:szCs w:val="21"/>
              </w:rPr>
              <w:t>83,596,629.43</w:t>
            </w:r>
          </w:p>
        </w:tc>
        <w:tc>
          <w:tcPr>
            <w:vAlign w:val="center"/>
          </w:tcPr>
          <w:p>
            <w:pPr>
              <w:jc w:val="center"/>
            </w:pPr>
            <w:r>
              <w:rPr>
                <w:rFonts w:eastAsiaTheme="minorEastAsia"/>
                <w:color w:themeColor="text1" w:val="000000"/>
                <w:szCs w:val="21"/>
              </w:rPr>
              <w:t>1.38</w:t>
            </w:r>
          </w:p>
        </w:tc>
      </w:tr>
      <w:tr>
        <w:tc>
          <w:tcPr>
            <w:vAlign w:val="center"/>
          </w:tcPr>
          <w:p>
            <w:pPr>
              <w:jc w:val="center"/>
            </w:pPr>
            <w:r>
              <w:rPr>
                <w:rFonts w:eastAsiaTheme="minorEastAsia"/>
                <w:color w:themeColor="text1" w:val="000000"/>
                <w:szCs w:val="21"/>
              </w:rPr>
              <w:t>G 工业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H 信息技术</w:t>
            </w:r>
          </w:p>
        </w:tc>
        <w:tc>
          <w:tcPr>
            <w:vAlign w:val="center"/>
          </w:tcPr>
          <w:p>
            <w:pPr>
              <w:jc w:val="center"/>
            </w:pPr>
            <w:r>
              <w:rPr>
                <w:rFonts w:eastAsiaTheme="minorEastAsia"/>
                <w:color w:themeColor="text1" w:val="000000"/>
                <w:szCs w:val="21"/>
              </w:rPr>
              <w:t>71,477,076.56</w:t>
            </w:r>
          </w:p>
        </w:tc>
        <w:tc>
          <w:tcPr>
            <w:vAlign w:val="center"/>
          </w:tcPr>
          <w:p>
            <w:pPr>
              <w:jc w:val="center"/>
            </w:pPr>
            <w:r>
              <w:rPr>
                <w:rFonts w:eastAsiaTheme="minorEastAsia"/>
                <w:color w:themeColor="text1" w:val="000000"/>
                <w:szCs w:val="21"/>
              </w:rPr>
              <w:t>1.18</w:t>
            </w:r>
          </w:p>
        </w:tc>
      </w:tr>
      <w:tr>
        <w:tc>
          <w:tcPr>
            <w:vAlign w:val="center"/>
          </w:tcPr>
          <w:p>
            <w:pPr>
              <w:jc w:val="center"/>
            </w:pPr>
            <w:r>
              <w:rPr>
                <w:rFonts w:eastAsiaTheme="minorEastAsia"/>
                <w:color w:themeColor="text1" w:val="000000"/>
                <w:szCs w:val="21"/>
              </w:rPr>
              <w:t>I 电信服务</w:t>
            </w:r>
          </w:p>
        </w:tc>
        <w:tc>
          <w:tcPr>
            <w:vAlign w:val="center"/>
          </w:tcPr>
          <w:p>
            <w:pPr>
              <w:jc w:val="center"/>
            </w:pPr>
            <w:r>
              <w:rPr>
                <w:rFonts w:eastAsiaTheme="minorEastAsia"/>
                <w:color w:themeColor="text1" w:val="000000"/>
                <w:szCs w:val="21"/>
              </w:rPr>
              <w:t>495,950,846.21</w:t>
            </w:r>
          </w:p>
        </w:tc>
        <w:tc>
          <w:tcPr>
            <w:vAlign w:val="center"/>
          </w:tcPr>
          <w:p>
            <w:pPr>
              <w:jc w:val="center"/>
            </w:pPr>
            <w:r>
              <w:rPr>
                <w:rFonts w:eastAsiaTheme="minorEastAsia"/>
                <w:color w:themeColor="text1" w:val="000000"/>
                <w:szCs w:val="21"/>
              </w:rPr>
              <w:t>8.17</w:t>
            </w:r>
          </w:p>
        </w:tc>
      </w:tr>
      <w:tr>
        <w:tc>
          <w:tcPr>
            <w:vAlign w:val="center"/>
          </w:tcPr>
          <w:p>
            <w:pPr>
              <w:jc w:val="center"/>
            </w:pPr>
            <w:r>
              <w:rPr>
                <w:rFonts w:eastAsiaTheme="minorEastAsia"/>
                <w:color w:themeColor="text1" w:val="000000"/>
                <w:szCs w:val="21"/>
              </w:rPr>
              <w:t>J 公用事业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K 房地产</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14:paraId="14506F85" w14:textId="77777777" w:rsidR="005E6DF3">
        <w:trPr>
          <w:jc w:val="center"/>
        </w:trPr>
        <w:tc>
          <w:tcPr>
            <w:tcW w:type="dxa" w:w="2397"/>
            <w:vAlign w:val="center"/>
          </w:tcPr>
          <w:p w14:paraId="2F3610DF"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合计</w:t>
            </w:r>
          </w:p>
        </w:tc>
        <w:tc>
          <w:tcPr>
            <w:tcW w:type="dxa" w:w="3119"/>
            <w:vAlign w:val="center"/>
          </w:tcPr>
          <w:p w14:paraId="48320CF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1,010,440,349.40</w:t>
            </w:r>
          </w:p>
        </w:tc>
        <w:tc>
          <w:tcPr>
            <w:tcW w:type="dxa" w:w="3118"/>
            <w:vAlign w:val="center"/>
          </w:tcPr>
          <w:p w14:paraId="4328EE7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16.64</w:t>
            </w:r>
          </w:p>
        </w:tc>
      </w:tr>
    </w:tbl>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1276"/>
        <w:gridCol w:w="1701"/>
        <w:gridCol w:w="1276"/>
        <w:gridCol w:w="1842"/>
        <w:gridCol w:w="1616"/>
      </w:tblGrid>
      <w:tr w14:paraId="0ED22E2B" w14:textId="77777777" w:rsidR="005E6DF3">
        <w:tc>
          <w:tcPr>
            <w:tcW w:type="dxa" w:w="817"/>
            <w:vAlign w:val="center"/>
          </w:tcPr>
          <w:p w14:paraId="4F43E9C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14:paraId="7B6D212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14:paraId="249CF00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14:paraId="33B09B3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w:t>
            </w:r>
            <w:r>
              <w:rPr>
                <w:rFonts w:eastAsiaTheme="minorEastAsia"/>
                <w:color w:themeColor="text1" w:val="000000"/>
                <w:szCs w:val="21"/>
              </w:rPr>
              <w:t>(</w:t>
            </w:r>
            <w:r>
              <w:rPr>
                <w:rFonts w:eastAsiaTheme="minorEastAsia"/>
                <w:color w:themeColor="text1" w:val="000000"/>
                <w:szCs w:val="21"/>
              </w:rPr>
              <w:t>股</w:t>
            </w:r>
            <w:r>
              <w:rPr>
                <w:rFonts w:eastAsiaTheme="minorEastAsia"/>
                <w:color w:themeColor="text1" w:val="000000"/>
                <w:szCs w:val="21"/>
              </w:rPr>
              <w:t>)</w:t>
            </w:r>
          </w:p>
        </w:tc>
        <w:tc>
          <w:tcPr>
            <w:tcW w:type="dxa" w:w="1842"/>
            <w:vAlign w:val="center"/>
          </w:tcPr>
          <w:p w14:paraId="193ED3E3" w14:textId="77777777" w:rsidR="005E6DF3" w:rsidRDefault="005C671B">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1A53759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00700</w:t>
            </w:r>
          </w:p>
        </w:tc>
        <w:tc>
          <w:tcPr>
            <w:vAlign w:val="center"/>
          </w:tcPr>
          <w:p>
            <w:pPr>
              <w:jc w:val="center"/>
            </w:pPr>
            <w:r>
              <w:rPr>
                <w:rFonts w:eastAsiaTheme="minorEastAsia"/>
                <w:color w:themeColor="text1" w:val="000000"/>
                <w:szCs w:val="21"/>
              </w:rPr>
              <w:t>腾讯控股</w:t>
            </w:r>
          </w:p>
        </w:tc>
        <w:tc>
          <w:tcPr>
            <w:vAlign w:val="center"/>
          </w:tcPr>
          <w:p>
            <w:pPr>
              <w:jc w:val="right"/>
            </w:pPr>
            <w:r>
              <w:rPr>
                <w:rFonts w:eastAsiaTheme="minorEastAsia"/>
                <w:color w:themeColor="text1" w:val="000000"/>
                <w:szCs w:val="21"/>
              </w:rPr>
              <w:t>1,044,800.00</w:t>
            </w:r>
          </w:p>
        </w:tc>
        <w:tc>
          <w:tcPr>
            <w:vAlign w:val="center"/>
          </w:tcPr>
          <w:p>
            <w:pPr>
              <w:jc w:val="right"/>
            </w:pPr>
            <w:r>
              <w:rPr>
                <w:rFonts w:eastAsiaTheme="minorEastAsia"/>
                <w:color w:themeColor="text1" w:val="000000"/>
                <w:szCs w:val="21"/>
              </w:rPr>
              <w:t>495,950,846.21</w:t>
            </w:r>
          </w:p>
        </w:tc>
        <w:tc>
          <w:tcPr>
            <w:vAlign w:val="center"/>
          </w:tcPr>
          <w:p>
            <w:pPr>
              <w:jc w:val="right"/>
            </w:pPr>
            <w:r>
              <w:rPr>
                <w:rFonts w:eastAsiaTheme="minorEastAsia"/>
                <w:color w:themeColor="text1" w:val="000000"/>
                <w:szCs w:val="21"/>
              </w:rPr>
              <w:t>8.17</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601888</w:t>
            </w:r>
          </w:p>
        </w:tc>
        <w:tc>
          <w:tcPr>
            <w:vAlign w:val="center"/>
          </w:tcPr>
          <w:p>
            <w:pPr>
              <w:jc w:val="center"/>
            </w:pPr>
            <w:r>
              <w:rPr>
                <w:rFonts w:eastAsiaTheme="minorEastAsia"/>
                <w:color w:themeColor="text1" w:val="000000"/>
                <w:szCs w:val="21"/>
              </w:rPr>
              <w:t>中国中免</w:t>
            </w:r>
          </w:p>
        </w:tc>
        <w:tc>
          <w:tcPr>
            <w:vAlign w:val="center"/>
          </w:tcPr>
          <w:p>
            <w:pPr>
              <w:jc w:val="right"/>
            </w:pPr>
            <w:r>
              <w:rPr>
                <w:rFonts w:eastAsiaTheme="minorEastAsia"/>
                <w:color w:themeColor="text1" w:val="000000"/>
                <w:szCs w:val="21"/>
              </w:rPr>
              <w:t>1,662,245.00</w:t>
            </w:r>
          </w:p>
        </w:tc>
        <w:tc>
          <w:tcPr>
            <w:vAlign w:val="center"/>
          </w:tcPr>
          <w:p>
            <w:pPr>
              <w:jc w:val="right"/>
            </w:pPr>
            <w:r>
              <w:rPr>
                <w:rFonts w:eastAsiaTheme="minorEastAsia"/>
                <w:color w:themeColor="text1" w:val="000000"/>
                <w:szCs w:val="21"/>
              </w:rPr>
              <w:t>469,501,100.25</w:t>
            </w:r>
          </w:p>
        </w:tc>
        <w:tc>
          <w:tcPr>
            <w:vAlign w:val="center"/>
          </w:tcPr>
          <w:p>
            <w:pPr>
              <w:jc w:val="right"/>
            </w:pPr>
            <w:r>
              <w:rPr>
                <w:rFonts w:eastAsiaTheme="minorEastAsia"/>
                <w:color w:themeColor="text1" w:val="000000"/>
                <w:szCs w:val="21"/>
              </w:rPr>
              <w:t>7.73</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002475</w:t>
            </w:r>
          </w:p>
        </w:tc>
        <w:tc>
          <w:tcPr>
            <w:vAlign w:val="center"/>
          </w:tcPr>
          <w:p>
            <w:pPr>
              <w:jc w:val="center"/>
            </w:pPr>
            <w:r>
              <w:rPr>
                <w:rFonts w:eastAsiaTheme="minorEastAsia"/>
                <w:color w:themeColor="text1" w:val="000000"/>
                <w:szCs w:val="21"/>
              </w:rPr>
              <w:t>立讯精密</w:t>
            </w:r>
          </w:p>
        </w:tc>
        <w:tc>
          <w:tcPr>
            <w:vAlign w:val="center"/>
          </w:tcPr>
          <w:p>
            <w:pPr>
              <w:jc w:val="right"/>
            </w:pPr>
            <w:r>
              <w:rPr>
                <w:rFonts w:eastAsiaTheme="minorEastAsia"/>
                <w:color w:themeColor="text1" w:val="000000"/>
                <w:szCs w:val="21"/>
              </w:rPr>
              <w:t>6,223,196.00</w:t>
            </w:r>
          </w:p>
        </w:tc>
        <w:tc>
          <w:tcPr>
            <w:vAlign w:val="center"/>
          </w:tcPr>
          <w:p>
            <w:pPr>
              <w:jc w:val="right"/>
            </w:pPr>
            <w:r>
              <w:rPr>
                <w:rFonts w:eastAsiaTheme="minorEastAsia"/>
                <w:color w:themeColor="text1" w:val="000000"/>
                <w:szCs w:val="21"/>
              </w:rPr>
              <w:t>349,245,759.52</w:t>
            </w:r>
          </w:p>
        </w:tc>
        <w:tc>
          <w:tcPr>
            <w:vAlign w:val="center"/>
          </w:tcPr>
          <w:p>
            <w:pPr>
              <w:jc w:val="right"/>
            </w:pPr>
            <w:r>
              <w:rPr>
                <w:rFonts w:eastAsiaTheme="minorEastAsia"/>
                <w:color w:themeColor="text1" w:val="000000"/>
                <w:szCs w:val="21"/>
              </w:rPr>
              <w:t>5.75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300750</w:t>
            </w:r>
          </w:p>
        </w:tc>
        <w:tc>
          <w:tcPr>
            <w:vAlign w:val="center"/>
          </w:tcPr>
          <w:p>
            <w:pPr>
              <w:jc w:val="center"/>
            </w:pPr>
            <w:r>
              <w:rPr>
                <w:rFonts w:eastAsiaTheme="minorEastAsia"/>
                <w:color w:themeColor="text1" w:val="000000"/>
                <w:szCs w:val="21"/>
              </w:rPr>
              <w:t>宁德时代</w:t>
            </w:r>
          </w:p>
        </w:tc>
        <w:tc>
          <w:tcPr>
            <w:vAlign w:val="center"/>
          </w:tcPr>
          <w:p>
            <w:pPr>
              <w:jc w:val="right"/>
            </w:pPr>
            <w:r>
              <w:rPr>
                <w:rFonts w:eastAsiaTheme="minorEastAsia"/>
                <w:color w:themeColor="text1" w:val="000000"/>
                <w:szCs w:val="21"/>
              </w:rPr>
              <w:t>726,540.00</w:t>
            </w:r>
          </w:p>
        </w:tc>
        <w:tc>
          <w:tcPr>
            <w:vAlign w:val="center"/>
          </w:tcPr>
          <w:p>
            <w:pPr>
              <w:jc w:val="right"/>
            </w:pPr>
            <w:r>
              <w:rPr>
                <w:rFonts w:eastAsiaTheme="minorEastAsia"/>
                <w:color w:themeColor="text1" w:val="000000"/>
                <w:szCs w:val="21"/>
              </w:rPr>
              <w:t>255,095,459.40</w:t>
            </w:r>
          </w:p>
        </w:tc>
        <w:tc>
          <w:tcPr>
            <w:vAlign w:val="center"/>
          </w:tcPr>
          <w:p>
            <w:pPr>
              <w:jc w:val="right"/>
            </w:pPr>
            <w:r>
              <w:rPr>
                <w:rFonts w:eastAsiaTheme="minorEastAsia"/>
                <w:color w:themeColor="text1" w:val="000000"/>
                <w:szCs w:val="21"/>
              </w:rPr>
              <w:t>4.20</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000568</w:t>
            </w:r>
          </w:p>
        </w:tc>
        <w:tc>
          <w:tcPr>
            <w:vAlign w:val="center"/>
          </w:tcPr>
          <w:p>
            <w:pPr>
              <w:jc w:val="center"/>
            </w:pPr>
            <w:r>
              <w:rPr>
                <w:rFonts w:eastAsiaTheme="minorEastAsia"/>
                <w:color w:themeColor="text1" w:val="000000"/>
                <w:szCs w:val="21"/>
              </w:rPr>
              <w:t>泸州老窖</w:t>
            </w:r>
          </w:p>
        </w:tc>
        <w:tc>
          <w:tcPr>
            <w:vAlign w:val="center"/>
          </w:tcPr>
          <w:p>
            <w:pPr>
              <w:jc w:val="right"/>
            </w:pPr>
            <w:r>
              <w:rPr>
                <w:rFonts w:eastAsiaTheme="minorEastAsia"/>
                <w:color w:themeColor="text1" w:val="000000"/>
                <w:szCs w:val="21"/>
              </w:rPr>
              <w:t>976,300.00</w:t>
            </w:r>
          </w:p>
        </w:tc>
        <w:tc>
          <w:tcPr>
            <w:vAlign w:val="center"/>
          </w:tcPr>
          <w:p>
            <w:pPr>
              <w:jc w:val="right"/>
            </w:pPr>
            <w:r>
              <w:rPr>
                <w:rFonts w:eastAsiaTheme="minorEastAsia"/>
                <w:color w:themeColor="text1" w:val="000000"/>
                <w:szCs w:val="21"/>
              </w:rPr>
              <w:t>220,800,008.00</w:t>
            </w:r>
          </w:p>
        </w:tc>
        <w:tc>
          <w:tcPr>
            <w:vAlign w:val="center"/>
          </w:tcPr>
          <w:p>
            <w:pPr>
              <w:jc w:val="right"/>
            </w:pPr>
            <w:r>
              <w:rPr>
                <w:rFonts w:eastAsiaTheme="minorEastAsia"/>
                <w:color w:themeColor="text1" w:val="000000"/>
                <w:szCs w:val="21"/>
              </w:rPr>
              <w:t>3.64</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000858</w:t>
            </w:r>
          </w:p>
        </w:tc>
        <w:tc>
          <w:tcPr>
            <w:vAlign w:val="center"/>
          </w:tcPr>
          <w:p>
            <w:pPr>
              <w:jc w:val="center"/>
            </w:pPr>
            <w:r>
              <w:rPr>
                <w:rFonts w:eastAsiaTheme="minorEastAsia"/>
                <w:color w:themeColor="text1" w:val="000000"/>
                <w:szCs w:val="21"/>
              </w:rPr>
              <w:t>五粮液</w:t>
            </w:r>
          </w:p>
        </w:tc>
        <w:tc>
          <w:tcPr>
            <w:vAlign w:val="center"/>
          </w:tcPr>
          <w:p>
            <w:pPr>
              <w:jc w:val="right"/>
            </w:pPr>
            <w:r>
              <w:rPr>
                <w:rFonts w:eastAsiaTheme="minorEastAsia"/>
                <w:color w:themeColor="text1" w:val="000000"/>
                <w:szCs w:val="21"/>
              </w:rPr>
              <w:t>660,702.00</w:t>
            </w:r>
          </w:p>
        </w:tc>
        <w:tc>
          <w:tcPr>
            <w:vAlign w:val="center"/>
          </w:tcPr>
          <w:p>
            <w:pPr>
              <w:jc w:val="right"/>
            </w:pPr>
            <w:r>
              <w:rPr>
                <w:rFonts w:eastAsiaTheme="minorEastAsia"/>
                <w:color w:themeColor="text1" w:val="000000"/>
                <w:szCs w:val="21"/>
              </w:rPr>
              <w:t>192,825,878.70</w:t>
            </w:r>
          </w:p>
        </w:tc>
        <w:tc>
          <w:tcPr>
            <w:vAlign w:val="center"/>
          </w:tcPr>
          <w:p>
            <w:pPr>
              <w:jc w:val="right"/>
            </w:pPr>
            <w:r>
              <w:rPr>
                <w:rFonts w:eastAsiaTheme="minorEastAsia"/>
                <w:color w:themeColor="text1" w:val="000000"/>
                <w:szCs w:val="21"/>
              </w:rPr>
              <w:t>3.18</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600519</w:t>
            </w:r>
          </w:p>
        </w:tc>
        <w:tc>
          <w:tcPr>
            <w:vAlign w:val="center"/>
          </w:tcPr>
          <w:p>
            <w:pPr>
              <w:jc w:val="center"/>
            </w:pPr>
            <w:r>
              <w:rPr>
                <w:rFonts w:eastAsiaTheme="minorEastAsia"/>
                <w:color w:themeColor="text1" w:val="000000"/>
                <w:szCs w:val="21"/>
              </w:rPr>
              <w:t>贵州茅台</w:t>
            </w:r>
          </w:p>
        </w:tc>
        <w:tc>
          <w:tcPr>
            <w:vAlign w:val="center"/>
          </w:tcPr>
          <w:p>
            <w:pPr>
              <w:jc w:val="right"/>
            </w:pPr>
            <w:r>
              <w:rPr>
                <w:rFonts w:eastAsiaTheme="minorEastAsia"/>
                <w:color w:themeColor="text1" w:val="000000"/>
                <w:szCs w:val="21"/>
              </w:rPr>
              <w:t>91,700.00</w:t>
            </w:r>
          </w:p>
        </w:tc>
        <w:tc>
          <w:tcPr>
            <w:vAlign w:val="center"/>
          </w:tcPr>
          <w:p>
            <w:pPr>
              <w:jc w:val="right"/>
            </w:pPr>
            <w:r>
              <w:rPr>
                <w:rFonts w:eastAsiaTheme="minorEastAsia"/>
                <w:color w:themeColor="text1" w:val="000000"/>
                <w:szCs w:val="21"/>
              </w:rPr>
              <w:t>183,216,600.00</w:t>
            </w:r>
          </w:p>
        </w:tc>
        <w:tc>
          <w:tcPr>
            <w:vAlign w:val="center"/>
          </w:tcPr>
          <w:p>
            <w:pPr>
              <w:jc w:val="right"/>
            </w:pPr>
            <w:r>
              <w:rPr>
                <w:rFonts w:eastAsiaTheme="minorEastAsia"/>
                <w:color w:themeColor="text1" w:val="000000"/>
                <w:szCs w:val="21"/>
              </w:rPr>
              <w:t>3.02</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02020</w:t>
            </w:r>
          </w:p>
        </w:tc>
        <w:tc>
          <w:tcPr>
            <w:vAlign w:val="center"/>
          </w:tcPr>
          <w:p>
            <w:pPr>
              <w:jc w:val="center"/>
            </w:pPr>
            <w:r>
              <w:rPr>
                <w:rFonts w:eastAsiaTheme="minorEastAsia"/>
                <w:color w:themeColor="text1" w:val="000000"/>
                <w:szCs w:val="21"/>
              </w:rPr>
              <w:t>安踏体育</w:t>
            </w:r>
          </w:p>
        </w:tc>
        <w:tc>
          <w:tcPr>
            <w:vAlign w:val="center"/>
          </w:tcPr>
          <w:p>
            <w:pPr>
              <w:jc w:val="right"/>
            </w:pPr>
            <w:r>
              <w:rPr>
                <w:rFonts w:eastAsiaTheme="minorEastAsia"/>
                <w:color w:themeColor="text1" w:val="000000"/>
                <w:szCs w:val="21"/>
              </w:rPr>
              <w:t>1,689,000.00</w:t>
            </w:r>
          </w:p>
        </w:tc>
        <w:tc>
          <w:tcPr>
            <w:vAlign w:val="center"/>
          </w:tcPr>
          <w:p>
            <w:pPr>
              <w:jc w:val="right"/>
            </w:pPr>
            <w:r>
              <w:rPr>
                <w:rFonts w:eastAsiaTheme="minorEastAsia"/>
                <w:color w:themeColor="text1" w:val="000000"/>
                <w:szCs w:val="21"/>
              </w:rPr>
              <w:t>174,706,032.08</w:t>
            </w:r>
          </w:p>
        </w:tc>
        <w:tc>
          <w:tcPr>
            <w:vAlign w:val="center"/>
          </w:tcPr>
          <w:p>
            <w:pPr>
              <w:jc w:val="right"/>
            </w:pPr>
            <w:r>
              <w:rPr>
                <w:rFonts w:eastAsiaTheme="minorEastAsia"/>
                <w:color w:themeColor="text1" w:val="000000"/>
                <w:szCs w:val="21"/>
              </w:rPr>
              <w:t>2.88</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002352</w:t>
            </w:r>
          </w:p>
        </w:tc>
        <w:tc>
          <w:tcPr>
            <w:vAlign w:val="center"/>
          </w:tcPr>
          <w:p>
            <w:pPr>
              <w:jc w:val="center"/>
            </w:pPr>
            <w:r>
              <w:rPr>
                <w:rFonts w:eastAsiaTheme="minorEastAsia"/>
                <w:color w:themeColor="text1" w:val="000000"/>
                <w:szCs w:val="21"/>
              </w:rPr>
              <w:t>顺丰控股</w:t>
            </w:r>
          </w:p>
        </w:tc>
        <w:tc>
          <w:tcPr>
            <w:vAlign w:val="center"/>
          </w:tcPr>
          <w:p>
            <w:pPr>
              <w:jc w:val="right"/>
            </w:pPr>
            <w:r>
              <w:rPr>
                <w:rFonts w:eastAsiaTheme="minorEastAsia"/>
                <w:color w:themeColor="text1" w:val="000000"/>
                <w:szCs w:val="21"/>
              </w:rPr>
              <w:t>1,977,944.00</w:t>
            </w:r>
          </w:p>
        </w:tc>
        <w:tc>
          <w:tcPr>
            <w:vAlign w:val="center"/>
          </w:tcPr>
          <w:p>
            <w:pPr>
              <w:jc w:val="right"/>
            </w:pPr>
            <w:r>
              <w:rPr>
                <w:rFonts w:eastAsiaTheme="minorEastAsia"/>
                <w:color w:themeColor="text1" w:val="000000"/>
                <w:szCs w:val="21"/>
              </w:rPr>
              <w:t>174,513,999.12</w:t>
            </w:r>
          </w:p>
        </w:tc>
        <w:tc>
          <w:tcPr>
            <w:vAlign w:val="center"/>
          </w:tcPr>
          <w:p>
            <w:pPr>
              <w:jc w:val="right"/>
            </w:pPr>
            <w:r>
              <w:rPr>
                <w:rFonts w:eastAsiaTheme="minorEastAsia"/>
                <w:color w:themeColor="text1" w:val="000000"/>
                <w:szCs w:val="21"/>
              </w:rPr>
              <w:t>2.87</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000333</w:t>
            </w:r>
          </w:p>
        </w:tc>
        <w:tc>
          <w:tcPr>
            <w:vAlign w:val="center"/>
          </w:tcPr>
          <w:p>
            <w:pPr>
              <w:jc w:val="center"/>
            </w:pPr>
            <w:r>
              <w:rPr>
                <w:rFonts w:eastAsiaTheme="minorEastAsia"/>
                <w:color w:themeColor="text1" w:val="000000"/>
                <w:szCs w:val="21"/>
              </w:rPr>
              <w:t>美的集团</w:t>
            </w:r>
          </w:p>
        </w:tc>
        <w:tc>
          <w:tcPr>
            <w:vAlign w:val="center"/>
          </w:tcPr>
          <w:p>
            <w:pPr>
              <w:jc w:val="right"/>
            </w:pPr>
            <w:r>
              <w:rPr>
                <w:rFonts w:eastAsiaTheme="minorEastAsia"/>
                <w:color w:themeColor="text1" w:val="000000"/>
                <w:szCs w:val="21"/>
              </w:rPr>
              <w:t>1,720,836.00</w:t>
            </w:r>
          </w:p>
        </w:tc>
        <w:tc>
          <w:tcPr>
            <w:vAlign w:val="center"/>
          </w:tcPr>
          <w:p>
            <w:pPr>
              <w:jc w:val="right"/>
            </w:pPr>
            <w:r>
              <w:rPr>
                <w:rFonts w:eastAsiaTheme="minorEastAsia"/>
                <w:color w:themeColor="text1" w:val="000000"/>
                <w:szCs w:val="21"/>
              </w:rPr>
              <w:t>169,399,095.84</w:t>
            </w:r>
          </w:p>
        </w:tc>
        <w:tc>
          <w:tcPr>
            <w:vAlign w:val="center"/>
          </w:tcPr>
          <w:p>
            <w:pPr>
              <w:jc w:val="right"/>
            </w:pPr>
            <w:r>
              <w:rPr>
                <w:rFonts w:eastAsiaTheme="minorEastAsia"/>
                <w:color w:themeColor="text1" w:val="000000"/>
                <w:szCs w:val="21"/>
              </w:rPr>
              <w:t>2.79</w:t>
            </w:r>
          </w:p>
        </w:tc>
      </w:tr>
    </w:tbl>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p w14:paraId="561FCF5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本基金本报告期末未持有债券。</w:t>
      </w:r>
    </w:p>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p w14:paraId="70C6031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本基金本报告期末未持有债券。</w:t>
      </w:r>
    </w:p>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6,967,735.08</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114,491.73</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20,103,765.44</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27,185,992.25</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2,472,402,997.94</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338,248,916.17</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1,100,336,461.93</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279,854,790.23</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652,452,447.26</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249,055,403.91</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2,920,287,012.61</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369,048,302.49</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1、中国证监会准予上投摩根慧选成长股票型证券投资基金募集注册的文件；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2、《上投摩根慧选成长股票型证券投资基金基金合同》；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3、《上投摩根慧选成长股票型证券投资基金托管协议》；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二〇二一年一月二十二日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上投摩根慧选成长股票型证券投资基金</w:t>
    </w:r>
    <w:proofErr w:type="spellStart"/>
    <w:proofErr w:type="gramEnd"/>
    <w:r>
      <w:t/>
    </w:r>
    <w:proofErr w:type="spellEnd"/>
    <w: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