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43A2A" w:rsidRDefault="00843A2A">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843A2A" w:rsidRDefault="00843A2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843A2A" w:rsidRDefault="00843A2A">
      <w:pPr>
        <w:spacing w:line="360" w:lineRule="auto"/>
        <w:jc w:val="center"/>
        <w:rPr>
          <w:rFonts w:hint="eastAsia"/>
        </w:rPr>
      </w:pPr>
      <w:r>
        <w:rPr>
          <w:rFonts w:ascii="宋体" w:hAnsi="宋体" w:hint="eastAsia"/>
          <w:b/>
          <w:bCs/>
          <w:color w:val="000000" w:themeColor="text1"/>
          <w:sz w:val="48"/>
          <w:szCs w:val="30"/>
        </w:rPr>
        <w:t>摩根研究驱动股票型证券投资基金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843A2A" w:rsidRDefault="00843A2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843A2A" w:rsidRDefault="00843A2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43A2A" w:rsidRDefault="00843A2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843A2A" w:rsidRDefault="00843A2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843A2A" w:rsidRDefault="00843A2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843A2A" w:rsidRDefault="00843A2A">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843A2A" w:rsidRDefault="00843A2A">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843A2A" w:rsidRDefault="00843A2A">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13459422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843A2A" w:rsidRDefault="00843A2A">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szCs w:val="24"/>
                <w:lang w:eastAsia="zh-Hans"/>
              </w:rPr>
              <w:t>摩根研究驱动股</w:t>
            </w:r>
            <w:r>
              <w:rPr>
                <w:rFonts w:ascii="宋体" w:hAnsi="宋体" w:hint="eastAsia"/>
                <w:szCs w:val="24"/>
                <w:lang w:eastAsia="zh-Hans"/>
              </w:rPr>
              <w:t>票</w:t>
            </w:r>
            <w:r>
              <w:rPr>
                <w:rFonts w:ascii="宋体" w:hAnsi="宋体" w:hint="eastAsia"/>
                <w:lang w:eastAsia="zh-Hans"/>
              </w:rPr>
              <w:t xml:space="preserve"> </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00738</w:t>
            </w:r>
            <w:r>
              <w:rPr>
                <w:rFonts w:ascii="宋体" w:hAnsi="宋体" w:hint="eastAsia"/>
                <w:lang w:eastAsia="zh-Hans"/>
              </w:rPr>
              <w:t>8</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契约型开放</w:t>
            </w:r>
            <w:r>
              <w:rPr>
                <w:rFonts w:ascii="宋体" w:hAnsi="宋体" w:hint="eastAsia"/>
                <w:lang w:eastAsia="zh-Hans"/>
              </w:rPr>
              <w:t>式</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2020</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23,141,634.3</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充分利用公司内部研究成果，通过深入的行业策略研究和公司基本面研究，在严格控制风险的前提下追求超越业绩比较基准的回报</w:t>
            </w:r>
            <w:r>
              <w:rPr>
                <w:rFonts w:ascii="宋体" w:hAnsi="宋体" w:hint="eastAsia"/>
                <w:lang w:eastAsia="zh-Hans"/>
              </w:rPr>
              <w:t>。</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控制风险的前提下，本基金将优先配置股票资产，本基金股票资产占基金资产的比例为</w:t>
            </w:r>
            <w:r>
              <w:rPr>
                <w:rFonts w:ascii="宋体" w:hAnsi="宋体" w:hint="eastAsia"/>
                <w:lang w:eastAsia="zh-Hans"/>
              </w:rPr>
              <w:t>80%-95%</w:t>
            </w:r>
            <w:r>
              <w:rPr>
                <w:rFonts w:ascii="宋体" w:hAnsi="宋体" w:hint="eastAsia"/>
                <w:lang w:eastAsia="zh-Hans"/>
              </w:rPr>
              <w:t>，其中投资于内部研究池中的股票的资产不低于股票资产的</w:t>
            </w:r>
            <w:r>
              <w:rPr>
                <w:rFonts w:ascii="宋体" w:hAnsi="宋体" w:hint="eastAsia"/>
                <w:lang w:eastAsia="zh-Hans"/>
              </w:rPr>
              <w:t>80%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基金管理人根据投研团队的宏观策略与行业观点，自上而下地确定本基金的行业配置比例，并定期进行调整。依托本公司研究平台，基于公司的股票研究池，通过系统、全面、细致的上市公</w:t>
            </w:r>
            <w:r>
              <w:rPr>
                <w:rFonts w:ascii="宋体" w:hAnsi="宋体" w:hint="eastAsia"/>
                <w:lang w:eastAsia="zh-Hans"/>
              </w:rPr>
              <w:t>司基本面研究，形成对研究池中个股的策略分类和战术评级。在具体操作上，综合运用定量分析与定性分析的手段，获取个股的超额收益。</w:t>
            </w:r>
            <w:r>
              <w:rPr>
                <w:rFonts w:ascii="宋体" w:hAnsi="宋体" w:hint="eastAsia"/>
                <w:lang w:eastAsia="zh-Hans"/>
              </w:rPr>
              <w:br/>
              <w:t>3</w:t>
            </w:r>
            <w:r>
              <w:rPr>
                <w:rFonts w:ascii="宋体" w:hAnsi="宋体" w:hint="eastAsia"/>
                <w:lang w:eastAsia="zh-Hans"/>
              </w:rPr>
              <w:t>、其他投资策略：包括债券投资策略、股指期货投资策略、资产支持证券投资策略、股票期权投资策略、存托凭证投资策略</w:t>
            </w:r>
            <w:r>
              <w:rPr>
                <w:rFonts w:ascii="宋体" w:hAnsi="宋体" w:hint="eastAsia"/>
                <w:lang w:eastAsia="zh-Hans"/>
              </w:rPr>
              <w:t>。</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中证</w:t>
            </w:r>
            <w:r>
              <w:rPr>
                <w:rFonts w:ascii="宋体" w:hAnsi="宋体" w:hint="eastAsia"/>
                <w:lang w:eastAsia="zh-Hans"/>
              </w:rPr>
              <w:t>500</w:t>
            </w:r>
            <w:r>
              <w:rPr>
                <w:rFonts w:ascii="宋体" w:hAnsi="宋体" w:hint="eastAsia"/>
                <w:lang w:eastAsia="zh-Hans"/>
              </w:rPr>
              <w:t>指数收益率</w:t>
            </w:r>
            <w:r>
              <w:rPr>
                <w:rFonts w:ascii="宋体" w:hAnsi="宋体" w:hint="eastAsia"/>
                <w:lang w:eastAsia="zh-Hans"/>
              </w:rPr>
              <w:t>*90%+</w:t>
            </w:r>
            <w:r>
              <w:rPr>
                <w:rFonts w:ascii="宋体" w:hAnsi="宋体" w:hint="eastAsia"/>
                <w:lang w:eastAsia="zh-Hans"/>
              </w:rPr>
              <w:t>银行活期存款利率</w:t>
            </w:r>
            <w:r>
              <w:rPr>
                <w:rFonts w:ascii="宋体" w:hAnsi="宋体" w:hint="eastAsia"/>
                <w:lang w:eastAsia="zh-Hans"/>
              </w:rPr>
              <w:t>(</w:t>
            </w:r>
            <w:r>
              <w:rPr>
                <w:rFonts w:ascii="宋体" w:hAnsi="宋体" w:hint="eastAsia"/>
                <w:lang w:eastAsia="zh-Hans"/>
              </w:rPr>
              <w:t>税后</w:t>
            </w:r>
            <w:r>
              <w:rPr>
                <w:rFonts w:ascii="宋体" w:hAnsi="宋体" w:hint="eastAsia"/>
                <w:lang w:eastAsia="zh-Hans"/>
              </w:rPr>
              <w:t>)*10</w:t>
            </w:r>
            <w:r>
              <w:rPr>
                <w:rFonts w:ascii="宋体" w:hAnsi="宋体" w:hint="eastAsia"/>
                <w:lang w:eastAsia="zh-Hans"/>
              </w:rPr>
              <w:t>%</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13459422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21345942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lang w:eastAsia="zh-Hans"/>
              </w:rPr>
              <w:t>摩根研究驱动股票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lang w:eastAsia="zh-Hans"/>
              </w:rPr>
              <w:t>摩根研究驱动股票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21345942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lang w:eastAsia="zh-Hans"/>
              </w:rPr>
              <w:t>00738</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lang w:eastAsia="zh-Hans"/>
              </w:rPr>
              <w:t>00738</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213459422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43A2A" w:rsidRDefault="00843A2A">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lang w:eastAsia="zh-Hans"/>
              </w:rPr>
              <w:t>19,905,838.9</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lang w:eastAsia="zh-Hans"/>
              </w:rPr>
              <w:t>3,235,795.4</w:t>
            </w:r>
            <w:r>
              <w:rPr>
                <w:rFonts w:ascii="宋体" w:hAnsi="宋体" w:hint="eastAsia"/>
                <w:lang w:eastAsia="zh-Hans"/>
              </w:rPr>
              <w:t>7</w:t>
            </w:r>
            <w:r>
              <w:rPr>
                <w:rFonts w:hint="eastAsia"/>
              </w:rPr>
              <w:t>份</w:t>
            </w:r>
            <w:r>
              <w:rPr>
                <w:rFonts w:ascii="宋体" w:hAnsi="宋体" w:hint="eastAsia"/>
                <w:lang w:eastAsia="zh-Hans"/>
              </w:rPr>
              <w:t xml:space="preserve"> </w:t>
            </w:r>
          </w:p>
        </w:tc>
      </w:tr>
    </w:tbl>
    <w:p w:rsidR="00843A2A" w:rsidRDefault="00843A2A">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843A2A" w:rsidRDefault="00843A2A">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843A2A" w:rsidRDefault="00843A2A">
      <w:pPr>
        <w:jc w:val="right"/>
        <w:divId w:val="98285006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98285006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43A2A" w:rsidRDefault="00843A2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43A2A" w:rsidRDefault="00843A2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98285006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3A2A" w:rsidRDefault="00843A2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43A2A" w:rsidRDefault="00843A2A">
            <w:pPr>
              <w:jc w:val="center"/>
              <w:rPr>
                <w:rFonts w:hint="eastAsia"/>
              </w:rPr>
            </w:pPr>
            <w:r>
              <w:rPr>
                <w:rFonts w:ascii="宋体" w:hAnsi="宋体" w:hint="eastAsia"/>
                <w:szCs w:val="24"/>
                <w:lang w:eastAsia="zh-Hans"/>
              </w:rPr>
              <w:t>摩根研究驱动股票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43A2A" w:rsidRDefault="00843A2A">
            <w:pPr>
              <w:jc w:val="center"/>
            </w:pPr>
            <w:r>
              <w:rPr>
                <w:rFonts w:ascii="宋体" w:hAnsi="宋体" w:hint="eastAsia"/>
                <w:szCs w:val="24"/>
                <w:lang w:eastAsia="zh-Hans"/>
              </w:rPr>
              <w:t>摩根研究驱动股票</w:t>
            </w:r>
            <w:r>
              <w:rPr>
                <w:rFonts w:ascii="宋体" w:hAnsi="宋体" w:hint="eastAsia"/>
                <w:szCs w:val="24"/>
                <w:lang w:eastAsia="zh-Hans"/>
              </w:rPr>
              <w:t>C</w:t>
            </w:r>
          </w:p>
        </w:tc>
      </w:tr>
      <w:tr w:rsidR="00000000">
        <w:trPr>
          <w:divId w:val="98285006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rPr>
                <w:rFonts w:hint="eastAsia"/>
              </w:rPr>
            </w:pPr>
            <w:r>
              <w:rPr>
                <w:rFonts w:ascii="宋体" w:hAnsi="宋体" w:hint="eastAsia"/>
                <w:szCs w:val="24"/>
                <w:lang w:eastAsia="zh-Hans"/>
              </w:rPr>
              <w:t>2,378,909.7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pPr>
            <w:r>
              <w:rPr>
                <w:rFonts w:ascii="宋体" w:hAnsi="宋体" w:hint="eastAsia"/>
                <w:szCs w:val="24"/>
                <w:lang w:eastAsia="zh-Hans"/>
              </w:rPr>
              <w:t>395,213.1</w:t>
            </w:r>
            <w:r>
              <w:rPr>
                <w:rFonts w:ascii="宋体" w:hAnsi="宋体" w:hint="eastAsia"/>
                <w:szCs w:val="24"/>
                <w:lang w:eastAsia="zh-Hans"/>
              </w:rPr>
              <w:t>6</w:t>
            </w:r>
          </w:p>
        </w:tc>
      </w:tr>
      <w:tr w:rsidR="00000000">
        <w:trPr>
          <w:divId w:val="98285006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rPr>
                <w:rFonts w:hint="eastAsia"/>
              </w:rPr>
            </w:pPr>
            <w:r>
              <w:rPr>
                <w:rFonts w:ascii="宋体" w:hAnsi="宋体" w:hint="eastAsia"/>
                <w:szCs w:val="24"/>
                <w:lang w:eastAsia="zh-Hans"/>
              </w:rPr>
              <w:t>5,764,968.8</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pPr>
            <w:r>
              <w:rPr>
                <w:rFonts w:ascii="宋体" w:hAnsi="宋体" w:hint="eastAsia"/>
                <w:szCs w:val="24"/>
                <w:lang w:eastAsia="zh-Hans"/>
              </w:rPr>
              <w:t>960,014.5</w:t>
            </w:r>
            <w:r>
              <w:rPr>
                <w:rFonts w:ascii="宋体" w:hAnsi="宋体" w:hint="eastAsia"/>
                <w:szCs w:val="24"/>
                <w:lang w:eastAsia="zh-Hans"/>
              </w:rPr>
              <w:t>5</w:t>
            </w:r>
          </w:p>
        </w:tc>
      </w:tr>
      <w:tr w:rsidR="00000000">
        <w:trPr>
          <w:divId w:val="98285006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rPr>
                <w:rFonts w:hint="eastAsia"/>
              </w:rPr>
            </w:pPr>
            <w:r>
              <w:rPr>
                <w:rFonts w:ascii="宋体" w:hAnsi="宋体" w:hint="eastAsia"/>
                <w:szCs w:val="24"/>
                <w:lang w:eastAsia="zh-Hans"/>
              </w:rPr>
              <w:t>0.253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pPr>
            <w:r>
              <w:rPr>
                <w:rFonts w:ascii="宋体" w:hAnsi="宋体" w:hint="eastAsia"/>
                <w:szCs w:val="24"/>
                <w:lang w:eastAsia="zh-Hans"/>
              </w:rPr>
              <w:t>0.242</w:t>
            </w:r>
            <w:r>
              <w:rPr>
                <w:rFonts w:ascii="宋体" w:hAnsi="宋体" w:hint="eastAsia"/>
                <w:szCs w:val="24"/>
                <w:lang w:eastAsia="zh-Hans"/>
              </w:rPr>
              <w:t>9</w:t>
            </w:r>
          </w:p>
        </w:tc>
      </w:tr>
      <w:tr w:rsidR="00000000">
        <w:trPr>
          <w:divId w:val="98285006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rPr>
                <w:rFonts w:hint="eastAsia"/>
              </w:rPr>
            </w:pPr>
            <w:r>
              <w:rPr>
                <w:rFonts w:ascii="宋体" w:hAnsi="宋体" w:hint="eastAsia"/>
                <w:szCs w:val="24"/>
                <w:lang w:eastAsia="zh-Hans"/>
              </w:rPr>
              <w:t>27,889,250.4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pPr>
            <w:r>
              <w:rPr>
                <w:rFonts w:ascii="宋体" w:hAnsi="宋体" w:hint="eastAsia"/>
                <w:szCs w:val="24"/>
                <w:lang w:eastAsia="zh-Hans"/>
              </w:rPr>
              <w:t>4,318,980.3</w:t>
            </w:r>
            <w:r>
              <w:rPr>
                <w:rFonts w:ascii="宋体" w:hAnsi="宋体" w:hint="eastAsia"/>
                <w:szCs w:val="24"/>
                <w:lang w:eastAsia="zh-Hans"/>
              </w:rPr>
              <w:t>1</w:t>
            </w:r>
          </w:p>
        </w:tc>
      </w:tr>
      <w:tr w:rsidR="00000000">
        <w:trPr>
          <w:divId w:val="98285006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rPr>
                <w:rFonts w:hint="eastAsia"/>
              </w:rPr>
            </w:pPr>
            <w:r>
              <w:rPr>
                <w:rFonts w:ascii="宋体" w:hAnsi="宋体" w:hint="eastAsia"/>
                <w:szCs w:val="24"/>
                <w:lang w:eastAsia="zh-Hans"/>
              </w:rPr>
              <w:t>1.401</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43A2A" w:rsidRDefault="00843A2A">
            <w:pPr>
              <w:jc w:val="right"/>
            </w:pPr>
            <w:r>
              <w:rPr>
                <w:rFonts w:ascii="宋体" w:hAnsi="宋体" w:hint="eastAsia"/>
                <w:szCs w:val="24"/>
                <w:lang w:eastAsia="zh-Hans"/>
              </w:rPr>
              <w:t>1.334</w:t>
            </w:r>
            <w:r>
              <w:rPr>
                <w:rFonts w:ascii="宋体" w:hAnsi="宋体" w:hint="eastAsia"/>
                <w:szCs w:val="24"/>
                <w:lang w:eastAsia="zh-Hans"/>
              </w:rPr>
              <w:t>8</w:t>
            </w:r>
          </w:p>
        </w:tc>
      </w:tr>
    </w:tbl>
    <w:p w:rsidR="00843A2A" w:rsidRDefault="00843A2A">
      <w:pPr>
        <w:wordWrap w:val="0"/>
        <w:spacing w:line="360" w:lineRule="auto"/>
        <w:jc w:val="left"/>
        <w:divId w:val="1562402726"/>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843A2A" w:rsidRDefault="00843A2A">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843A2A" w:rsidRDefault="00843A2A">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843A2A" w:rsidRDefault="00843A2A">
      <w:pPr>
        <w:spacing w:line="360" w:lineRule="auto"/>
        <w:jc w:val="center"/>
        <w:divId w:val="1654724161"/>
        <w:rPr>
          <w:rFonts w:hint="eastAsia"/>
        </w:rPr>
      </w:pPr>
      <w:r>
        <w:rPr>
          <w:rFonts w:ascii="宋体" w:hAnsi="宋体" w:hint="eastAsia"/>
        </w:rPr>
        <w:t>摩根研究驱动股票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5472416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②－④</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20.5</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16.7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3.8</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20.2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18.8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45.1</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47.4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-2.2</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36.9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45.6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-8.6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29.5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-28.5</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165472416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40.1</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55.6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-15.5</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r>
    </w:tbl>
    <w:p w:rsidR="00843A2A" w:rsidRDefault="00843A2A">
      <w:pPr>
        <w:spacing w:line="360" w:lineRule="auto"/>
        <w:jc w:val="center"/>
        <w:divId w:val="1835804771"/>
      </w:pPr>
      <w:r>
        <w:rPr>
          <w:rFonts w:ascii="宋体" w:hAnsi="宋体" w:hint="eastAsia"/>
        </w:rPr>
        <w:t>摩根研究驱动股票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3580477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20.3</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16.7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3.5</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19.7</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18.8</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44.0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47.4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-3.4</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33.7</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45.6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-11.8</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29.5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-32.5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3580477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33.4</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55.6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43A2A" w:rsidRDefault="00843A2A">
            <w:pPr>
              <w:spacing w:line="360" w:lineRule="auto"/>
              <w:jc w:val="right"/>
            </w:pPr>
            <w:r>
              <w:rPr>
                <w:rFonts w:ascii="宋体" w:hAnsi="宋体" w:hint="eastAsia"/>
              </w:rPr>
              <w:t>-22.1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r>
    </w:tbl>
    <w:p w:rsidR="00843A2A" w:rsidRDefault="00843A2A">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843A2A" w:rsidRDefault="00843A2A">
      <w:pPr>
        <w:spacing w:line="360" w:lineRule="auto"/>
        <w:jc w:val="left"/>
        <w:divId w:val="5258416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43A2A" w:rsidRDefault="00843A2A">
      <w:pPr>
        <w:spacing w:line="360" w:lineRule="auto"/>
        <w:jc w:val="left"/>
        <w:divId w:val="122703639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43A2A" w:rsidRDefault="00843A2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2020</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843A2A" w:rsidRDefault="00843A2A">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843A2A" w:rsidRDefault="00843A2A">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32914337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32914337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3A2A" w:rsidRDefault="00843A2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3A2A" w:rsidRDefault="00843A2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3A2A" w:rsidRDefault="00843A2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43A2A" w:rsidRDefault="00843A2A">
            <w:pPr>
              <w:widowControl/>
              <w:jc w:val="left"/>
            </w:pPr>
          </w:p>
        </w:tc>
      </w:tr>
      <w:tr w:rsidR="00000000">
        <w:trPr>
          <w:divId w:val="3291433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朱晓</w:t>
            </w:r>
            <w:r>
              <w:rPr>
                <w:rFonts w:ascii="宋体" w:hAnsi="宋体" w:hint="eastAsia"/>
                <w:szCs w:val="24"/>
                <w:lang w:eastAsia="zh-Hans"/>
              </w:rPr>
              <w:t>龙</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szCs w:val="24"/>
                <w:lang w:eastAsia="zh-Hans"/>
              </w:rPr>
              <w:t>本基金基金经理、研究部总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12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szCs w:val="24"/>
                <w:lang w:eastAsia="zh-Hans"/>
              </w:rPr>
              <w:t>朱晓龙先生曾任平安资产管理有限责任公司研究员。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月起加入摩根基金管理（中国）有限公司（原上投摩根基金管理有限公司），历任行业专家、研究部副总监兼研究基助、研究部总监兼基金经理助理，现任研究部总监兼基金经理</w:t>
            </w:r>
            <w:r>
              <w:rPr>
                <w:rFonts w:ascii="宋体" w:hAnsi="宋体" w:hint="eastAsia"/>
                <w:szCs w:val="24"/>
                <w:lang w:eastAsia="zh-Hans"/>
              </w:rPr>
              <w:t>。</w:t>
            </w:r>
          </w:p>
        </w:tc>
      </w:tr>
    </w:tbl>
    <w:p w:rsidR="00843A2A" w:rsidRDefault="00843A2A">
      <w:pPr>
        <w:wordWrap w:val="0"/>
        <w:spacing w:line="360" w:lineRule="auto"/>
        <w:jc w:val="left"/>
        <w:divId w:val="143570730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843A2A" w:rsidRDefault="00843A2A">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843A2A" w:rsidRDefault="00843A2A">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843A2A" w:rsidRDefault="00843A2A">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843A2A" w:rsidRDefault="00843A2A">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843A2A" w:rsidRDefault="00843A2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843A2A" w:rsidRDefault="00843A2A">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843A2A" w:rsidRDefault="00843A2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843A2A" w:rsidRDefault="00843A2A">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w:t>
      </w:r>
      <w:r>
        <w:rPr>
          <w:rFonts w:ascii="宋体" w:hAnsi="宋体" w:cs="宋体" w:hint="eastAsia"/>
          <w:color w:val="000000"/>
          <w:kern w:val="0"/>
        </w:rPr>
        <w:t>A</w:t>
      </w:r>
      <w:r>
        <w:rPr>
          <w:rFonts w:ascii="宋体" w:hAnsi="宋体" w:cs="宋体" w:hint="eastAsia"/>
          <w:color w:val="000000"/>
          <w:kern w:val="0"/>
        </w:rPr>
        <w:t>股整体上行，以中证</w:t>
      </w:r>
      <w:r>
        <w:rPr>
          <w:rFonts w:ascii="宋体" w:hAnsi="宋体" w:cs="宋体" w:hint="eastAsia"/>
          <w:color w:val="000000"/>
          <w:kern w:val="0"/>
        </w:rPr>
        <w:t>500</w:t>
      </w:r>
      <w:r>
        <w:rPr>
          <w:rFonts w:ascii="宋体" w:hAnsi="宋体" w:cs="宋体" w:hint="eastAsia"/>
          <w:color w:val="000000"/>
          <w:kern w:val="0"/>
        </w:rPr>
        <w:t>指数为例，季度上涨</w:t>
      </w:r>
      <w:r>
        <w:rPr>
          <w:rFonts w:ascii="宋体" w:hAnsi="宋体" w:cs="宋体" w:hint="eastAsia"/>
          <w:color w:val="000000"/>
          <w:kern w:val="0"/>
        </w:rPr>
        <w:t>18.56%</w:t>
      </w:r>
      <w:r>
        <w:rPr>
          <w:rFonts w:ascii="宋体" w:hAnsi="宋体" w:cs="宋体" w:hint="eastAsia"/>
          <w:color w:val="000000"/>
          <w:kern w:val="0"/>
        </w:rPr>
        <w:t>。二季度市场表现呈现两极分化特征，电子、通信、建筑材料、机械等板块表现相对靠前；石油石化、钢铁、美容护理、食品饮料、农业等板块表现相对靠后。基金在本季度整体延续较高仓位运作，操作上组合结构整体变化不大，行业配置紧跟基准，在行业内优选个股以期获得阿尔法。</w:t>
      </w:r>
      <w:r>
        <w:rPr>
          <w:rFonts w:ascii="宋体" w:hAnsi="宋体" w:cs="宋体" w:hint="eastAsia"/>
          <w:color w:val="000000"/>
          <w:kern w:val="0"/>
        </w:rPr>
        <w:br/>
      </w:r>
      <w:r>
        <w:rPr>
          <w:rFonts w:ascii="宋体" w:hAnsi="宋体" w:cs="宋体" w:hint="eastAsia"/>
          <w:color w:val="000000"/>
          <w:kern w:val="0"/>
        </w:rPr>
        <w:t xml:space="preserve">　　整体来看，国内主要经济指标维持平稳运行，总量层面超预期空间有限，新经济延续快速发展、美伊冲突背景下外需韧性仍足、投资企稳是潜在的支撑项或新的增长点，然而内需仍待提振。放眼全球，</w:t>
      </w:r>
      <w:r>
        <w:rPr>
          <w:rFonts w:ascii="宋体" w:hAnsi="宋体" w:cs="宋体" w:hint="eastAsia"/>
          <w:color w:val="000000"/>
          <w:kern w:val="0"/>
        </w:rPr>
        <w:t>AI</w:t>
      </w:r>
      <w:r>
        <w:rPr>
          <w:rFonts w:ascii="宋体" w:hAnsi="宋体" w:cs="宋体" w:hint="eastAsia"/>
          <w:color w:val="000000"/>
          <w:kern w:val="0"/>
        </w:rPr>
        <w:t>产业趋势依然延续，大模型发展日新月异，有望重塑全球产业格局。美伊冲突阶段性显著推高油价，给全球经济的健康发展形成了一定的扰动，美联储降息的节奏需要重新评估，未来我们将密切关注全球人工智能发展的变化及中东局势进展。</w:t>
      </w:r>
      <w:r>
        <w:rPr>
          <w:rFonts w:ascii="宋体" w:hAnsi="宋体" w:cs="宋体" w:hint="eastAsia"/>
          <w:color w:val="000000"/>
          <w:kern w:val="0"/>
        </w:rPr>
        <w:br/>
      </w:r>
      <w:r>
        <w:rPr>
          <w:rFonts w:ascii="宋体" w:hAnsi="宋体" w:cs="宋体" w:hint="eastAsia"/>
          <w:color w:val="000000"/>
          <w:kern w:val="0"/>
        </w:rPr>
        <w:t xml:space="preserve">　　自下而上研究，我们认为电子、电力设备、机械设备、医药生物、通信等行业具有较高的配置价值。科技对传统行业的赋能是我们非常关注的投资方向，其中我们已经发现在部分行业有实际应用场景产生，有望对这些行业发展形成明显的推动。另外，我们观察到对于部分产能过剩行业，国家相关部委协会已经在充分关注，这些领域目前的股价估值水平均仍不高，一旦有行业高质量发展政策出台，有望迎来估值回归机会。</w:t>
      </w:r>
      <w:r>
        <w:rPr>
          <w:rFonts w:ascii="宋体" w:hAnsi="宋体" w:cs="宋体" w:hint="eastAsia"/>
          <w:color w:val="000000"/>
          <w:kern w:val="0"/>
        </w:rPr>
        <w:br/>
      </w:r>
      <w:r>
        <w:rPr>
          <w:rFonts w:ascii="宋体" w:hAnsi="宋体" w:cs="宋体" w:hint="eastAsia"/>
          <w:color w:val="000000"/>
          <w:kern w:val="0"/>
        </w:rPr>
        <w:t xml:space="preserve">　　整体而言，本基金仍将采取均衡配置的投资思路，力求在行业相对分散的投资策略会实现对基准的超赢</w:t>
      </w:r>
      <w:r>
        <w:rPr>
          <w:rFonts w:ascii="宋体" w:hAnsi="宋体" w:cs="宋体" w:hint="eastAsia"/>
          <w:color w:val="000000"/>
          <w:kern w:val="0"/>
        </w:rPr>
        <w:t>。</w:t>
      </w:r>
    </w:p>
    <w:p w:rsidR="00843A2A" w:rsidRDefault="00843A2A">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843A2A" w:rsidRDefault="00843A2A">
      <w:pPr>
        <w:spacing w:line="360" w:lineRule="auto"/>
        <w:ind w:firstLineChars="200" w:firstLine="420"/>
        <w:rPr>
          <w:rFonts w:hint="eastAsia"/>
        </w:rPr>
      </w:pPr>
      <w:r>
        <w:rPr>
          <w:rFonts w:ascii="宋体" w:hAnsi="宋体" w:hint="eastAsia"/>
        </w:rPr>
        <w:t>本报告期摩根研究驱动股票</w:t>
      </w:r>
      <w:r>
        <w:rPr>
          <w:rFonts w:ascii="宋体" w:hAnsi="宋体" w:hint="eastAsia"/>
        </w:rPr>
        <w:t>A</w:t>
      </w:r>
      <w:r>
        <w:rPr>
          <w:rFonts w:ascii="宋体" w:hAnsi="宋体" w:hint="eastAsia"/>
        </w:rPr>
        <w:t>份额净值增长率为：</w:t>
      </w:r>
      <w:r>
        <w:rPr>
          <w:rFonts w:ascii="宋体" w:hAnsi="宋体" w:hint="eastAsia"/>
        </w:rPr>
        <w:t>20.55%</w:t>
      </w:r>
      <w:r>
        <w:rPr>
          <w:rFonts w:ascii="宋体" w:hAnsi="宋体" w:hint="eastAsia"/>
        </w:rPr>
        <w:t>，同期业绩比较基准收益率为：</w:t>
      </w:r>
      <w:r>
        <w:rPr>
          <w:rFonts w:ascii="宋体" w:hAnsi="宋体" w:hint="eastAsia"/>
        </w:rPr>
        <w:t>16.72%</w:t>
      </w:r>
      <w:r>
        <w:rPr>
          <w:rFonts w:ascii="宋体" w:hAnsi="宋体" w:hint="eastAsia"/>
        </w:rPr>
        <w:t>；</w:t>
      </w:r>
      <w:r>
        <w:rPr>
          <w:rFonts w:ascii="宋体" w:hAnsi="宋体" w:hint="eastAsia"/>
        </w:rPr>
        <w:br/>
      </w:r>
      <w:r>
        <w:rPr>
          <w:rFonts w:ascii="宋体" w:hAnsi="宋体" w:hint="eastAsia"/>
        </w:rPr>
        <w:t xml:space="preserve">　　摩根研究驱动股票</w:t>
      </w:r>
      <w:r>
        <w:rPr>
          <w:rFonts w:ascii="宋体" w:hAnsi="宋体" w:hint="eastAsia"/>
        </w:rPr>
        <w:t>C</w:t>
      </w:r>
      <w:r>
        <w:rPr>
          <w:rFonts w:ascii="宋体" w:hAnsi="宋体" w:hint="eastAsia"/>
        </w:rPr>
        <w:t>份额净值增长率为：</w:t>
      </w:r>
      <w:r>
        <w:rPr>
          <w:rFonts w:ascii="宋体" w:hAnsi="宋体" w:hint="eastAsia"/>
        </w:rPr>
        <w:t>20.30%</w:t>
      </w:r>
      <w:r>
        <w:rPr>
          <w:rFonts w:ascii="宋体" w:hAnsi="宋体" w:hint="eastAsia"/>
        </w:rPr>
        <w:t>，同期业绩比较基准收益率为：</w:t>
      </w:r>
      <w:r>
        <w:rPr>
          <w:rFonts w:ascii="宋体" w:hAnsi="宋体" w:hint="eastAsia"/>
        </w:rPr>
        <w:t>16.72%</w:t>
      </w:r>
      <w:r>
        <w:rPr>
          <w:rFonts w:ascii="宋体" w:hAnsi="宋体" w:hint="eastAsia"/>
        </w:rPr>
        <w:t>。</w:t>
      </w:r>
    </w:p>
    <w:p w:rsidR="00843A2A" w:rsidRDefault="00843A2A">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843A2A" w:rsidRDefault="00843A2A">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843A2A" w:rsidRDefault="00843A2A">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28,985,676.2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87.6</w:t>
            </w:r>
            <w:r>
              <w:rPr>
                <w:rFonts w:ascii="宋体" w:hAnsi="宋体" w:hint="eastAsia"/>
                <w:szCs w:val="24"/>
                <w:lang w:eastAsia="zh-Hans"/>
              </w:rPr>
              <w:t>7</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28,985,676.2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87.6</w:t>
            </w:r>
            <w:r>
              <w:rPr>
                <w:rFonts w:ascii="宋体" w:hAnsi="宋体" w:hint="eastAsia"/>
                <w:szCs w:val="24"/>
                <w:lang w:eastAsia="zh-Hans"/>
              </w:rPr>
              <w:t>7</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25,001.1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25,001.1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4,047,529.2</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12.2</w:t>
            </w:r>
            <w:r>
              <w:rPr>
                <w:rFonts w:ascii="宋体" w:hAnsi="宋体" w:hint="eastAsia"/>
                <w:szCs w:val="24"/>
                <w:lang w:eastAsia="zh-Hans"/>
              </w:rPr>
              <w:t>4</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5,524.0</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0564674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843A2A" w:rsidRDefault="00843A2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33,063,730.6</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100.0</w:t>
            </w:r>
            <w:r>
              <w:rPr>
                <w:rFonts w:ascii="宋体" w:hAnsi="宋体" w:hint="eastAsia"/>
                <w:szCs w:val="24"/>
                <w:lang w:eastAsia="zh-Hans"/>
              </w:rPr>
              <w:t>0</w:t>
            </w:r>
          </w:p>
        </w:tc>
      </w:tr>
    </w:tbl>
    <w:p w:rsidR="00843A2A" w:rsidRDefault="00843A2A">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843A2A" w:rsidRDefault="00843A2A">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67118145"/>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43A2A" w:rsidRDefault="00843A2A">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843A2A" w:rsidRDefault="00843A2A">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77,515.0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1,730,258.0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5.3</w:t>
            </w:r>
            <w:r>
              <w:rPr>
                <w:rFonts w:ascii="宋体" w:hAnsi="宋体" w:hint="eastAsia"/>
                <w:szCs w:val="24"/>
                <w:lang w:eastAsia="zh-Hans"/>
              </w:rPr>
              <w:t>7</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22,383,850.2</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69.5</w:t>
            </w:r>
            <w:r>
              <w:rPr>
                <w:rFonts w:ascii="宋体" w:hAnsi="宋体" w:hint="eastAsia"/>
                <w:szCs w:val="24"/>
                <w:lang w:eastAsia="zh-Hans"/>
              </w:rPr>
              <w:t>0</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375,499.0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1.1</w:t>
            </w:r>
            <w:r>
              <w:rPr>
                <w:rFonts w:ascii="宋体" w:hAnsi="宋体" w:hint="eastAsia"/>
                <w:szCs w:val="24"/>
                <w:lang w:eastAsia="zh-Hans"/>
              </w:rPr>
              <w:t>7</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77,761.0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93,766.0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0.2</w:t>
            </w:r>
            <w:r>
              <w:rPr>
                <w:rFonts w:ascii="宋体" w:hAnsi="宋体" w:hint="eastAsia"/>
                <w:szCs w:val="24"/>
                <w:lang w:eastAsia="zh-Hans"/>
              </w:rPr>
              <w:t>9</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283,060.0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0.8</w:t>
            </w:r>
            <w:r>
              <w:rPr>
                <w:rFonts w:ascii="宋体" w:hAnsi="宋体" w:hint="eastAsia"/>
                <w:szCs w:val="24"/>
                <w:lang w:eastAsia="zh-Hans"/>
              </w:rPr>
              <w:t>8</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25,011.0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2,156,909.0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6.7</w:t>
            </w:r>
            <w:r>
              <w:rPr>
                <w:rFonts w:ascii="宋体" w:hAnsi="宋体" w:hint="eastAsia"/>
                <w:szCs w:val="24"/>
                <w:lang w:eastAsia="zh-Hans"/>
              </w:rPr>
              <w:t>0</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988,888.6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3.0</w:t>
            </w:r>
            <w:r>
              <w:rPr>
                <w:rFonts w:ascii="宋体" w:hAnsi="宋体" w:hint="eastAsia"/>
                <w:szCs w:val="24"/>
                <w:lang w:eastAsia="zh-Hans"/>
              </w:rPr>
              <w:t>7</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139,006.0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0.4</w:t>
            </w:r>
            <w:r>
              <w:rPr>
                <w:rFonts w:ascii="宋体" w:hAnsi="宋体" w:hint="eastAsia"/>
                <w:szCs w:val="24"/>
                <w:lang w:eastAsia="zh-Hans"/>
              </w:rPr>
              <w:t>3</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480,880.0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1.4</w:t>
            </w:r>
            <w:r>
              <w:rPr>
                <w:rFonts w:ascii="宋体" w:hAnsi="宋体" w:hint="eastAsia"/>
                <w:szCs w:val="24"/>
                <w:lang w:eastAsia="zh-Hans"/>
              </w:rPr>
              <w:t>9</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145,362.4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18,446.0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9,464.0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w:t>
            </w:r>
          </w:p>
        </w:tc>
      </w:tr>
      <w:tr w:rsidR="00000000">
        <w:trPr>
          <w:divId w:val="6711814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43A2A" w:rsidRDefault="00843A2A">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43A2A" w:rsidRDefault="00843A2A">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43A2A" w:rsidRDefault="00843A2A">
            <w:pPr>
              <w:jc w:val="right"/>
            </w:pPr>
            <w:r>
              <w:rPr>
                <w:rFonts w:ascii="宋体" w:hAnsi="宋体" w:hint="eastAsia"/>
                <w:szCs w:val="24"/>
                <w:lang w:eastAsia="zh-Hans"/>
              </w:rPr>
              <w:t>28,985,676.2</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43A2A" w:rsidRDefault="00843A2A">
            <w:pPr>
              <w:jc w:val="right"/>
            </w:pPr>
            <w:r>
              <w:rPr>
                <w:rFonts w:ascii="宋体" w:hAnsi="宋体" w:hint="eastAsia"/>
                <w:szCs w:val="24"/>
                <w:lang w:eastAsia="zh-Hans"/>
              </w:rPr>
              <w:t>89.9</w:t>
            </w:r>
            <w:r>
              <w:rPr>
                <w:rFonts w:ascii="宋体" w:hAnsi="宋体" w:hint="eastAsia"/>
                <w:szCs w:val="24"/>
                <w:lang w:eastAsia="zh-Hans"/>
              </w:rPr>
              <w:t>9</w:t>
            </w:r>
          </w:p>
        </w:tc>
      </w:tr>
    </w:tbl>
    <w:p w:rsidR="00843A2A" w:rsidRDefault="00843A2A">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843A2A" w:rsidRDefault="00843A2A">
      <w:pPr>
        <w:spacing w:line="360" w:lineRule="auto"/>
        <w:ind w:firstLineChars="200" w:firstLine="420"/>
        <w:divId w:val="6403351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843A2A" w:rsidRDefault="00843A2A">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843A2A" w:rsidRDefault="00843A2A">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5514578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00275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永兴材</w:t>
            </w:r>
            <w:r>
              <w:rPr>
                <w:rFonts w:ascii="宋体" w:hAnsi="宋体" w:hint="eastAsia"/>
                <w:szCs w:val="24"/>
                <w:lang w:eastAsia="zh-Hans"/>
              </w:rPr>
              <w:t>料</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702,336.0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2.1</w:t>
            </w:r>
            <w:r>
              <w:rPr>
                <w:rFonts w:ascii="宋体" w:hAnsi="宋体" w:hint="eastAsia"/>
                <w:szCs w:val="24"/>
                <w:lang w:eastAsia="zh-Hans"/>
              </w:rPr>
              <w:t>8</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66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400,620.0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1.2</w:t>
            </w:r>
            <w:r>
              <w:rPr>
                <w:rFonts w:ascii="宋体" w:hAnsi="宋体" w:hint="eastAsia"/>
                <w:szCs w:val="24"/>
                <w:lang w:eastAsia="zh-Hans"/>
              </w:rPr>
              <w:t>4</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68838</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信科移</w:t>
            </w:r>
            <w:r>
              <w:rPr>
                <w:rFonts w:ascii="宋体" w:hAnsi="宋体" w:hint="eastAsia"/>
                <w:szCs w:val="24"/>
                <w:lang w:eastAsia="zh-Hans"/>
              </w:rPr>
              <w:t>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19,80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392,832.0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1.2</w:t>
            </w:r>
            <w:r>
              <w:rPr>
                <w:rFonts w:ascii="宋体" w:hAnsi="宋体" w:hint="eastAsia"/>
                <w:szCs w:val="24"/>
                <w:lang w:eastAsia="zh-Hans"/>
              </w:rPr>
              <w:t>2</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381,000.0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1.1</w:t>
            </w:r>
            <w:r>
              <w:rPr>
                <w:rFonts w:ascii="宋体" w:hAnsi="宋体" w:hint="eastAsia"/>
                <w:szCs w:val="24"/>
                <w:lang w:eastAsia="zh-Hans"/>
              </w:rPr>
              <w:t>8</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68866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鼎通科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373,300.0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1.1</w:t>
            </w:r>
            <w:r>
              <w:rPr>
                <w:rFonts w:ascii="宋体" w:hAnsi="宋体" w:hint="eastAsia"/>
                <w:szCs w:val="24"/>
                <w:lang w:eastAsia="zh-Hans"/>
              </w:rPr>
              <w:t>6</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60049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烽火通</w:t>
            </w:r>
            <w:r>
              <w:rPr>
                <w:rFonts w:ascii="宋体" w:hAnsi="宋体" w:hint="eastAsia"/>
                <w:szCs w:val="24"/>
                <w:lang w:eastAsia="zh-Hans"/>
              </w:rPr>
              <w:t>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368,000.0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1.1</w:t>
            </w:r>
            <w:r>
              <w:rPr>
                <w:rFonts w:ascii="宋体" w:hAnsi="宋体" w:hint="eastAsia"/>
                <w:szCs w:val="24"/>
                <w:lang w:eastAsia="zh-Hans"/>
              </w:rPr>
              <w:t>4</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30039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天孚通</w:t>
            </w:r>
            <w:r>
              <w:rPr>
                <w:rFonts w:ascii="宋体" w:hAnsi="宋体" w:hint="eastAsia"/>
                <w:szCs w:val="24"/>
                <w:lang w:eastAsia="zh-Hans"/>
              </w:rPr>
              <w:t>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1,16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351,108.8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1.0</w:t>
            </w:r>
            <w:r>
              <w:rPr>
                <w:rFonts w:ascii="宋体" w:hAnsi="宋体" w:hint="eastAsia"/>
                <w:szCs w:val="24"/>
                <w:lang w:eastAsia="zh-Hans"/>
              </w:rPr>
              <w:t>9</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319,110.0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0.9</w:t>
            </w:r>
            <w:r>
              <w:rPr>
                <w:rFonts w:ascii="宋体" w:hAnsi="宋体" w:hint="eastAsia"/>
                <w:szCs w:val="24"/>
                <w:lang w:eastAsia="zh-Hans"/>
              </w:rPr>
              <w:t>9</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68820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华峰测</w:t>
            </w:r>
            <w:r>
              <w:rPr>
                <w:rFonts w:ascii="宋体" w:hAnsi="宋体" w:hint="eastAsia"/>
                <w:szCs w:val="24"/>
                <w:lang w:eastAsia="zh-Hans"/>
              </w:rPr>
              <w:t>控</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59</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310,859.2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0.9</w:t>
            </w:r>
            <w:r>
              <w:rPr>
                <w:rFonts w:ascii="宋体" w:hAnsi="宋体" w:hint="eastAsia"/>
                <w:szCs w:val="24"/>
                <w:lang w:eastAsia="zh-Hans"/>
              </w:rPr>
              <w:t>7</w:t>
            </w:r>
          </w:p>
        </w:tc>
      </w:tr>
      <w:tr w:rsidR="00000000">
        <w:trPr>
          <w:divId w:val="185514578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68812</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华海清</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94</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304,137.9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0.9</w:t>
            </w:r>
            <w:r>
              <w:rPr>
                <w:rFonts w:ascii="宋体" w:hAnsi="宋体" w:hint="eastAsia"/>
                <w:szCs w:val="24"/>
                <w:lang w:eastAsia="zh-Hans"/>
              </w:rPr>
              <w:t>4</w:t>
            </w:r>
          </w:p>
        </w:tc>
      </w:tr>
    </w:tbl>
    <w:p w:rsidR="00843A2A" w:rsidRDefault="00843A2A">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25,001.1</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w:t>
            </w:r>
          </w:p>
        </w:tc>
      </w:tr>
      <w:tr w:rsidR="00000000">
        <w:trPr>
          <w:divId w:val="61703196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843A2A" w:rsidRDefault="00843A2A">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25,001.1</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8</w:t>
            </w:r>
          </w:p>
        </w:tc>
      </w:tr>
    </w:tbl>
    <w:p w:rsidR="00843A2A" w:rsidRDefault="00843A2A">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3060548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3060548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11807</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南芯转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16,000.9</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5</w:t>
            </w:r>
          </w:p>
        </w:tc>
      </w:tr>
      <w:tr w:rsidR="00000000">
        <w:trPr>
          <w:divId w:val="83060548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7,000.2</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83060548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11807</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szCs w:val="24"/>
                <w:lang w:eastAsia="zh-Hans"/>
              </w:rPr>
              <w:t>华峰转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2,000.0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0.0</w:t>
            </w:r>
            <w:r>
              <w:rPr>
                <w:rFonts w:ascii="宋体" w:hAnsi="宋体" w:hint="eastAsia"/>
                <w:szCs w:val="24"/>
                <w:lang w:eastAsia="zh-Hans"/>
              </w:rPr>
              <w:t>1</w:t>
            </w:r>
          </w:p>
        </w:tc>
      </w:tr>
    </w:tbl>
    <w:p w:rsidR="00843A2A" w:rsidRDefault="00843A2A">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843A2A" w:rsidRDefault="00843A2A">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843A2A" w:rsidRDefault="00843A2A">
      <w:pPr>
        <w:spacing w:line="360" w:lineRule="auto"/>
        <w:ind w:firstLineChars="200" w:firstLine="420"/>
        <w:divId w:val="136251191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843A2A" w:rsidRDefault="00843A2A">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843A2A" w:rsidRDefault="00843A2A">
      <w:pPr>
        <w:spacing w:line="360" w:lineRule="auto"/>
        <w:ind w:firstLineChars="200" w:firstLine="420"/>
        <w:divId w:val="104937996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843A2A" w:rsidRDefault="00843A2A">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843A2A" w:rsidRDefault="00843A2A">
      <w:pPr>
        <w:spacing w:line="360" w:lineRule="auto"/>
        <w:ind w:firstLineChars="200" w:firstLine="420"/>
        <w:divId w:val="664938051"/>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843A2A" w:rsidRDefault="00843A2A">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843A2A" w:rsidRDefault="00843A2A">
      <w:pPr>
        <w:spacing w:line="360" w:lineRule="auto"/>
        <w:ind w:firstLineChars="200" w:firstLine="420"/>
        <w:divId w:val="1526556875"/>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843A2A" w:rsidRDefault="00843A2A">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843A2A" w:rsidRDefault="00843A2A">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843A2A" w:rsidRDefault="00843A2A">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843A2A" w:rsidRDefault="00843A2A">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843A2A" w:rsidRDefault="00843A2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843A2A" w:rsidRDefault="00843A2A">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7625044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3A2A" w:rsidRDefault="00843A2A">
            <w:pPr>
              <w:jc w:val="center"/>
            </w:pPr>
            <w:r>
              <w:rPr>
                <w:rFonts w:ascii="宋体" w:hAnsi="宋体" w:hint="eastAsia"/>
              </w:rPr>
              <w:t>金额（元</w:t>
            </w:r>
            <w:r>
              <w:rPr>
                <w:rFonts w:ascii="宋体" w:hAnsi="宋体" w:hint="eastAsia"/>
              </w:rPr>
              <w:t>）</w:t>
            </w:r>
            <w:r>
              <w:t xml:space="preserve"> </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5,287.3</w:t>
            </w:r>
            <w:r>
              <w:rPr>
                <w:rFonts w:ascii="宋体" w:hAnsi="宋体" w:hint="eastAsia"/>
              </w:rPr>
              <w:t>4</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236.7</w:t>
            </w:r>
            <w:r>
              <w:rPr>
                <w:rFonts w:ascii="宋体" w:hAnsi="宋体" w:hint="eastAsia"/>
              </w:rPr>
              <w:t>0</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p>
        </w:tc>
      </w:tr>
      <w:tr w:rsidR="00000000">
        <w:trPr>
          <w:divId w:val="762504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5,524.0</w:t>
            </w:r>
            <w:r>
              <w:rPr>
                <w:rFonts w:ascii="宋体" w:hAnsi="宋体" w:hint="eastAsia"/>
              </w:rPr>
              <w:t>4</w:t>
            </w:r>
          </w:p>
        </w:tc>
      </w:tr>
    </w:tbl>
    <w:p w:rsidR="00843A2A" w:rsidRDefault="00843A2A">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843A2A" w:rsidRDefault="00843A2A">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843A2A" w:rsidRDefault="00843A2A">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843A2A" w:rsidRDefault="00843A2A">
      <w:pPr>
        <w:spacing w:line="360" w:lineRule="auto"/>
        <w:ind w:firstLineChars="200" w:firstLine="420"/>
        <w:jc w:val="left"/>
        <w:divId w:val="99307350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843A2A" w:rsidRDefault="00843A2A">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843A2A" w:rsidRDefault="00843A2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843A2A" w:rsidRDefault="00843A2A">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843A2A" w:rsidRDefault="00843A2A">
      <w:pPr>
        <w:wordWrap w:val="0"/>
        <w:spacing w:line="360" w:lineRule="auto"/>
        <w:jc w:val="right"/>
        <w:divId w:val="640572325"/>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8"/>
        <w:gridCol w:w="2573"/>
      </w:tblGrid>
      <w:tr w:rsidR="00000000">
        <w:trPr>
          <w:divId w:val="64057232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ind w:right="3"/>
              <w:jc w:val="center"/>
            </w:pPr>
            <w:r>
              <w:rPr>
                <w:rFonts w:ascii="宋体" w:hAnsi="宋体" w:hint="eastAsia"/>
                <w:lang w:eastAsia="zh-Hans"/>
              </w:rPr>
              <w:t>摩根研究驱动股票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3A2A" w:rsidRDefault="00843A2A">
            <w:pPr>
              <w:ind w:right="3"/>
              <w:jc w:val="center"/>
            </w:pPr>
            <w:r>
              <w:rPr>
                <w:rFonts w:ascii="宋体" w:hAnsi="宋体" w:hint="eastAsia"/>
                <w:lang w:eastAsia="zh-Hans"/>
              </w:rPr>
              <w:t>摩根研究驱动股票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6405723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27,067,725.9</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4,553,282.3</w:t>
            </w:r>
            <w:r>
              <w:rPr>
                <w:rFonts w:ascii="宋体" w:hAnsi="宋体" w:hint="eastAsia"/>
              </w:rPr>
              <w:t>5</w:t>
            </w:r>
          </w:p>
        </w:tc>
      </w:tr>
      <w:tr w:rsidR="00000000">
        <w:trPr>
          <w:divId w:val="6405723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316,444.5</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87,245.1</w:t>
            </w:r>
            <w:r>
              <w:rPr>
                <w:rFonts w:ascii="宋体" w:hAnsi="宋体" w:hint="eastAsia"/>
              </w:rPr>
              <w:t>4</w:t>
            </w:r>
          </w:p>
        </w:tc>
      </w:tr>
      <w:tr w:rsidR="00000000">
        <w:trPr>
          <w:divId w:val="6405723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7,478,331.5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1,404,732.0</w:t>
            </w:r>
            <w:r>
              <w:rPr>
                <w:rFonts w:ascii="宋体" w:hAnsi="宋体" w:hint="eastAsia"/>
              </w:rPr>
              <w:t>2</w:t>
            </w:r>
          </w:p>
        </w:tc>
      </w:tr>
      <w:tr w:rsidR="00000000">
        <w:trPr>
          <w:divId w:val="6405723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w:t>
            </w:r>
          </w:p>
        </w:tc>
      </w:tr>
      <w:tr w:rsidR="00000000">
        <w:trPr>
          <w:divId w:val="6405723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19,905,838.9</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43A2A" w:rsidRDefault="00843A2A">
            <w:pPr>
              <w:jc w:val="right"/>
            </w:pPr>
            <w:r>
              <w:rPr>
                <w:rFonts w:ascii="宋体" w:hAnsi="宋体" w:hint="eastAsia"/>
              </w:rPr>
              <w:t>3,235,795.4</w:t>
            </w:r>
            <w:r>
              <w:rPr>
                <w:rFonts w:ascii="宋体" w:hAnsi="宋体" w:hint="eastAsia"/>
              </w:rPr>
              <w:t>7</w:t>
            </w:r>
          </w:p>
        </w:tc>
      </w:tr>
    </w:tbl>
    <w:p w:rsidR="00843A2A" w:rsidRDefault="00843A2A">
      <w:pPr>
        <w:spacing w:line="360" w:lineRule="auto"/>
        <w:jc w:val="left"/>
        <w:divId w:val="64057232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843A2A" w:rsidRDefault="00843A2A">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843A2A" w:rsidRDefault="00843A2A">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843A2A" w:rsidRDefault="00843A2A">
      <w:pPr>
        <w:wordWrap w:val="0"/>
        <w:spacing w:line="360" w:lineRule="auto"/>
        <w:jc w:val="right"/>
        <w:divId w:val="181424955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81424955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lang w:eastAsia="zh-Hans"/>
              </w:rPr>
              <w:t>摩根研究驱动股票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lang w:eastAsia="zh-Hans"/>
              </w:rPr>
              <w:t>摩根研究驱动股票</w:t>
            </w:r>
            <w:r>
              <w:rPr>
                <w:rFonts w:ascii="宋体" w:hAnsi="宋体" w:hint="eastAsia"/>
                <w:lang w:eastAsia="zh-Hans"/>
              </w:rPr>
              <w:t>C</w:t>
            </w:r>
            <w:r>
              <w:rPr>
                <w:rFonts w:ascii="宋体" w:hAnsi="宋体" w:hint="eastAsia"/>
                <w:color w:val="000000"/>
              </w:rPr>
              <w:t xml:space="preserve"> </w:t>
            </w:r>
          </w:p>
        </w:tc>
      </w:tr>
      <w:tr w:rsidR="00000000">
        <w:trPr>
          <w:divId w:val="18142495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rPr>
                <w:rFonts w:hint="eastAsia"/>
              </w:rPr>
            </w:pPr>
            <w:r>
              <w:rPr>
                <w:rFonts w:ascii="宋体" w:hAnsi="宋体" w:hint="eastAsia"/>
                <w:kern w:val="0"/>
                <w:szCs w:val="24"/>
                <w:lang w:eastAsia="zh-Hans"/>
              </w:rPr>
              <w:t>1,122,749.2</w:t>
            </w:r>
            <w:r>
              <w:rPr>
                <w:rFonts w:ascii="宋体" w:hAnsi="宋体" w:hint="eastAsia"/>
                <w:kern w:val="0"/>
                <w:szCs w:val="24"/>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kern w:val="0"/>
                <w:szCs w:val="24"/>
                <w:lang w:eastAsia="zh-Hans"/>
              </w:rPr>
              <w:t>-</w:t>
            </w:r>
          </w:p>
        </w:tc>
      </w:tr>
      <w:tr w:rsidR="00000000">
        <w:trPr>
          <w:divId w:val="18142495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szCs w:val="24"/>
                <w:lang w:eastAsia="zh-Hans"/>
              </w:rPr>
              <w:t>-</w:t>
            </w:r>
          </w:p>
        </w:tc>
      </w:tr>
      <w:tr w:rsidR="00000000">
        <w:trPr>
          <w:divId w:val="18142495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rPr>
                <w:rFonts w:hint="eastAsia"/>
              </w:rPr>
            </w:pPr>
            <w:r>
              <w:rPr>
                <w:rFonts w:ascii="宋体" w:hAnsi="宋体" w:hint="eastAsia"/>
                <w:lang w:eastAsia="zh-Hans"/>
              </w:rPr>
              <w:t>488,025.7</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lang w:eastAsia="zh-Hans"/>
              </w:rPr>
              <w:t>-</w:t>
            </w:r>
          </w:p>
        </w:tc>
      </w:tr>
      <w:tr w:rsidR="00000000">
        <w:trPr>
          <w:divId w:val="18142495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rPr>
                <w:rFonts w:hint="eastAsia"/>
              </w:rPr>
            </w:pPr>
            <w:r>
              <w:rPr>
                <w:rFonts w:ascii="宋体" w:hAnsi="宋体" w:hint="eastAsia"/>
                <w:lang w:eastAsia="zh-Hans"/>
              </w:rPr>
              <w:t>634,723.5</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lang w:eastAsia="zh-Hans"/>
              </w:rPr>
              <w:t>-</w:t>
            </w:r>
          </w:p>
        </w:tc>
      </w:tr>
      <w:tr w:rsidR="00000000">
        <w:trPr>
          <w:divId w:val="181424955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rPr>
                <w:rFonts w:hint="eastAsia"/>
              </w:rPr>
            </w:pPr>
            <w:r>
              <w:rPr>
                <w:rFonts w:ascii="宋体" w:hAnsi="宋体" w:hint="eastAsia"/>
                <w:lang w:eastAsia="zh-Hans"/>
              </w:rPr>
              <w:t>2.7</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lang w:eastAsia="zh-Hans"/>
              </w:rPr>
              <w:t>-</w:t>
            </w:r>
          </w:p>
        </w:tc>
      </w:tr>
    </w:tbl>
    <w:p w:rsidR="00843A2A" w:rsidRDefault="00843A2A">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21485356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43A2A" w:rsidRDefault="00843A2A">
            <w:pPr>
              <w:jc w:val="center"/>
            </w:pPr>
            <w:r>
              <w:rPr>
                <w:rFonts w:ascii="宋体" w:hAnsi="宋体" w:hint="eastAsia"/>
              </w:rPr>
              <w:t>适用费率</w:t>
            </w:r>
            <w:r>
              <w:rPr>
                <w:rFonts w:ascii="宋体" w:hAnsi="宋体" w:hint="eastAsia"/>
              </w:rPr>
              <w:t xml:space="preserve"> </w:t>
            </w:r>
          </w:p>
        </w:tc>
      </w:tr>
      <w:tr w:rsidR="00000000">
        <w:trPr>
          <w:divId w:val="12148535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-129,370.3</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-165,089.4</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r>
              <w:t xml:space="preserve"> </w:t>
            </w:r>
          </w:p>
        </w:tc>
      </w:tr>
      <w:tr w:rsidR="00000000">
        <w:trPr>
          <w:divId w:val="12148535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-179,327.6</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-228,267.9</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0.2</w:t>
            </w:r>
            <w:r>
              <w:rPr>
                <w:rFonts w:ascii="宋体" w:hAnsi="宋体" w:hint="eastAsia"/>
              </w:rPr>
              <w:t>5</w:t>
            </w:r>
            <w:r>
              <w:t xml:space="preserve">% </w:t>
            </w:r>
          </w:p>
        </w:tc>
      </w:tr>
      <w:tr w:rsidR="00000000">
        <w:trPr>
          <w:divId w:val="12148535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-179,327.6</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-239,456.2</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w:t>
            </w:r>
            <w:r>
              <w:t xml:space="preserve"> </w:t>
            </w:r>
          </w:p>
        </w:tc>
      </w:tr>
      <w:tr w:rsidR="00000000">
        <w:trPr>
          <w:divId w:val="12148535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-488,025.7</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pPr>
              <w:jc w:val="right"/>
            </w:pPr>
            <w:r>
              <w:rPr>
                <w:rFonts w:ascii="宋体" w:hAnsi="宋体" w:hint="eastAsia"/>
              </w:rPr>
              <w:t>-632,813.7</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43A2A" w:rsidRDefault="00843A2A"/>
        </w:tc>
      </w:tr>
    </w:tbl>
    <w:p w:rsidR="00843A2A" w:rsidRDefault="00843A2A">
      <w:pPr>
        <w:spacing w:line="360" w:lineRule="auto"/>
        <w:jc w:val="left"/>
        <w:divId w:val="103886136"/>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843A2A" w:rsidRDefault="00843A2A">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843A2A" w:rsidRDefault="00843A2A">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843A2A" w:rsidRDefault="00843A2A">
      <w:pPr>
        <w:spacing w:line="360" w:lineRule="auto"/>
        <w:ind w:firstLineChars="200" w:firstLine="420"/>
        <w:divId w:val="1282497480"/>
        <w:rPr>
          <w:rFonts w:ascii="宋体" w:hAnsi="宋体" w:hint="eastAsia"/>
          <w:szCs w:val="21"/>
          <w:lang w:eastAsia="zh-Hans"/>
        </w:rPr>
      </w:pPr>
      <w:r>
        <w:rPr>
          <w:rFonts w:ascii="宋体" w:hAnsi="宋体" w:hint="eastAsia"/>
          <w:szCs w:val="21"/>
          <w:lang w:eastAsia="zh-Hans"/>
        </w:rPr>
        <w:t>无。</w:t>
      </w:r>
    </w:p>
    <w:p w:rsidR="00843A2A" w:rsidRDefault="00843A2A">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843A2A" w:rsidRDefault="00843A2A">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摩根研究驱动股票型证券投资基金基金合同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摩根研究驱动股票型证券投资基金托管协议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843A2A" w:rsidRDefault="00843A2A">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843A2A" w:rsidRDefault="00843A2A">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843A2A" w:rsidRDefault="00843A2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843A2A" w:rsidRDefault="00843A2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43A2A" w:rsidRDefault="00843A2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43A2A" w:rsidRDefault="00843A2A">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843A2A" w:rsidRDefault="00843A2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843A2A">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A2A" w:rsidRDefault="00843A2A">
      <w:pPr>
        <w:rPr>
          <w:szCs w:val="21"/>
        </w:rPr>
      </w:pPr>
      <w:r>
        <w:rPr>
          <w:szCs w:val="21"/>
        </w:rPr>
        <w:separator/>
      </w:r>
      <w:r>
        <w:rPr>
          <w:szCs w:val="21"/>
        </w:rPr>
        <w:t xml:space="preserve"> </w:t>
      </w:r>
    </w:p>
  </w:endnote>
  <w:endnote w:type="continuationSeparator" w:id="0">
    <w:p w:rsidR="00843A2A" w:rsidRDefault="00843A2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2A" w:rsidRDefault="00843A2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A2A" w:rsidRDefault="00843A2A">
      <w:pPr>
        <w:rPr>
          <w:szCs w:val="21"/>
        </w:rPr>
      </w:pPr>
      <w:r>
        <w:rPr>
          <w:szCs w:val="21"/>
        </w:rPr>
        <w:separator/>
      </w:r>
      <w:r>
        <w:rPr>
          <w:szCs w:val="21"/>
        </w:rPr>
        <w:t xml:space="preserve"> </w:t>
      </w:r>
    </w:p>
  </w:footnote>
  <w:footnote w:type="continuationSeparator" w:id="0">
    <w:p w:rsidR="00843A2A" w:rsidRDefault="00843A2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2A" w:rsidRDefault="00843A2A">
    <w:pPr>
      <w:pStyle w:val="a8"/>
      <w:jc w:val="right"/>
    </w:pPr>
    <w:r>
      <w:rPr>
        <w:rFonts w:ascii="宋体" w:hAnsi="宋体" w:hint="eastAsia"/>
      </w:rPr>
      <w:t>摩根研究驱动股票型证券投资基金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44036137">
    <w:abstractNumId w:val="0"/>
  </w:num>
  <w:num w:numId="2" w16cid:durableId="668290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748C8"/>
    <w:rsid w:val="000748C8"/>
    <w:rsid w:val="003E0F21"/>
    <w:rsid w:val="00843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4160">
      <w:marLeft w:val="0"/>
      <w:marRight w:val="0"/>
      <w:marTop w:val="0"/>
      <w:marBottom w:val="0"/>
      <w:divBdr>
        <w:top w:val="none" w:sz="0" w:space="0" w:color="auto"/>
        <w:left w:val="none" w:sz="0" w:space="0" w:color="auto"/>
        <w:bottom w:val="none" w:sz="0" w:space="0" w:color="auto"/>
        <w:right w:val="none" w:sz="0" w:space="0" w:color="auto"/>
      </w:divBdr>
    </w:div>
    <w:div w:id="64033514">
      <w:marLeft w:val="0"/>
      <w:marRight w:val="0"/>
      <w:marTop w:val="0"/>
      <w:marBottom w:val="0"/>
      <w:divBdr>
        <w:top w:val="none" w:sz="0" w:space="0" w:color="auto"/>
        <w:left w:val="none" w:sz="0" w:space="0" w:color="auto"/>
        <w:bottom w:val="none" w:sz="0" w:space="0" w:color="auto"/>
        <w:right w:val="none" w:sz="0" w:space="0" w:color="auto"/>
      </w:divBdr>
    </w:div>
    <w:div w:id="103886136">
      <w:marLeft w:val="0"/>
      <w:marRight w:val="0"/>
      <w:marTop w:val="0"/>
      <w:marBottom w:val="0"/>
      <w:divBdr>
        <w:top w:val="none" w:sz="0" w:space="0" w:color="auto"/>
        <w:left w:val="none" w:sz="0" w:space="0" w:color="auto"/>
        <w:bottom w:val="none" w:sz="0" w:space="0" w:color="auto"/>
        <w:right w:val="none" w:sz="0" w:space="0" w:color="auto"/>
      </w:divBdr>
      <w:divsChild>
        <w:div w:id="1214853564">
          <w:marLeft w:val="0"/>
          <w:marRight w:val="0"/>
          <w:marTop w:val="0"/>
          <w:marBottom w:val="0"/>
          <w:divBdr>
            <w:top w:val="none" w:sz="0" w:space="0" w:color="auto"/>
            <w:left w:val="none" w:sz="0" w:space="0" w:color="auto"/>
            <w:bottom w:val="none" w:sz="0" w:space="0" w:color="auto"/>
            <w:right w:val="none" w:sz="0" w:space="0" w:color="auto"/>
          </w:divBdr>
        </w:div>
      </w:divsChild>
    </w:div>
    <w:div w:id="126554235">
      <w:marLeft w:val="0"/>
      <w:marRight w:val="0"/>
      <w:marTop w:val="0"/>
      <w:marBottom w:val="0"/>
      <w:divBdr>
        <w:top w:val="none" w:sz="0" w:space="0" w:color="auto"/>
        <w:left w:val="none" w:sz="0" w:space="0" w:color="auto"/>
        <w:bottom w:val="none" w:sz="0" w:space="0" w:color="auto"/>
        <w:right w:val="none" w:sz="0" w:space="0" w:color="auto"/>
      </w:divBdr>
      <w:divsChild>
        <w:div w:id="1814249550">
          <w:marLeft w:val="0"/>
          <w:marRight w:val="0"/>
          <w:marTop w:val="0"/>
          <w:marBottom w:val="0"/>
          <w:divBdr>
            <w:top w:val="none" w:sz="0" w:space="0" w:color="auto"/>
            <w:left w:val="none" w:sz="0" w:space="0" w:color="auto"/>
            <w:bottom w:val="none" w:sz="0" w:space="0" w:color="auto"/>
            <w:right w:val="none" w:sz="0" w:space="0" w:color="auto"/>
          </w:divBdr>
        </w:div>
      </w:divsChild>
    </w:div>
    <w:div w:id="617031965">
      <w:marLeft w:val="0"/>
      <w:marRight w:val="0"/>
      <w:marTop w:val="0"/>
      <w:marBottom w:val="0"/>
      <w:divBdr>
        <w:top w:val="none" w:sz="0" w:space="0" w:color="auto"/>
        <w:left w:val="none" w:sz="0" w:space="0" w:color="auto"/>
        <w:bottom w:val="none" w:sz="0" w:space="0" w:color="auto"/>
        <w:right w:val="none" w:sz="0" w:space="0" w:color="auto"/>
      </w:divBdr>
    </w:div>
    <w:div w:id="640572325">
      <w:marLeft w:val="0"/>
      <w:marRight w:val="0"/>
      <w:marTop w:val="0"/>
      <w:marBottom w:val="0"/>
      <w:divBdr>
        <w:top w:val="none" w:sz="0" w:space="0" w:color="auto"/>
        <w:left w:val="none" w:sz="0" w:space="0" w:color="auto"/>
        <w:bottom w:val="none" w:sz="0" w:space="0" w:color="auto"/>
        <w:right w:val="none" w:sz="0" w:space="0" w:color="auto"/>
      </w:divBdr>
    </w:div>
    <w:div w:id="664938051">
      <w:marLeft w:val="0"/>
      <w:marRight w:val="0"/>
      <w:marTop w:val="0"/>
      <w:marBottom w:val="0"/>
      <w:divBdr>
        <w:top w:val="none" w:sz="0" w:space="0" w:color="auto"/>
        <w:left w:val="none" w:sz="0" w:space="0" w:color="auto"/>
        <w:bottom w:val="none" w:sz="0" w:space="0" w:color="auto"/>
        <w:right w:val="none" w:sz="0" w:space="0" w:color="auto"/>
      </w:divBdr>
    </w:div>
    <w:div w:id="830605488">
      <w:marLeft w:val="0"/>
      <w:marRight w:val="0"/>
      <w:marTop w:val="0"/>
      <w:marBottom w:val="0"/>
      <w:divBdr>
        <w:top w:val="none" w:sz="0" w:space="0" w:color="auto"/>
        <w:left w:val="none" w:sz="0" w:space="0" w:color="auto"/>
        <w:bottom w:val="none" w:sz="0" w:space="0" w:color="auto"/>
        <w:right w:val="none" w:sz="0" w:space="0" w:color="auto"/>
      </w:divBdr>
    </w:div>
    <w:div w:id="950013557">
      <w:marLeft w:val="0"/>
      <w:marRight w:val="0"/>
      <w:marTop w:val="0"/>
      <w:marBottom w:val="0"/>
      <w:divBdr>
        <w:top w:val="none" w:sz="0" w:space="0" w:color="auto"/>
        <w:left w:val="none" w:sz="0" w:space="0" w:color="auto"/>
        <w:bottom w:val="none" w:sz="0" w:space="0" w:color="auto"/>
        <w:right w:val="none" w:sz="0" w:space="0" w:color="auto"/>
      </w:divBdr>
      <w:divsChild>
        <w:div w:id="1056467406">
          <w:marLeft w:val="0"/>
          <w:marRight w:val="0"/>
          <w:marTop w:val="0"/>
          <w:marBottom w:val="0"/>
          <w:divBdr>
            <w:top w:val="none" w:sz="0" w:space="0" w:color="auto"/>
            <w:left w:val="none" w:sz="0" w:space="0" w:color="auto"/>
            <w:bottom w:val="none" w:sz="0" w:space="0" w:color="auto"/>
            <w:right w:val="none" w:sz="0" w:space="0" w:color="auto"/>
          </w:divBdr>
        </w:div>
      </w:divsChild>
    </w:div>
    <w:div w:id="993073506">
      <w:marLeft w:val="0"/>
      <w:marRight w:val="0"/>
      <w:marTop w:val="0"/>
      <w:marBottom w:val="0"/>
      <w:divBdr>
        <w:top w:val="none" w:sz="0" w:space="0" w:color="auto"/>
        <w:left w:val="none" w:sz="0" w:space="0" w:color="auto"/>
        <w:bottom w:val="none" w:sz="0" w:space="0" w:color="auto"/>
        <w:right w:val="none" w:sz="0" w:space="0" w:color="auto"/>
      </w:divBdr>
    </w:div>
    <w:div w:id="1049379966">
      <w:marLeft w:val="0"/>
      <w:marRight w:val="0"/>
      <w:marTop w:val="0"/>
      <w:marBottom w:val="0"/>
      <w:divBdr>
        <w:top w:val="none" w:sz="0" w:space="0" w:color="auto"/>
        <w:left w:val="none" w:sz="0" w:space="0" w:color="auto"/>
        <w:bottom w:val="none" w:sz="0" w:space="0" w:color="auto"/>
        <w:right w:val="none" w:sz="0" w:space="0" w:color="auto"/>
      </w:divBdr>
    </w:div>
    <w:div w:id="1227036399">
      <w:marLeft w:val="0"/>
      <w:marRight w:val="0"/>
      <w:marTop w:val="0"/>
      <w:marBottom w:val="0"/>
      <w:divBdr>
        <w:top w:val="none" w:sz="0" w:space="0" w:color="auto"/>
        <w:left w:val="none" w:sz="0" w:space="0" w:color="auto"/>
        <w:bottom w:val="none" w:sz="0" w:space="0" w:color="auto"/>
        <w:right w:val="none" w:sz="0" w:space="0" w:color="auto"/>
      </w:divBdr>
    </w:div>
    <w:div w:id="1282497480">
      <w:marLeft w:val="0"/>
      <w:marRight w:val="0"/>
      <w:marTop w:val="0"/>
      <w:marBottom w:val="0"/>
      <w:divBdr>
        <w:top w:val="none" w:sz="0" w:space="0" w:color="auto"/>
        <w:left w:val="none" w:sz="0" w:space="0" w:color="auto"/>
        <w:bottom w:val="none" w:sz="0" w:space="0" w:color="auto"/>
        <w:right w:val="none" w:sz="0" w:space="0" w:color="auto"/>
      </w:divBdr>
    </w:div>
    <w:div w:id="1362511912">
      <w:marLeft w:val="0"/>
      <w:marRight w:val="0"/>
      <w:marTop w:val="0"/>
      <w:marBottom w:val="0"/>
      <w:divBdr>
        <w:top w:val="none" w:sz="0" w:space="0" w:color="auto"/>
        <w:left w:val="none" w:sz="0" w:space="0" w:color="auto"/>
        <w:bottom w:val="none" w:sz="0" w:space="0" w:color="auto"/>
        <w:right w:val="none" w:sz="0" w:space="0" w:color="auto"/>
      </w:divBdr>
    </w:div>
    <w:div w:id="1410272809">
      <w:marLeft w:val="0"/>
      <w:marRight w:val="0"/>
      <w:marTop w:val="0"/>
      <w:marBottom w:val="0"/>
      <w:divBdr>
        <w:top w:val="none" w:sz="0" w:space="0" w:color="auto"/>
        <w:left w:val="none" w:sz="0" w:space="0" w:color="auto"/>
        <w:bottom w:val="none" w:sz="0" w:space="0" w:color="auto"/>
        <w:right w:val="none" w:sz="0" w:space="0" w:color="auto"/>
      </w:divBdr>
      <w:divsChild>
        <w:div w:id="76250440">
          <w:marLeft w:val="0"/>
          <w:marRight w:val="0"/>
          <w:marTop w:val="0"/>
          <w:marBottom w:val="0"/>
          <w:divBdr>
            <w:top w:val="none" w:sz="0" w:space="0" w:color="auto"/>
            <w:left w:val="none" w:sz="0" w:space="0" w:color="auto"/>
            <w:bottom w:val="none" w:sz="0" w:space="0" w:color="auto"/>
            <w:right w:val="none" w:sz="0" w:space="0" w:color="auto"/>
          </w:divBdr>
        </w:div>
      </w:divsChild>
    </w:div>
    <w:div w:id="1435707303">
      <w:marLeft w:val="0"/>
      <w:marRight w:val="0"/>
      <w:marTop w:val="0"/>
      <w:marBottom w:val="0"/>
      <w:divBdr>
        <w:top w:val="none" w:sz="0" w:space="0" w:color="auto"/>
        <w:left w:val="none" w:sz="0" w:space="0" w:color="auto"/>
        <w:bottom w:val="none" w:sz="0" w:space="0" w:color="auto"/>
        <w:right w:val="none" w:sz="0" w:space="0" w:color="auto"/>
      </w:divBdr>
      <w:divsChild>
        <w:div w:id="329143374">
          <w:marLeft w:val="0"/>
          <w:marRight w:val="0"/>
          <w:marTop w:val="0"/>
          <w:marBottom w:val="0"/>
          <w:divBdr>
            <w:top w:val="none" w:sz="0" w:space="0" w:color="auto"/>
            <w:left w:val="none" w:sz="0" w:space="0" w:color="auto"/>
            <w:bottom w:val="none" w:sz="0" w:space="0" w:color="auto"/>
            <w:right w:val="none" w:sz="0" w:space="0" w:color="auto"/>
          </w:divBdr>
        </w:div>
      </w:divsChild>
    </w:div>
    <w:div w:id="1526556875">
      <w:marLeft w:val="0"/>
      <w:marRight w:val="0"/>
      <w:marTop w:val="0"/>
      <w:marBottom w:val="0"/>
      <w:divBdr>
        <w:top w:val="none" w:sz="0" w:space="0" w:color="auto"/>
        <w:left w:val="none" w:sz="0" w:space="0" w:color="auto"/>
        <w:bottom w:val="none" w:sz="0" w:space="0" w:color="auto"/>
        <w:right w:val="none" w:sz="0" w:space="0" w:color="auto"/>
      </w:divBdr>
    </w:div>
    <w:div w:id="1562402726">
      <w:marLeft w:val="0"/>
      <w:marRight w:val="0"/>
      <w:marTop w:val="0"/>
      <w:marBottom w:val="0"/>
      <w:divBdr>
        <w:top w:val="none" w:sz="0" w:space="0" w:color="auto"/>
        <w:left w:val="none" w:sz="0" w:space="0" w:color="auto"/>
        <w:bottom w:val="none" w:sz="0" w:space="0" w:color="auto"/>
        <w:right w:val="none" w:sz="0" w:space="0" w:color="auto"/>
      </w:divBdr>
      <w:divsChild>
        <w:div w:id="982850064">
          <w:marLeft w:val="0"/>
          <w:marRight w:val="0"/>
          <w:marTop w:val="0"/>
          <w:marBottom w:val="0"/>
          <w:divBdr>
            <w:top w:val="none" w:sz="0" w:space="0" w:color="auto"/>
            <w:left w:val="none" w:sz="0" w:space="0" w:color="auto"/>
            <w:bottom w:val="none" w:sz="0" w:space="0" w:color="auto"/>
            <w:right w:val="none" w:sz="0" w:space="0" w:color="auto"/>
          </w:divBdr>
        </w:div>
      </w:divsChild>
    </w:div>
    <w:div w:id="1661082522">
      <w:marLeft w:val="0"/>
      <w:marRight w:val="0"/>
      <w:marTop w:val="0"/>
      <w:marBottom w:val="0"/>
      <w:divBdr>
        <w:top w:val="none" w:sz="0" w:space="0" w:color="auto"/>
        <w:left w:val="none" w:sz="0" w:space="0" w:color="auto"/>
        <w:bottom w:val="none" w:sz="0" w:space="0" w:color="auto"/>
        <w:right w:val="none" w:sz="0" w:space="0" w:color="auto"/>
      </w:divBdr>
      <w:divsChild>
        <w:div w:id="1654724161">
          <w:marLeft w:val="0"/>
          <w:marRight w:val="0"/>
          <w:marTop w:val="0"/>
          <w:marBottom w:val="0"/>
          <w:divBdr>
            <w:top w:val="none" w:sz="0" w:space="0" w:color="auto"/>
            <w:left w:val="none" w:sz="0" w:space="0" w:color="auto"/>
            <w:bottom w:val="none" w:sz="0" w:space="0" w:color="auto"/>
            <w:right w:val="none" w:sz="0" w:space="0" w:color="auto"/>
          </w:divBdr>
        </w:div>
        <w:div w:id="1835804771">
          <w:marLeft w:val="0"/>
          <w:marRight w:val="0"/>
          <w:marTop w:val="0"/>
          <w:marBottom w:val="0"/>
          <w:divBdr>
            <w:top w:val="none" w:sz="0" w:space="0" w:color="auto"/>
            <w:left w:val="none" w:sz="0" w:space="0" w:color="auto"/>
            <w:bottom w:val="none" w:sz="0" w:space="0" w:color="auto"/>
            <w:right w:val="none" w:sz="0" w:space="0" w:color="auto"/>
          </w:divBdr>
        </w:div>
      </w:divsChild>
    </w:div>
    <w:div w:id="1855145786">
      <w:marLeft w:val="0"/>
      <w:marRight w:val="0"/>
      <w:marTop w:val="0"/>
      <w:marBottom w:val="0"/>
      <w:divBdr>
        <w:top w:val="none" w:sz="0" w:space="0" w:color="auto"/>
        <w:left w:val="none" w:sz="0" w:space="0" w:color="auto"/>
        <w:bottom w:val="none" w:sz="0" w:space="0" w:color="auto"/>
        <w:right w:val="none" w:sz="0" w:space="0" w:color="auto"/>
      </w:divBdr>
    </w:div>
    <w:div w:id="1966157417">
      <w:marLeft w:val="0"/>
      <w:marRight w:val="0"/>
      <w:marTop w:val="0"/>
      <w:marBottom w:val="0"/>
      <w:divBdr>
        <w:top w:val="none" w:sz="0" w:space="0" w:color="auto"/>
        <w:left w:val="none" w:sz="0" w:space="0" w:color="auto"/>
        <w:bottom w:val="none" w:sz="0" w:space="0" w:color="auto"/>
        <w:right w:val="none" w:sz="0" w:space="0" w:color="auto"/>
      </w:divBdr>
      <w:divsChild>
        <w:div w:id="67118145">
          <w:marLeft w:val="0"/>
          <w:marRight w:val="0"/>
          <w:marTop w:val="0"/>
          <w:marBottom w:val="0"/>
          <w:divBdr>
            <w:top w:val="none" w:sz="0" w:space="0" w:color="auto"/>
            <w:left w:val="none" w:sz="0" w:space="0" w:color="auto"/>
            <w:bottom w:val="none" w:sz="0" w:space="0" w:color="auto"/>
            <w:right w:val="none" w:sz="0" w:space="0" w:color="auto"/>
          </w:divBdr>
        </w:div>
      </w:divsChild>
    </w:div>
    <w:div w:id="21345942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1248</Words>
  <Characters>7118</Characters>
  <Application>Microsoft Office Word</Application>
  <DocSecurity>4</DocSecurity>
  <Lines>59</Lines>
  <Paragraphs>16</Paragraphs>
  <ScaleCrop>false</ScaleCrop>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