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14:paraId="70302E6C" w14:textId="77777777" w:rsidR="005E6DF3" w:rsidRDefault="005E6DF3" w:rsidRPr="00B27A29">
      <w:pPr>
        <w:autoSpaceDE w:val="0"/>
        <w:autoSpaceDN w:val="0"/>
        <w:adjustRightInd w:val="0"/>
        <w:spacing w:line="360" w:lineRule="auto"/>
        <w:jc w:val="left"/>
        <w:rPr>
          <w:rFonts w:eastAsiaTheme="minorEastAsia"/>
          <w:color w:themeColor="text1" w:val="000000"/>
          <w:kern w:val="0"/>
          <w:szCs w:val="21"/>
        </w:rPr>
      </w:pPr>
    </w:p>
    <w:p w14:paraId="0371E3DE" w14:textId="77777777" w:rsidR="005E6DF3" w:rsidRDefault="005E6DF3" w:rsidRPr="00B27A29">
      <w:pPr>
        <w:autoSpaceDE w:val="0"/>
        <w:autoSpaceDN w:val="0"/>
        <w:adjustRightInd w:val="0"/>
        <w:spacing w:line="360" w:lineRule="auto"/>
        <w:jc w:val="left"/>
        <w:rPr>
          <w:rFonts w:eastAsiaTheme="minorEastAsia"/>
          <w:color w:themeColor="text1" w:val="000000"/>
          <w:kern w:val="0"/>
          <w:szCs w:val="21"/>
        </w:rPr>
      </w:pPr>
    </w:p>
    <w:p w14:paraId="433F6E3A" w14:textId="77777777" w:rsidR="005E6DF3" w:rsidRDefault="005E6DF3" w:rsidRPr="00B27A29">
      <w:pPr>
        <w:autoSpaceDE w:val="0"/>
        <w:autoSpaceDN w:val="0"/>
        <w:adjustRightInd w:val="0"/>
        <w:spacing w:line="360" w:lineRule="auto"/>
        <w:jc w:val="left"/>
        <w:rPr>
          <w:rFonts w:eastAsiaTheme="minorEastAsia"/>
          <w:color w:themeColor="text1" w:val="000000"/>
          <w:kern w:val="0"/>
          <w:szCs w:val="21"/>
        </w:rPr>
      </w:pPr>
    </w:p>
    <w:p w14:paraId="737471D9" w14:textId="77777777" w:rsidR="005E6DF3" w:rsidRDefault="005E6DF3" w:rsidRPr="00B27A29">
      <w:pPr>
        <w:autoSpaceDE w:val="0"/>
        <w:autoSpaceDN w:val="0"/>
        <w:adjustRightInd w:val="0"/>
        <w:spacing w:line="360" w:lineRule="auto"/>
        <w:jc w:val="left"/>
        <w:rPr>
          <w:rFonts w:eastAsiaTheme="minorEastAsia"/>
          <w:color w:themeColor="text1" w:val="000000"/>
          <w:kern w:val="0"/>
          <w:szCs w:val="21"/>
        </w:rPr>
      </w:pPr>
    </w:p>
    <w:p w14:paraId="5540764F" w14:textId="77777777" w:rsidR="005E6DF3" w:rsidRDefault="005E6DF3" w:rsidRPr="00B27A29">
      <w:pPr>
        <w:autoSpaceDE w:val="0"/>
        <w:autoSpaceDN w:val="0"/>
        <w:adjustRightInd w:val="0"/>
        <w:spacing w:line="360" w:lineRule="auto"/>
        <w:jc w:val="left"/>
        <w:rPr>
          <w:rFonts w:eastAsiaTheme="minorEastAsia"/>
          <w:color w:themeColor="text1" w:val="000000"/>
          <w:kern w:val="0"/>
          <w:szCs w:val="21"/>
        </w:rPr>
      </w:pPr>
    </w:p>
    <w:p w14:paraId="2507A4DE" w14:textId="77777777" w:rsidR="005E6DF3" w:rsidRDefault="005C671B" w:rsidRPr="00B27A29">
      <w:pPr>
        <w:spacing w:line="360" w:lineRule="auto"/>
        <w:jc w:val="center"/>
        <w:rPr>
          <w:rFonts w:eastAsiaTheme="minorEastAsia"/>
          <w:b/>
          <w:color w:themeColor="text1" w:val="000000"/>
          <w:sz w:val="36"/>
          <w:szCs w:val="36"/>
        </w:rPr>
      </w:pPr>
      <w:r w:rsidRPr="00B27A29">
        <w:rPr>
          <w:rFonts w:eastAsiaTheme="minorEastAsia"/>
          <w:b/>
          <w:color w:themeColor="text1" w:val="000000"/>
          <w:sz w:val="36"/>
          <w:szCs w:val="36"/>
        </w:rPr>
        <w:t/>
      </w:r>
      <w:proofErr w:type="spellStart"/>
      <w:r w:rsidRPr="00B27A29">
        <w:rPr>
          <w:rFonts w:eastAsiaTheme="minorEastAsia"/>
          <w:b/>
          <w:color w:themeColor="text1" w:val="000000"/>
          <w:sz w:val="36"/>
          <w:szCs w:val="36"/>
        </w:rPr>
        <w:t/>
      </w:r>
      <w:proofErr w:type="spellEnd"/>
      <w:r w:rsidRPr="00B27A29">
        <w:rPr>
          <w:rFonts w:eastAsiaTheme="minorEastAsia"/>
          <w:b/>
          <w:color w:themeColor="text1" w:val="000000"/>
          <w:sz w:val="36"/>
          <w:szCs w:val="36"/>
        </w:rPr>
        <w:t>上投摩根瑞益纯债债券型证券投资基金</w:t>
      </w:r>
    </w:p>
    <w:p w14:paraId="314CAF44" w14:textId="77777777" w:rsidR="005E6DF3" w:rsidRDefault="005C671B" w:rsidRPr="00B27A29">
      <w:pPr>
        <w:spacing w:line="360" w:lineRule="auto"/>
        <w:jc w:val="center"/>
        <w:rPr>
          <w:rFonts w:eastAsiaTheme="minorEastAsia"/>
          <w:b/>
          <w:color w:themeColor="text1" w:val="000000"/>
          <w:sz w:val="36"/>
          <w:szCs w:val="36"/>
        </w:rPr>
      </w:pPr>
      <w:r w:rsidRPr="00B27A29">
        <w:rPr>
          <w:rFonts w:eastAsiaTheme="minorEastAsia"/>
          <w:b/>
          <w:color w:themeColor="text1" w:val="000000"/>
          <w:sz w:val="36"/>
          <w:szCs w:val="36"/>
        </w:rPr>
        <w:t/>
      </w:r>
      <w:proofErr w:type="spellStart"/>
      <w:r w:rsidRPr="00B27A29">
        <w:rPr>
          <w:rFonts w:eastAsiaTheme="minorEastAsia"/>
          <w:b/>
          <w:color w:themeColor="text1" w:val="000000"/>
          <w:sz w:val="36"/>
          <w:szCs w:val="36"/>
        </w:rPr>
        <w:t/>
      </w:r>
      <w:proofErr w:type="spellEnd"/>
      <w:r w:rsidRPr="00B27A29">
        <w:rPr>
          <w:rFonts w:eastAsiaTheme="minorEastAsia"/>
          <w:b/>
          <w:color w:themeColor="text1" w:val="000000"/>
          <w:sz w:val="36"/>
          <w:szCs w:val="36"/>
        </w:rPr>
        <w:t>2021年第3季度报告</w:t>
      </w:r>
    </w:p>
    <w:p w14:paraId="65EC9CA4" w14:textId="77777777" w:rsidR="005E6DF3" w:rsidRDefault="005C671B" w:rsidRPr="00B27A29">
      <w:pPr>
        <w:spacing w:line="360" w:lineRule="auto"/>
        <w:jc w:val="center"/>
        <w:rPr>
          <w:rFonts w:eastAsiaTheme="minorEastAsia"/>
          <w:b/>
          <w:color w:themeColor="text1" w:val="000000"/>
          <w:szCs w:val="21"/>
        </w:rPr>
      </w:pPr>
      <w:r w:rsidRPr="00B27A29">
        <w:rPr>
          <w:rFonts w:eastAsiaTheme="minorEastAsia"/>
          <w:b/>
          <w:color w:themeColor="text1" w:val="000000"/>
          <w:sz w:val="36"/>
          <w:szCs w:val="36"/>
        </w:rPr>
        <w:t/>
      </w:r>
      <w:proofErr w:type="spellStart"/>
      <w:r w:rsidRPr="00B27A29">
        <w:rPr>
          <w:rFonts w:eastAsiaTheme="minorEastAsia"/>
          <w:b/>
          <w:color w:themeColor="text1" w:val="000000"/>
          <w:sz w:val="36"/>
          <w:szCs w:val="36"/>
        </w:rPr>
        <w:t/>
      </w:r>
      <w:proofErr w:type="spellEnd"/>
      <w:r w:rsidRPr="00B27A29">
        <w:rPr>
          <w:rFonts w:eastAsiaTheme="minorEastAsia"/>
          <w:b/>
          <w:color w:themeColor="text1" w:val="000000"/>
          <w:sz w:val="36"/>
          <w:szCs w:val="36"/>
        </w:rPr>
        <w:t>2021年9月30日</w:t>
      </w:r>
    </w:p>
    <w:p w14:paraId="414230B8" w14:textId="77777777" w:rsidR="005E6DF3" w:rsidRDefault="005E6DF3" w:rsidRPr="00B27A29">
      <w:pPr>
        <w:spacing w:line="360" w:lineRule="auto"/>
        <w:jc w:val="center"/>
        <w:rPr>
          <w:rFonts w:eastAsiaTheme="minorEastAsia"/>
          <w:b/>
          <w:color w:themeColor="text1" w:val="000000"/>
          <w:szCs w:val="21"/>
        </w:rPr>
      </w:pPr>
    </w:p>
    <w:p w14:paraId="2353E753" w14:textId="77777777" w:rsidR="005E6DF3" w:rsidRDefault="005E6DF3" w:rsidRPr="00B27A29">
      <w:pPr>
        <w:spacing w:line="360" w:lineRule="auto"/>
        <w:jc w:val="center"/>
        <w:rPr>
          <w:rFonts w:eastAsiaTheme="minorEastAsia"/>
          <w:b/>
          <w:color w:themeColor="text1" w:val="000000"/>
          <w:szCs w:val="21"/>
        </w:rPr>
      </w:pPr>
    </w:p>
    <w:p w14:paraId="64DE24E1" w14:textId="77777777" w:rsidR="005E6DF3" w:rsidRDefault="005E6DF3" w:rsidRPr="00B27A29">
      <w:pPr>
        <w:spacing w:line="360" w:lineRule="auto"/>
        <w:jc w:val="center"/>
        <w:rPr>
          <w:rFonts w:eastAsiaTheme="minorEastAsia"/>
          <w:b/>
          <w:color w:themeColor="text1" w:val="000000"/>
          <w:szCs w:val="21"/>
        </w:rPr>
      </w:pPr>
    </w:p>
    <w:p w14:paraId="3939C1C0" w14:textId="77777777" w:rsidR="005E6DF3" w:rsidRDefault="005E6DF3" w:rsidRPr="00B27A29">
      <w:pPr>
        <w:spacing w:line="360" w:lineRule="auto"/>
        <w:jc w:val="center"/>
        <w:rPr>
          <w:rFonts w:eastAsiaTheme="minorEastAsia"/>
          <w:b/>
          <w:color w:themeColor="text1" w:val="000000"/>
          <w:szCs w:val="21"/>
        </w:rPr>
      </w:pPr>
    </w:p>
    <w:p w14:paraId="77CABFCF" w14:textId="77777777" w:rsidR="005E6DF3" w:rsidRDefault="005E6DF3" w:rsidRPr="00B27A29">
      <w:pPr>
        <w:spacing w:line="360" w:lineRule="auto"/>
        <w:jc w:val="center"/>
        <w:rPr>
          <w:rFonts w:eastAsiaTheme="minorEastAsia"/>
          <w:b/>
          <w:color w:themeColor="text1" w:val="000000"/>
          <w:szCs w:val="21"/>
        </w:rPr>
      </w:pPr>
    </w:p>
    <w:p w14:paraId="382D58F8" w14:textId="77777777" w:rsidR="005E6DF3" w:rsidRDefault="005E6DF3" w:rsidRPr="00B27A29">
      <w:pPr>
        <w:spacing w:line="360" w:lineRule="auto"/>
        <w:jc w:val="center"/>
        <w:rPr>
          <w:rFonts w:eastAsiaTheme="minorEastAsia"/>
          <w:b/>
          <w:color w:themeColor="text1" w:val="000000"/>
          <w:szCs w:val="21"/>
        </w:rPr>
      </w:pPr>
    </w:p>
    <w:p w14:paraId="3EBAE3CE" w14:textId="77777777" w:rsidR="005E6DF3" w:rsidRDefault="005E6DF3" w:rsidRPr="00B27A29">
      <w:pPr>
        <w:spacing w:line="360" w:lineRule="auto"/>
        <w:jc w:val="center"/>
        <w:rPr>
          <w:rFonts w:eastAsiaTheme="minorEastAsia"/>
          <w:b/>
          <w:color w:themeColor="text1" w:val="000000"/>
          <w:szCs w:val="21"/>
        </w:rPr>
      </w:pPr>
    </w:p>
    <w:p w14:paraId="22C23B24" w14:textId="77777777" w:rsidR="005E6DF3" w:rsidRDefault="005E6DF3" w:rsidRPr="00B27A29">
      <w:pPr>
        <w:spacing w:line="360" w:lineRule="auto"/>
        <w:jc w:val="center"/>
        <w:rPr>
          <w:rFonts w:eastAsiaTheme="minorEastAsia"/>
          <w:b/>
          <w:color w:themeColor="text1" w:val="000000"/>
          <w:szCs w:val="21"/>
        </w:rPr>
      </w:pPr>
    </w:p>
    <w:p w14:paraId="10639DBC" w14:textId="77777777" w:rsidR="005E6DF3" w:rsidRDefault="005E6DF3" w:rsidRPr="00B27A29">
      <w:pPr>
        <w:spacing w:line="360" w:lineRule="auto"/>
        <w:jc w:val="center"/>
        <w:rPr>
          <w:rFonts w:eastAsiaTheme="minorEastAsia"/>
          <w:b/>
          <w:color w:themeColor="text1" w:val="000000"/>
          <w:szCs w:val="21"/>
        </w:rPr>
      </w:pPr>
    </w:p>
    <w:p w14:paraId="58A6FDFA" w14:textId="77777777" w:rsidR="005E6DF3" w:rsidRDefault="005E6DF3" w:rsidRPr="00B27A29">
      <w:pPr>
        <w:spacing w:line="360" w:lineRule="auto"/>
        <w:jc w:val="center"/>
        <w:rPr>
          <w:rFonts w:eastAsiaTheme="minorEastAsia"/>
          <w:b/>
          <w:color w:themeColor="text1" w:val="000000"/>
          <w:szCs w:val="21"/>
        </w:rPr>
      </w:pPr>
    </w:p>
    <w:p w14:paraId="196A4101" w14:textId="77777777" w:rsidR="005E6DF3" w:rsidRDefault="005E6DF3" w:rsidRPr="00B27A29">
      <w:pPr>
        <w:spacing w:line="360" w:lineRule="auto"/>
        <w:jc w:val="center"/>
        <w:rPr>
          <w:rFonts w:eastAsiaTheme="minorEastAsia"/>
          <w:b/>
          <w:color w:themeColor="text1" w:val="000000"/>
          <w:szCs w:val="21"/>
        </w:rPr>
      </w:pPr>
    </w:p>
    <w:p w14:paraId="1C4C8D65" w14:textId="77777777" w:rsidR="005E6DF3" w:rsidRDefault="005E6DF3" w:rsidRPr="00B27A29">
      <w:pPr>
        <w:spacing w:line="360" w:lineRule="auto"/>
        <w:jc w:val="center"/>
        <w:rPr>
          <w:rFonts w:eastAsiaTheme="minorEastAsia"/>
          <w:b/>
          <w:color w:themeColor="text1" w:val="000000"/>
          <w:szCs w:val="21"/>
        </w:rPr>
      </w:pPr>
    </w:p>
    <w:p w14:paraId="3FD920DA" w14:textId="77777777" w:rsidR="005E6DF3" w:rsidRDefault="005E6DF3" w:rsidRPr="00B27A29">
      <w:pPr>
        <w:spacing w:line="360" w:lineRule="auto"/>
        <w:jc w:val="center"/>
        <w:rPr>
          <w:rFonts w:eastAsiaTheme="minorEastAsia"/>
          <w:b/>
          <w:color w:themeColor="text1" w:val="000000"/>
          <w:szCs w:val="21"/>
        </w:rPr>
      </w:pPr>
    </w:p>
    <w:p w14:paraId="07CE17C7" w14:textId="77777777" w:rsidR="005E6DF3" w:rsidRDefault="005E6DF3" w:rsidRPr="00B27A29">
      <w:pPr>
        <w:spacing w:line="360" w:lineRule="auto"/>
        <w:rPr>
          <w:rFonts w:eastAsiaTheme="minorEastAsia"/>
          <w:b/>
          <w:color w:themeColor="text1" w:val="000000"/>
          <w:szCs w:val="21"/>
        </w:rPr>
      </w:pPr>
    </w:p>
    <w:p w14:paraId="0872D2D6" w14:textId="77777777" w:rsidR="005E6DF3" w:rsidRDefault="005C671B" w:rsidRPr="00B27A29">
      <w:pPr>
        <w:spacing w:line="360" w:lineRule="auto"/>
        <w:ind w:firstLine="2168" w:firstLineChars="900"/>
        <w:rPr>
          <w:rFonts w:eastAsiaTheme="minorEastAsia"/>
          <w:b/>
          <w:color w:themeColor="text1" w:val="000000"/>
          <w:sz w:val="24"/>
        </w:rPr>
      </w:pPr>
      <w:r w:rsidRPr="00B27A29">
        <w:rPr>
          <w:rFonts w:eastAsiaTheme="minorEastAsia"/>
          <w:b/>
          <w:color w:themeColor="text1" w:val="000000"/>
          <w:sz w:val="24"/>
        </w:rPr>
        <w:t>基金管理人：</w:t>
      </w:r>
      <w:r w:rsidRPr="00B27A29">
        <w:rPr>
          <w:rFonts w:eastAsiaTheme="minorEastAsia"/>
          <w:b/>
          <w:color w:themeColor="text1" w:val="000000"/>
          <w:sz w:val="24"/>
        </w:rPr>
        <w:t/>
      </w:r>
      <w:proofErr w:type="spellStart"/>
      <w:r w:rsidRPr="00B27A29">
        <w:rPr>
          <w:rFonts w:eastAsiaTheme="minorEastAsia"/>
          <w:b/>
          <w:color w:themeColor="text1" w:val="000000"/>
          <w:sz w:val="24"/>
        </w:rPr>
        <w:t/>
      </w:r>
      <w:proofErr w:type="spellEnd"/>
      <w:r w:rsidRPr="00B27A29">
        <w:rPr>
          <w:rFonts w:eastAsiaTheme="minorEastAsia"/>
          <w:b/>
          <w:color w:themeColor="text1" w:val="000000"/>
          <w:sz w:val="24"/>
        </w:rPr>
        <w:t>上投摩根基金管理有限公司</w:t>
      </w:r>
    </w:p>
    <w:p w14:paraId="380F0F4B" w14:textId="77777777" w:rsidR="005E6DF3" w:rsidRDefault="005C671B" w:rsidRPr="00B27A29">
      <w:pPr>
        <w:spacing w:line="360" w:lineRule="auto"/>
        <w:ind w:firstLine="2168" w:firstLineChars="900"/>
        <w:rPr>
          <w:rFonts w:eastAsiaTheme="minorEastAsia"/>
          <w:b/>
          <w:color w:themeColor="text1" w:val="000000"/>
          <w:sz w:val="24"/>
        </w:rPr>
      </w:pPr>
      <w:r w:rsidRPr="00B27A29">
        <w:rPr>
          <w:rFonts w:eastAsiaTheme="minorEastAsia"/>
          <w:b/>
          <w:color w:themeColor="text1" w:val="000000"/>
          <w:sz w:val="24"/>
        </w:rPr>
        <w:t>基金托管人：</w:t>
      </w:r>
      <w:r w:rsidRPr="00B27A29">
        <w:rPr>
          <w:rFonts w:eastAsiaTheme="minorEastAsia"/>
          <w:b/>
          <w:color w:themeColor="text1" w:val="000000"/>
          <w:sz w:val="24"/>
        </w:rPr>
        <w:t/>
      </w:r>
      <w:proofErr w:type="spellStart"/>
      <w:r w:rsidRPr="00B27A29">
        <w:rPr>
          <w:rFonts w:eastAsiaTheme="minorEastAsia"/>
          <w:b/>
          <w:color w:themeColor="text1" w:val="000000"/>
          <w:sz w:val="24"/>
        </w:rPr>
        <w:t/>
      </w:r>
      <w:proofErr w:type="spellEnd"/>
      <w:r w:rsidRPr="00B27A29">
        <w:rPr>
          <w:rFonts w:eastAsiaTheme="minorEastAsia"/>
          <w:b/>
          <w:color w:themeColor="text1" w:val="000000"/>
          <w:sz w:val="24"/>
        </w:rPr>
        <w:t>兴业银行股份有限公司</w:t>
      </w:r>
    </w:p>
    <w:p w14:paraId="34CA88E3" w14:textId="77777777" w:rsidR="005E6DF3" w:rsidRDefault="005C671B" w:rsidRPr="00B27A29">
      <w:pPr>
        <w:spacing w:line="360" w:lineRule="auto"/>
        <w:ind w:firstLine="2168" w:firstLineChars="900"/>
        <w:rPr>
          <w:rFonts w:eastAsiaTheme="minorEastAsia"/>
          <w:color w:themeColor="text1" w:val="000000"/>
          <w:szCs w:val="21"/>
        </w:rPr>
        <w:sectPr w:rsidR="005E6DF3" w:rsidRPr="00B27A29">
          <w:headerReference r:id="rId8" w:type="default"/>
          <w:footerReference r:id="rId9" w:type="default"/>
          <w:pgSz w:h="15840" w:w="11926"/>
          <w:pgMar w:bottom="851" w:footer="992" w:gutter="0" w:header="851" w:left="1418" w:right="1418" w:top="1418"/>
          <w:cols w:space="720"/>
        </w:sectPr>
      </w:pPr>
      <w:r w:rsidRPr="00B27A29">
        <w:rPr>
          <w:rFonts w:eastAsiaTheme="minorEastAsia"/>
          <w:b/>
          <w:color w:themeColor="text1" w:val="000000"/>
          <w:sz w:val="24"/>
        </w:rPr>
        <w:t>报告送出日期：</w:t>
      </w:r>
      <w:r w:rsidRPr="00B27A29">
        <w:rPr>
          <w:rFonts w:eastAsiaTheme="minorEastAsia"/>
          <w:b/>
          <w:color w:themeColor="text1" w:val="000000"/>
          <w:sz w:val="24"/>
        </w:rPr>
        <w:t/>
      </w:r>
      <w:proofErr w:type="spellStart"/>
      <w:r w:rsidRPr="00B27A29">
        <w:rPr>
          <w:rFonts w:eastAsiaTheme="minorEastAsia"/>
          <w:b/>
          <w:color w:themeColor="text1" w:val="000000"/>
          <w:sz w:val="24"/>
        </w:rPr>
        <w:t/>
      </w:r>
      <w:proofErr w:type="spellEnd"/>
      <w:r w:rsidRPr="00B27A29">
        <w:rPr>
          <w:rFonts w:eastAsiaTheme="minorEastAsia"/>
          <w:b/>
          <w:color w:themeColor="text1" w:val="000000"/>
          <w:sz w:val="24"/>
        </w:rPr>
        <w:t>二〇二一年十月二十七日</w:t>
      </w:r>
    </w:p>
    <w:p w14:paraId="58F241BB" w14:textId="77777777" w:rsidR="005E6DF3" w:rsidRDefault="005C671B" w:rsidRPr="00B27A29">
      <w:pPr>
        <w:pStyle w:val="1"/>
        <w:spacing w:after="312" w:afterLines="100" w:before="312" w:beforeLines="100" w:line="360" w:lineRule="auto"/>
        <w:jc w:val="center"/>
        <w:rPr>
          <w:rFonts w:eastAsiaTheme="minorEastAsia"/>
          <w:b w:val="0"/>
          <w:color w:themeColor="text1" w:val="000000"/>
          <w:kern w:val="0"/>
          <w:sz w:val="21"/>
          <w:szCs w:val="21"/>
        </w:rPr>
      </w:pPr>
      <w:r w:rsidRPr="00B27A29">
        <w:rPr>
          <w:rFonts w:eastAsiaTheme="minorEastAsia"/>
          <w:color w:themeColor="text1" w:val="000000"/>
          <w:kern w:val="0"/>
          <w:sz w:val="21"/>
          <w:szCs w:val="21"/>
        </w:rPr>
        <w:lastRenderedPageBreak/>
        <w:t xml:space="preserve">§1  </w:t>
      </w:r>
      <w:r w:rsidRPr="00B27A29">
        <w:rPr>
          <w:rFonts w:eastAsiaTheme="minorEastAsia"/>
          <w:color w:themeColor="text1" w:val="000000"/>
          <w:kern w:val="0"/>
          <w:sz w:val="21"/>
          <w:szCs w:val="21"/>
        </w:rPr>
        <w:t>重要提示</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基金管理人的董事会及董事保证本报告所载资料不存在虚假记载、误导性陈述或重大遗漏，并对其内容的真实性、准确性和完整性承担个别及连带责任。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基金托管人兴业银行股份有限公司根据本基金合同规定，于2021年10月26日复核了本报告中的财务指标、净值表现和投资组合报告等内容，保证复核内容不存在虚假记载、误导性陈述或者重大遗漏。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基金管理人承诺以诚实信用、勤勉尽责的原则管理和运用基金资产，但不保证基金一定盈利。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基金的过往业绩并不代表其未来表现。投资有风险，投资者在作出投资决策前应仔细阅读本基金的招募说明书。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本报告中财务资料未经审计。</w:t>
      </w:r>
    </w:p>
    <w:p w14:paraId="60D097E5" w14:textId="77777777" w:rsidR="005E6DF3" w:rsidRDefault="005C671B" w:rsidRPr="00B27A29">
      <w:pPr>
        <w:spacing w:line="360" w:lineRule="auto"/>
        <w:ind w:firstLine="420" w:firstLineChars="200"/>
        <w:rPr>
          <w:rFonts w:eastAsiaTheme="minorEastAsia"/>
          <w:color w:themeColor="text1" w:val="000000"/>
          <w:szCs w:val="21"/>
        </w:rPr>
      </w:pPr>
      <w:r w:rsidRPr="00B27A29">
        <w:rPr>
          <w:rFonts w:eastAsiaTheme="minorEastAsia"/>
          <w:color w:themeColor="text1" w:val="000000"/>
          <w:szCs w:val="21"/>
        </w:rPr>
        <w:t/>
      </w:r>
      <w:proofErr w:type="spellStart"/>
      <w:r w:rsidRPr="00B27A29">
        <w:rPr>
          <w:rFonts w:eastAsiaTheme="minorEastAsia"/>
          <w:color w:themeColor="text1" w:val="000000"/>
          <w:szCs w:val="21"/>
        </w:rPr>
        <w:t/>
      </w:r>
      <w:proofErr w:type="spellEnd"/>
      <w:r w:rsidRPr="00B27A29">
        <w:rPr>
          <w:rFonts w:eastAsiaTheme="minorEastAsia"/>
          <w:color w:themeColor="text1" w:val="000000"/>
          <w:szCs w:val="21"/>
        </w:rPr>
        <w:t>本报告期自2021年7月1日起至9月30日止。</w:t>
      </w:r>
    </w:p>
    <w:p w14:paraId="3D601AC9" w14:textId="77777777" w:rsidR="005E6DF3" w:rsidRDefault="005C671B" w:rsidRPr="00B27A29">
      <w:pPr>
        <w:pStyle w:val="1"/>
        <w:spacing w:after="312" w:afterLines="100" w:before="312" w:beforeLines="100" w:line="360" w:lineRule="auto"/>
        <w:jc w:val="center"/>
        <w:rPr>
          <w:rFonts w:eastAsiaTheme="minorEastAsia"/>
          <w:color w:themeColor="text1" w:val="000000"/>
          <w:kern w:val="0"/>
          <w:sz w:val="21"/>
          <w:szCs w:val="21"/>
        </w:rPr>
      </w:pPr>
      <w:r w:rsidRPr="00B27A29">
        <w:rPr>
          <w:rFonts w:eastAsiaTheme="minorEastAsia"/>
          <w:color w:themeColor="text1" w:val="000000"/>
          <w:kern w:val="0"/>
          <w:sz w:val="21"/>
          <w:szCs w:val="21"/>
        </w:rPr>
        <w:t xml:space="preserve">§2  </w:t>
      </w:r>
      <w:r w:rsidRPr="00B27A29">
        <w:rPr>
          <w:rFonts w:eastAsiaTheme="minorEastAsia"/>
          <w:color w:themeColor="text1" w:val="000000"/>
          <w:kern w:val="0"/>
          <w:sz w:val="21"/>
          <w:szCs w:val="21"/>
        </w:rPr>
        <w:t>基金产品概况</w:t>
      </w:r>
    </w:p>
    <w:tbl>
      <w:tblPr>
        <w:tblW w:type="dxa" w:w="831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2835"/>
        <w:gridCol w:w="2739"/>
        <w:gridCol w:w="2740"/>
      </w:tblGrid>
      <w:tr w14:paraId="77EE61EB" w14:textId="77777777" w:rsidR="005E6DF3" w:rsidRPr="00B27A29">
        <w:tc>
          <w:tcPr>
            <w:tcW w:type="dxa" w:w="2835"/>
            <w:vAlign w:val="center"/>
          </w:tcPr>
          <w:p w14:paraId="2AF06EC2" w14:textId="77777777" w:rsidR="005E6DF3" w:rsidRDefault="005C671B" w:rsidRPr="00B27A29">
            <w:pPr>
              <w:adjustRightInd w:val="0"/>
              <w:spacing w:before="29" w:line="360" w:lineRule="auto"/>
              <w:ind w:left="17"/>
              <w:rPr>
                <w:rFonts w:eastAsiaTheme="minorEastAsia"/>
                <w:color w:themeColor="text1" w:val="000000"/>
                <w:kern w:val="0"/>
                <w:szCs w:val="21"/>
              </w:rPr>
            </w:pPr>
            <w:r w:rsidRPr="00B27A29">
              <w:rPr>
                <w:rFonts w:eastAsiaTheme="minorEastAsia"/>
                <w:color w:themeColor="text1" w:val="000000"/>
                <w:kern w:val="0"/>
                <w:szCs w:val="21"/>
              </w:rPr>
              <w:t>基金简称</w:t>
            </w:r>
          </w:p>
        </w:tc>
        <w:tc>
          <w:tcPr>
            <w:tcW w:type="dxa" w:w="5479"/>
            <w:gridSpan w:val="2"/>
            <w:vAlign w:val="center"/>
          </w:tcPr>
          <w:p w14:paraId="64D5C4DE" w14:textId="77777777" w:rsidR="005E6DF3" w:rsidRDefault="005C671B" w:rsidRPr="00B27A29">
            <w:pPr>
              <w:adjustRightInd w:val="0"/>
              <w:spacing w:before="29" w:line="360" w:lineRule="auto"/>
              <w:ind w:left="17"/>
              <w:rPr>
                <w:rFonts w:eastAsiaTheme="minorEastAsia"/>
                <w:color w:themeColor="text1" w:val="000000"/>
                <w:kern w:val="0"/>
                <w:szCs w:val="21"/>
              </w:rPr>
            </w:pPr>
            <w:r w:rsidRPr="00B27A29">
              <w:rPr>
                <w:rFonts w:eastAsiaTheme="minorEastAsia"/>
                <w:color w:themeColor="text1" w:val="000000"/>
                <w:kern w:val="0"/>
                <w:szCs w:val="21"/>
              </w:rPr>
              <w:t/>
            </w:r>
            <w:proofErr w:type="spellStart"/>
            <w:r w:rsidRPr="00B27A29">
              <w:rPr>
                <w:rFonts w:eastAsiaTheme="minorEastAsia"/>
                <w:color w:themeColor="text1" w:val="000000"/>
                <w:kern w:val="0"/>
                <w:szCs w:val="21"/>
              </w:rPr>
              <w:t/>
            </w:r>
            <w:proofErr w:type="spellEnd"/>
            <w:r w:rsidRPr="00B27A29">
              <w:rPr>
                <w:rFonts w:eastAsiaTheme="minorEastAsia"/>
                <w:color w:themeColor="text1" w:val="000000"/>
                <w:kern w:val="0"/>
                <w:szCs w:val="21"/>
              </w:rPr>
              <w:t>上投摩根瑞益纯债债券</w:t>
            </w:r>
          </w:p>
        </w:tc>
      </w:tr>
      <w:tr w14:paraId="06C24646" w14:textId="77777777" w:rsidR="005E6DF3" w:rsidRPr="00B27A29">
        <w:tc>
          <w:tcPr>
            <w:tcW w:type="dxa" w:w="2835"/>
            <w:vAlign w:val="center"/>
          </w:tcPr>
          <w:p w14:paraId="08A33FC4" w14:textId="77777777" w:rsidR="005E6DF3" w:rsidRDefault="005C671B" w:rsidRPr="00B27A29">
            <w:pPr>
              <w:adjustRightInd w:val="0"/>
              <w:spacing w:before="29" w:line="360" w:lineRule="auto"/>
              <w:ind w:left="17"/>
              <w:rPr>
                <w:rFonts w:eastAsiaTheme="minorEastAsia"/>
                <w:color w:themeColor="text1" w:val="000000"/>
                <w:kern w:val="0"/>
                <w:szCs w:val="21"/>
              </w:rPr>
            </w:pPr>
            <w:r w:rsidRPr="00B27A29">
              <w:rPr>
                <w:rFonts w:eastAsiaTheme="minorEastAsia"/>
                <w:color w:themeColor="text1" w:val="000000"/>
                <w:kern w:val="0"/>
                <w:szCs w:val="21"/>
              </w:rPr>
              <w:t>基金主代码</w:t>
            </w:r>
          </w:p>
        </w:tc>
        <w:tc>
          <w:tcPr>
            <w:tcW w:type="dxa" w:w="5479"/>
            <w:gridSpan w:val="2"/>
            <w:tcBorders>
              <w:bottom w:color="auto" w:space="0" w:sz="4" w:val="single"/>
            </w:tcBorders>
            <w:vAlign w:val="center"/>
          </w:tcPr>
          <w:p w14:paraId="79D1F573" w14:textId="77777777" w:rsidR="005E6DF3" w:rsidRDefault="005C671B" w:rsidRPr="00B27A29">
            <w:pPr>
              <w:adjustRightInd w:val="0"/>
              <w:spacing w:before="29" w:line="360" w:lineRule="auto"/>
              <w:ind w:left="17"/>
              <w:rPr>
                <w:rFonts w:eastAsiaTheme="minorEastAsia"/>
                <w:color w:themeColor="text1" w:val="000000"/>
                <w:kern w:val="0"/>
                <w:szCs w:val="21"/>
              </w:rPr>
            </w:pPr>
            <w:r w:rsidRPr="00B27A29">
              <w:rPr>
                <w:rFonts w:eastAsiaTheme="minorEastAsia"/>
                <w:color w:themeColor="text1" w:val="000000"/>
                <w:kern w:val="0"/>
                <w:szCs w:val="21"/>
              </w:rPr>
              <w:t/>
            </w:r>
            <w:proofErr w:type="spellStart"/>
            <w:r w:rsidRPr="00B27A29">
              <w:rPr>
                <w:rFonts w:eastAsiaTheme="minorEastAsia"/>
                <w:color w:themeColor="text1" w:val="000000"/>
                <w:kern w:val="0"/>
                <w:szCs w:val="21"/>
              </w:rPr>
              <w:t/>
            </w:r>
            <w:proofErr w:type="spellEnd"/>
            <w:r w:rsidRPr="00B27A29">
              <w:rPr>
                <w:rFonts w:eastAsiaTheme="minorEastAsia"/>
                <w:color w:themeColor="text1" w:val="000000"/>
                <w:kern w:val="0"/>
                <w:szCs w:val="21"/>
              </w:rPr>
              <w:t>007329</w:t>
            </w:r>
          </w:p>
        </w:tc>
      </w:tr>
      <w:tr w14:paraId="5FDD259D" w14:textId="77777777" w:rsidR="005E6DF3" w:rsidRPr="00B27A29">
        <w:tc>
          <w:tcPr>
            <w:tcW w:type="dxa" w:w="2835"/>
            <w:vAlign w:val="center"/>
          </w:tcPr>
          <w:p w14:paraId="09B9FD26" w14:textId="77777777" w:rsidR="005E6DF3" w:rsidRDefault="005C671B" w:rsidRPr="00B27A29">
            <w:pPr>
              <w:adjustRightInd w:val="0"/>
              <w:spacing w:before="29" w:line="360" w:lineRule="auto"/>
              <w:ind w:left="17"/>
              <w:rPr>
                <w:rFonts w:eastAsiaTheme="minorEastAsia"/>
                <w:color w:themeColor="text1" w:val="000000"/>
                <w:szCs w:val="21"/>
              </w:rPr>
            </w:pPr>
            <w:r w:rsidRPr="00B27A29">
              <w:rPr>
                <w:rFonts w:eastAsiaTheme="minorEastAsia"/>
                <w:color w:themeColor="text1" w:val="000000"/>
                <w:kern w:val="0"/>
                <w:szCs w:val="21"/>
              </w:rPr>
              <w:t>基金运作方式</w:t>
            </w:r>
          </w:p>
        </w:tc>
        <w:tc>
          <w:tcPr>
            <w:tcW w:type="dxa" w:w="5479"/>
            <w:gridSpan w:val="2"/>
            <w:tcBorders>
              <w:top w:color="auto" w:space="0" w:sz="4" w:val="single"/>
            </w:tcBorders>
            <w:vAlign w:val="center"/>
          </w:tcPr>
          <w:p w14:paraId="3F3142D1" w14:textId="77777777" w:rsidR="005E6DF3" w:rsidRDefault="005C671B" w:rsidRPr="00B27A29">
            <w:pPr>
              <w:adjustRightInd w:val="0"/>
              <w:spacing w:before="29" w:line="360" w:lineRule="auto"/>
              <w:ind w:left="17"/>
              <w:rPr>
                <w:rFonts w:eastAsiaTheme="minorEastAsia"/>
                <w:color w:themeColor="text1" w:val="000000"/>
                <w:szCs w:val="21"/>
              </w:rPr>
            </w:pPr>
            <w:r w:rsidRPr="00B27A29">
              <w:rPr>
                <w:rFonts w:eastAsiaTheme="minorEastAsia"/>
                <w:color w:themeColor="text1" w:val="000000"/>
                <w:kern w:val="0"/>
                <w:szCs w:val="21"/>
              </w:rPr>
              <w:t/>
            </w:r>
            <w:proofErr w:type="spellStart"/>
            <w:r w:rsidRPr="00B27A29">
              <w:rPr>
                <w:rFonts w:eastAsiaTheme="minorEastAsia"/>
                <w:color w:themeColor="text1" w:val="000000"/>
                <w:kern w:val="0"/>
                <w:szCs w:val="21"/>
              </w:rPr>
              <w:t/>
            </w:r>
            <w:proofErr w:type="spellEnd"/>
            <w:r w:rsidRPr="00B27A29">
              <w:rPr>
                <w:rFonts w:eastAsiaTheme="minorEastAsia"/>
                <w:color w:themeColor="text1" w:val="000000"/>
                <w:kern w:val="0"/>
                <w:szCs w:val="21"/>
              </w:rPr>
              <w:t>契约型开放式</w:t>
            </w:r>
          </w:p>
        </w:tc>
      </w:tr>
      <w:tr w14:paraId="44F37806" w14:textId="77777777" w:rsidR="005E6DF3" w:rsidRPr="00B27A29">
        <w:tc>
          <w:tcPr>
            <w:tcW w:type="dxa" w:w="2835"/>
            <w:vAlign w:val="center"/>
          </w:tcPr>
          <w:p w14:paraId="41F8E222" w14:textId="77777777" w:rsidR="005E6DF3" w:rsidRDefault="005C671B" w:rsidRPr="00B27A29">
            <w:pPr>
              <w:adjustRightInd w:val="0"/>
              <w:spacing w:before="29" w:line="360" w:lineRule="auto"/>
              <w:ind w:left="17"/>
              <w:rPr>
                <w:rFonts w:eastAsiaTheme="minorEastAsia"/>
                <w:color w:themeColor="text1" w:val="000000"/>
                <w:szCs w:val="21"/>
              </w:rPr>
            </w:pPr>
            <w:r w:rsidRPr="00B27A29">
              <w:rPr>
                <w:rFonts w:eastAsiaTheme="minorEastAsia"/>
                <w:color w:themeColor="text1" w:val="000000"/>
                <w:kern w:val="0"/>
                <w:szCs w:val="21"/>
              </w:rPr>
              <w:t>基金合同生效日</w:t>
            </w:r>
          </w:p>
        </w:tc>
        <w:tc>
          <w:tcPr>
            <w:tcW w:type="dxa" w:w="5479"/>
            <w:gridSpan w:val="2"/>
            <w:vAlign w:val="center"/>
          </w:tcPr>
          <w:p w14:paraId="040813FD" w14:textId="77777777" w:rsidR="005E6DF3" w:rsidRDefault="005C671B" w:rsidRPr="00B27A29">
            <w:pPr>
              <w:adjustRightInd w:val="0"/>
              <w:spacing w:before="29" w:line="360" w:lineRule="auto"/>
              <w:ind w:left="17"/>
              <w:rPr>
                <w:rFonts w:eastAsiaTheme="minorEastAsia"/>
                <w:color w:themeColor="text1" w:val="000000"/>
                <w:kern w:val="0"/>
                <w:szCs w:val="21"/>
              </w:rPr>
            </w:pPr>
            <w:r w:rsidRPr="00B27A29">
              <w:rPr>
                <w:rFonts w:eastAsiaTheme="minorEastAsia"/>
                <w:color w:themeColor="text1" w:val="000000"/>
                <w:kern w:val="0"/>
                <w:szCs w:val="21"/>
              </w:rPr>
              <w:t/>
            </w:r>
            <w:proofErr w:type="spellStart"/>
            <w:r w:rsidRPr="00B27A29">
              <w:rPr>
                <w:rFonts w:eastAsiaTheme="minorEastAsia"/>
                <w:color w:themeColor="text1" w:val="000000"/>
                <w:kern w:val="0"/>
                <w:szCs w:val="21"/>
              </w:rPr>
              <w:t/>
            </w:r>
            <w:proofErr w:type="spellEnd"/>
            <w:r w:rsidRPr="00B27A29">
              <w:rPr>
                <w:rFonts w:eastAsiaTheme="minorEastAsia"/>
                <w:color w:themeColor="text1" w:val="000000"/>
                <w:kern w:val="0"/>
                <w:szCs w:val="21"/>
              </w:rPr>
              <w:t>2019年11月26日</w:t>
            </w:r>
          </w:p>
        </w:tc>
      </w:tr>
      <w:tr w14:paraId="0FC57815" w14:textId="77777777" w:rsidR="005E6DF3" w:rsidRPr="00B27A29">
        <w:tc>
          <w:tcPr>
            <w:tcW w:type="dxa" w:w="2835"/>
            <w:vAlign w:val="center"/>
          </w:tcPr>
          <w:p w14:paraId="4B5050FA" w14:textId="77777777" w:rsidR="005E6DF3" w:rsidRDefault="005C671B" w:rsidRPr="00B27A29">
            <w:pPr>
              <w:adjustRightInd w:val="0"/>
              <w:spacing w:before="29" w:line="360" w:lineRule="auto"/>
              <w:ind w:left="17"/>
              <w:rPr>
                <w:rFonts w:eastAsiaTheme="minorEastAsia"/>
                <w:color w:themeColor="text1" w:val="000000"/>
                <w:szCs w:val="21"/>
              </w:rPr>
            </w:pPr>
            <w:r w:rsidRPr="00B27A29">
              <w:rPr>
                <w:rFonts w:eastAsiaTheme="minorEastAsia"/>
                <w:color w:themeColor="text1" w:val="000000"/>
                <w:kern w:val="0"/>
                <w:szCs w:val="21"/>
              </w:rPr>
              <w:t>报告期末基金份额总额</w:t>
            </w:r>
          </w:p>
        </w:tc>
        <w:tc>
          <w:tcPr>
            <w:tcW w:type="dxa" w:w="5479"/>
            <w:gridSpan w:val="2"/>
            <w:vAlign w:val="center"/>
          </w:tcPr>
          <w:p w14:paraId="633F55A5" w14:textId="77777777" w:rsidR="005E6DF3" w:rsidRDefault="005C671B" w:rsidRPr="00B27A29">
            <w:pPr>
              <w:adjustRightInd w:val="0"/>
              <w:spacing w:before="29" w:line="360" w:lineRule="auto"/>
              <w:ind w:left="17"/>
              <w:rPr>
                <w:rFonts w:eastAsiaTheme="minorEastAsia"/>
                <w:color w:themeColor="text1" w:val="000000"/>
                <w:szCs w:val="21"/>
              </w:rPr>
            </w:pPr>
            <w:r w:rsidRPr="00B27A29">
              <w:rPr>
                <w:rFonts w:eastAsiaTheme="minorEastAsia"/>
                <w:color w:themeColor="text1" w:val="000000"/>
                <w:kern w:val="0"/>
                <w:szCs w:val="21"/>
              </w:rPr>
              <w:t/>
            </w:r>
            <w:proofErr w:type="spellStart"/>
            <w:r w:rsidRPr="00B27A29">
              <w:rPr>
                <w:rFonts w:eastAsiaTheme="minorEastAsia"/>
                <w:color w:themeColor="text1" w:val="000000"/>
                <w:kern w:val="0"/>
                <w:szCs w:val="21"/>
              </w:rPr>
              <w:t/>
            </w:r>
            <w:proofErr w:type="spellEnd"/>
            <w:r w:rsidRPr="00B27A29">
              <w:rPr>
                <w:rFonts w:eastAsiaTheme="minorEastAsia"/>
                <w:color w:themeColor="text1" w:val="000000"/>
                <w:kern w:val="0"/>
                <w:szCs w:val="21"/>
              </w:rPr>
              <w:t>163,760,387.51</w:t>
            </w:r>
            <w:r w:rsidRPr="00B27A29">
              <w:rPr>
                <w:rFonts w:eastAsiaTheme="minorEastAsia"/>
                <w:color w:themeColor="text1" w:val="000000"/>
                <w:kern w:val="0"/>
                <w:szCs w:val="21"/>
              </w:rPr>
              <w:t>份</w:t>
            </w:r>
          </w:p>
        </w:tc>
      </w:tr>
      <w:tr w14:paraId="1A3A8C6E" w14:textId="77777777" w:rsidR="005E6DF3" w:rsidRPr="00B27A29">
        <w:tc>
          <w:tcPr>
            <w:tcW w:type="dxa" w:w="2835"/>
            <w:vAlign w:val="center"/>
          </w:tcPr>
          <w:p w14:paraId="259C68A4" w14:textId="77777777" w:rsidR="005E6DF3" w:rsidRDefault="005C671B" w:rsidRPr="00B27A29">
            <w:pPr>
              <w:adjustRightInd w:val="0"/>
              <w:spacing w:before="29" w:line="360" w:lineRule="auto"/>
              <w:ind w:left="17"/>
              <w:rPr>
                <w:rFonts w:eastAsiaTheme="minorEastAsia"/>
                <w:color w:themeColor="text1" w:val="000000"/>
                <w:szCs w:val="21"/>
              </w:rPr>
            </w:pPr>
            <w:r w:rsidRPr="00B27A29">
              <w:rPr>
                <w:rFonts w:eastAsiaTheme="minorEastAsia"/>
                <w:color w:themeColor="text1" w:val="000000"/>
                <w:kern w:val="0"/>
                <w:szCs w:val="21"/>
              </w:rPr>
              <w:t>投资目标</w:t>
            </w:r>
          </w:p>
        </w:tc>
        <w:tc>
          <w:tcPr>
            <w:tcW w:type="dxa" w:w="5479"/>
            <w:gridSpan w:val="2"/>
            <w:vAlign w:val="center"/>
          </w:tcPr>
          <w:p w14:paraId="7C671917" w14:textId="77777777" w:rsidR="005E6DF3" w:rsidRDefault="005C671B" w:rsidRPr="00B27A29">
            <w:pPr>
              <w:adjustRightInd w:val="0"/>
              <w:spacing w:before="29" w:line="360" w:lineRule="auto"/>
              <w:ind w:left="17"/>
              <w:rPr>
                <w:rFonts w:eastAsiaTheme="minorEastAsia"/>
                <w:color w:themeColor="text1" w:val="000000"/>
                <w:szCs w:val="21"/>
              </w:rPr>
            </w:pPr>
            <w:r w:rsidRPr="00B27A29">
              <w:rPr>
                <w:rFonts w:eastAsiaTheme="minorEastAsia"/>
                <w:color w:themeColor="text1" w:val="000000"/>
                <w:kern w:val="0"/>
                <w:szCs w:val="21"/>
              </w:rPr>
              <w:t/>
            </w:r>
            <w:proofErr w:type="spellStart"/>
            <w:r w:rsidRPr="00B27A29">
              <w:rPr>
                <w:rFonts w:eastAsiaTheme="minorEastAsia"/>
                <w:color w:themeColor="text1" w:val="000000"/>
                <w:kern w:val="0"/>
                <w:szCs w:val="21"/>
              </w:rPr>
              <w:t/>
            </w:r>
            <w:proofErr w:type="spellEnd"/>
            <w:r w:rsidRPr="00B27A29">
              <w:rPr>
                <w:rFonts w:eastAsiaTheme="minorEastAsia"/>
                <w:color w:themeColor="text1" w:val="000000"/>
                <w:kern w:val="0"/>
                <w:szCs w:val="21"/>
              </w:rPr>
              <w:t xml:space="preserve">在严格控制风险的前提下，通过积极主动地投资管理，力争实现长期稳定的投资回报。  </w:t>
            </w:r>
          </w:p>
        </w:tc>
      </w:tr>
      <w:tr w14:paraId="5876F692" w14:textId="77777777" w:rsidR="005E6DF3" w:rsidRPr="00B27A29">
        <w:tc>
          <w:tcPr>
            <w:tcW w:type="dxa" w:w="2835"/>
            <w:vAlign w:val="center"/>
          </w:tcPr>
          <w:p w14:paraId="532A2237" w14:textId="77777777" w:rsidR="005E6DF3" w:rsidRDefault="005C671B" w:rsidRPr="00B27A29">
            <w:pPr>
              <w:adjustRightInd w:val="0"/>
              <w:spacing w:before="29" w:line="360" w:lineRule="auto"/>
              <w:ind w:left="17"/>
              <w:rPr>
                <w:rFonts w:eastAsiaTheme="minorEastAsia"/>
                <w:color w:themeColor="text1" w:val="000000"/>
                <w:szCs w:val="21"/>
              </w:rPr>
            </w:pPr>
            <w:r w:rsidRPr="00B27A29">
              <w:rPr>
                <w:rFonts w:eastAsiaTheme="minorEastAsia"/>
                <w:color w:themeColor="text1" w:val="000000"/>
                <w:kern w:val="0"/>
                <w:szCs w:val="21"/>
              </w:rPr>
              <w:t>投资策略</w:t>
            </w:r>
          </w:p>
        </w:tc>
        <w:tc>
          <w:tcPr>
            <w:tcW w:type="dxa" w:w="5479"/>
            <w:gridSpan w:val="2"/>
            <w:vAlign w:val="center"/>
          </w:tcPr>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本基金将评估不同债券类型之间的相对投资价值，确定债券类属配置策略，基于对市场利率的变化趋势的预判，相应的调整债券组合的久期。资产组合中的长、中、短期债券主要根据收益率曲线形状的变化进行合理配置，适时采用各种投资策略构造组合，并进行动态调整。</w:t>
            </w:r>
          </w:p>
          <w:p w14:paraId="126F720C" w14:textId="77777777" w:rsidR="005E6DF3" w:rsidRDefault="005C671B" w:rsidRPr="00B27A29">
            <w:pPr>
              <w:adjustRightInd w:val="0"/>
              <w:spacing w:before="29" w:line="360" w:lineRule="auto"/>
              <w:ind w:left="17"/>
              <w:rPr>
                <w:rFonts w:eastAsiaTheme="minorEastAsia"/>
                <w:color w:themeColor="text1" w:val="000000"/>
                <w:szCs w:val="21"/>
              </w:rPr>
            </w:pPr>
            <w:r w:rsidRPr="00B27A29">
              <w:rPr>
                <w:rFonts w:eastAsiaTheme="minorEastAsia"/>
                <w:color w:themeColor="text1" w:val="000000"/>
                <w:kern w:val="0"/>
                <w:szCs w:val="21"/>
              </w:rPr>
              <w:t/>
            </w:r>
            <w:proofErr w:type="spellStart"/>
            <w:r w:rsidRPr="00B27A29">
              <w:rPr>
                <w:rFonts w:eastAsiaTheme="minorEastAsia"/>
                <w:color w:themeColor="text1" w:val="000000"/>
                <w:kern w:val="0"/>
                <w:szCs w:val="21"/>
              </w:rPr>
              <w:t/>
            </w:r>
            <w:proofErr w:type="spellEnd"/>
            <w:r w:rsidRPr="00B27A29">
              <w:rPr>
                <w:rFonts w:eastAsiaTheme="minorEastAsia"/>
                <w:color w:themeColor="text1" w:val="000000"/>
                <w:kern w:val="0"/>
                <w:szCs w:val="21"/>
              </w:rPr>
              <w:t>其他投资策略：包括信用策略、回购策略、资产支持证券投资策略、证券公司短期公司债券投资策略、国债期货投资策略。</w:t>
            </w:r>
          </w:p>
        </w:tc>
      </w:tr>
      <w:tr w14:paraId="6B3E3F3F" w14:textId="77777777" w:rsidR="005E6DF3" w:rsidRPr="00B27A29">
        <w:tc>
          <w:tcPr>
            <w:tcW w:type="dxa" w:w="2835"/>
            <w:vAlign w:val="center"/>
          </w:tcPr>
          <w:p w14:paraId="66DE326D" w14:textId="77777777" w:rsidR="005E6DF3" w:rsidRDefault="005C671B" w:rsidRPr="00B27A29">
            <w:pPr>
              <w:adjustRightInd w:val="0"/>
              <w:spacing w:before="29" w:line="360" w:lineRule="auto"/>
              <w:ind w:left="17"/>
              <w:rPr>
                <w:rFonts w:eastAsiaTheme="minorEastAsia"/>
                <w:color w:themeColor="text1" w:val="000000"/>
                <w:szCs w:val="21"/>
              </w:rPr>
            </w:pPr>
            <w:r w:rsidRPr="00B27A29">
              <w:rPr>
                <w:rFonts w:eastAsiaTheme="minorEastAsia"/>
                <w:color w:themeColor="text1" w:val="000000"/>
                <w:kern w:val="0"/>
                <w:szCs w:val="21"/>
              </w:rPr>
              <w:t>业绩比较基准</w:t>
            </w:r>
          </w:p>
        </w:tc>
        <w:tc>
          <w:tcPr>
            <w:tcW w:type="dxa" w:w="5479"/>
            <w:gridSpan w:val="2"/>
            <w:vAlign w:val="center"/>
          </w:tcPr>
          <w:p w14:paraId="7541754F" w14:textId="77777777" w:rsidR="005E6DF3" w:rsidRDefault="005C671B" w:rsidRPr="00B27A29">
            <w:pPr>
              <w:adjustRightInd w:val="0"/>
              <w:spacing w:before="29" w:line="360" w:lineRule="auto"/>
              <w:ind w:left="17"/>
              <w:rPr>
                <w:rFonts w:eastAsiaTheme="minorEastAsia"/>
                <w:color w:themeColor="text1" w:val="000000"/>
                <w:szCs w:val="21"/>
              </w:rPr>
            </w:pPr>
            <w:r w:rsidRPr="00B27A29">
              <w:rPr>
                <w:rFonts w:eastAsiaTheme="minorEastAsia"/>
                <w:color w:themeColor="text1" w:val="000000"/>
                <w:kern w:val="0"/>
                <w:szCs w:val="21"/>
              </w:rPr>
              <w:t/>
            </w:r>
            <w:proofErr w:type="spellStart"/>
            <w:r w:rsidRPr="00B27A29">
              <w:rPr>
                <w:rFonts w:eastAsiaTheme="minorEastAsia"/>
                <w:color w:themeColor="text1" w:val="000000"/>
                <w:kern w:val="0"/>
                <w:szCs w:val="21"/>
              </w:rPr>
              <w:t/>
            </w:r>
            <w:proofErr w:type="spellEnd"/>
            <w:r w:rsidRPr="00B27A29">
              <w:rPr>
                <w:rFonts w:eastAsiaTheme="minorEastAsia"/>
                <w:color w:themeColor="text1" w:val="000000"/>
                <w:kern w:val="0"/>
                <w:szCs w:val="21"/>
              </w:rPr>
              <w:t>中证综合债券指数收益率</w:t>
            </w:r>
          </w:p>
        </w:tc>
      </w:tr>
      <w:tr w14:paraId="09F30C0F" w14:textId="77777777" w:rsidR="005E6DF3" w:rsidRPr="00B27A29">
        <w:tc>
          <w:tcPr>
            <w:tcW w:type="dxa" w:w="2835"/>
            <w:vAlign w:val="center"/>
          </w:tcPr>
          <w:p w14:paraId="4E0D554A" w14:textId="77777777" w:rsidR="005E6DF3" w:rsidRDefault="005C671B" w:rsidRPr="00B27A29">
            <w:pPr>
              <w:adjustRightInd w:val="0"/>
              <w:spacing w:before="29" w:line="360" w:lineRule="auto"/>
              <w:ind w:left="17"/>
              <w:rPr>
                <w:rFonts w:eastAsiaTheme="minorEastAsia"/>
                <w:color w:themeColor="text1" w:val="000000"/>
                <w:szCs w:val="21"/>
              </w:rPr>
            </w:pPr>
            <w:r w:rsidRPr="00B27A29">
              <w:rPr>
                <w:rFonts w:eastAsiaTheme="minorEastAsia"/>
                <w:color w:themeColor="text1" w:val="000000"/>
                <w:kern w:val="0"/>
                <w:szCs w:val="21"/>
              </w:rPr>
              <w:t>风险收益特征</w:t>
            </w:r>
          </w:p>
        </w:tc>
        <w:tc>
          <w:tcPr>
            <w:tcW w:type="dxa" w:w="5479"/>
            <w:gridSpan w:val="2"/>
            <w:vAlign w:val="center"/>
          </w:tcPr>
          <w:p w14:paraId="708DC608" w14:textId="77777777" w:rsidR="005E6DF3" w:rsidRDefault="005C671B" w:rsidRPr="00B27A29">
            <w:pPr>
              <w:adjustRightInd w:val="0"/>
              <w:spacing w:before="29" w:line="360" w:lineRule="auto"/>
              <w:ind w:left="17"/>
              <w:rPr>
                <w:rFonts w:eastAsiaTheme="minorEastAsia"/>
                <w:color w:themeColor="text1" w:val="000000"/>
                <w:szCs w:val="21"/>
              </w:rPr>
            </w:pPr>
            <w:r w:rsidRPr="00B27A29">
              <w:rPr>
                <w:rFonts w:eastAsiaTheme="minorEastAsia"/>
                <w:color w:themeColor="text1" w:val="000000"/>
                <w:kern w:val="0"/>
                <w:szCs w:val="21"/>
              </w:rPr>
              <w:t/>
            </w:r>
            <w:proofErr w:type="spellStart"/>
            <w:r w:rsidRPr="00B27A29">
              <w:rPr>
                <w:rFonts w:eastAsiaTheme="minorEastAsia"/>
                <w:color w:themeColor="text1" w:val="000000"/>
                <w:kern w:val="0"/>
                <w:szCs w:val="21"/>
              </w:rPr>
              <w:t/>
            </w:r>
            <w:proofErr w:type="spellEnd"/>
            <w:r w:rsidRPr="00B27A29">
              <w:rPr>
                <w:rFonts w:eastAsiaTheme="minorEastAsia"/>
                <w:color w:themeColor="text1" w:val="000000"/>
                <w:kern w:val="0"/>
                <w:szCs w:val="21"/>
              </w:rPr>
              <w:t>本基金为债券型基金，预期风险和预期收益高于货币市场基金，低于混合型基金和股票型基金。</w:t>
            </w:r>
          </w:p>
        </w:tc>
      </w:tr>
      <w:tr w14:paraId="51A78BF3" w14:textId="77777777" w:rsidR="005E6DF3" w:rsidRPr="00B27A29">
        <w:tc>
          <w:tcPr>
            <w:tcW w:type="dxa" w:w="2835"/>
            <w:vAlign w:val="center"/>
          </w:tcPr>
          <w:p w14:paraId="4C224555" w14:textId="77777777" w:rsidR="005E6DF3" w:rsidRDefault="005C671B" w:rsidRPr="00B27A29">
            <w:pPr>
              <w:adjustRightInd w:val="0"/>
              <w:spacing w:before="29" w:line="360" w:lineRule="auto"/>
              <w:ind w:left="17"/>
              <w:rPr>
                <w:rFonts w:eastAsiaTheme="minorEastAsia"/>
                <w:color w:themeColor="text1" w:val="000000"/>
                <w:szCs w:val="21"/>
              </w:rPr>
            </w:pPr>
            <w:r w:rsidRPr="00B27A29">
              <w:rPr>
                <w:rFonts w:eastAsiaTheme="minorEastAsia"/>
                <w:color w:themeColor="text1" w:val="000000"/>
                <w:kern w:val="0"/>
                <w:szCs w:val="21"/>
              </w:rPr>
              <w:t>基金管理人</w:t>
            </w:r>
          </w:p>
        </w:tc>
        <w:tc>
          <w:tcPr>
            <w:tcW w:type="dxa" w:w="5479"/>
            <w:gridSpan w:val="2"/>
            <w:vAlign w:val="center"/>
          </w:tcPr>
          <w:p w14:paraId="59CABC52" w14:textId="77777777" w:rsidR="005E6DF3" w:rsidRDefault="005C671B" w:rsidRPr="00B27A29">
            <w:pPr>
              <w:adjustRightInd w:val="0"/>
              <w:spacing w:before="29" w:line="360" w:lineRule="auto"/>
              <w:ind w:left="17"/>
              <w:rPr>
                <w:rFonts w:eastAsiaTheme="minorEastAsia"/>
                <w:color w:themeColor="text1" w:val="000000"/>
                <w:szCs w:val="21"/>
              </w:rPr>
            </w:pPr>
            <w:r w:rsidRPr="00B27A29">
              <w:rPr>
                <w:rFonts w:eastAsiaTheme="minorEastAsia"/>
                <w:color w:themeColor="text1" w:val="000000"/>
                <w:kern w:val="0"/>
                <w:szCs w:val="21"/>
              </w:rPr>
              <w:t/>
            </w:r>
            <w:proofErr w:type="spellStart"/>
            <w:r w:rsidRPr="00B27A29">
              <w:rPr>
                <w:rFonts w:eastAsiaTheme="minorEastAsia"/>
                <w:color w:themeColor="text1" w:val="000000"/>
                <w:kern w:val="0"/>
                <w:szCs w:val="21"/>
              </w:rPr>
              <w:t/>
            </w:r>
            <w:proofErr w:type="spellEnd"/>
            <w:r w:rsidRPr="00B27A29">
              <w:rPr>
                <w:rFonts w:eastAsiaTheme="minorEastAsia"/>
                <w:color w:themeColor="text1" w:val="000000"/>
                <w:kern w:val="0"/>
                <w:szCs w:val="21"/>
              </w:rPr>
              <w:t>上投摩根基金管理有限公司</w:t>
            </w:r>
          </w:p>
        </w:tc>
      </w:tr>
      <w:tr w14:paraId="2A099E64" w14:textId="77777777" w:rsidR="005E6DF3" w:rsidRPr="00B27A29">
        <w:tc>
          <w:tcPr>
            <w:tcW w:type="dxa" w:w="2835"/>
            <w:vAlign w:val="center"/>
          </w:tcPr>
          <w:p w14:paraId="23B0D447" w14:textId="77777777" w:rsidR="005E6DF3" w:rsidRDefault="005C671B" w:rsidRPr="00B27A29">
            <w:pPr>
              <w:adjustRightInd w:val="0"/>
              <w:spacing w:before="29" w:line="360" w:lineRule="auto"/>
              <w:ind w:left="17"/>
              <w:rPr>
                <w:rFonts w:eastAsiaTheme="minorEastAsia"/>
                <w:color w:themeColor="text1" w:val="000000"/>
                <w:szCs w:val="21"/>
              </w:rPr>
            </w:pPr>
            <w:r w:rsidRPr="00B27A29">
              <w:rPr>
                <w:rFonts w:eastAsiaTheme="minorEastAsia"/>
                <w:color w:themeColor="text1" w:val="000000"/>
                <w:kern w:val="0"/>
                <w:szCs w:val="21"/>
              </w:rPr>
              <w:t>基金托管人</w:t>
            </w:r>
          </w:p>
        </w:tc>
        <w:tc>
          <w:tcPr>
            <w:tcW w:type="dxa" w:w="5479"/>
            <w:gridSpan w:val="2"/>
            <w:vAlign w:val="center"/>
          </w:tcPr>
          <w:p w14:paraId="51CC69F4" w14:textId="77777777" w:rsidR="005E6DF3" w:rsidRDefault="005C671B" w:rsidRPr="00B27A29">
            <w:pPr>
              <w:adjustRightInd w:val="0"/>
              <w:spacing w:before="29" w:line="360" w:lineRule="auto"/>
              <w:ind w:left="17"/>
              <w:rPr>
                <w:rFonts w:eastAsiaTheme="minorEastAsia"/>
                <w:color w:themeColor="text1" w:val="000000"/>
                <w:szCs w:val="21"/>
              </w:rPr>
            </w:pPr>
            <w:r w:rsidRPr="00B27A29">
              <w:rPr>
                <w:rFonts w:eastAsiaTheme="minorEastAsia"/>
                <w:color w:themeColor="text1" w:val="000000"/>
                <w:kern w:val="0"/>
                <w:szCs w:val="21"/>
              </w:rPr>
              <w:t/>
            </w:r>
            <w:proofErr w:type="spellStart"/>
            <w:r w:rsidRPr="00B27A29">
              <w:rPr>
                <w:rFonts w:eastAsiaTheme="minorEastAsia"/>
                <w:color w:themeColor="text1" w:val="000000"/>
                <w:kern w:val="0"/>
                <w:szCs w:val="21"/>
              </w:rPr>
              <w:t/>
            </w:r>
            <w:proofErr w:type="spellEnd"/>
            <w:r w:rsidRPr="00B27A29">
              <w:rPr>
                <w:rFonts w:eastAsiaTheme="minorEastAsia"/>
                <w:color w:themeColor="text1" w:val="000000"/>
                <w:kern w:val="0"/>
                <w:szCs w:val="21"/>
              </w:rPr>
              <w:t>兴业银行股份有限公司</w:t>
            </w:r>
          </w:p>
        </w:tc>
      </w:tr>
      <w:tr w14:paraId="09AF5332" w14:textId="77777777" w:rsidR="005E6DF3" w:rsidRPr="00B27A29">
        <w:tc>
          <w:tcPr>
            <w:tcW w:type="dxa" w:w="2835"/>
            <w:vAlign w:val="center"/>
          </w:tcPr>
          <w:p w14:paraId="26C4598C" w14:textId="77777777" w:rsidR="005E6DF3" w:rsidRDefault="005C671B" w:rsidRPr="00B27A29">
            <w:pPr>
              <w:adjustRightInd w:val="0"/>
              <w:spacing w:before="29" w:line="360" w:lineRule="auto"/>
              <w:ind w:left="17"/>
              <w:rPr>
                <w:rFonts w:eastAsiaTheme="minorEastAsia"/>
                <w:color w:themeColor="text1" w:val="000000"/>
                <w:kern w:val="0"/>
                <w:szCs w:val="21"/>
              </w:rPr>
            </w:pPr>
            <w:r w:rsidRPr="00B27A29">
              <w:rPr>
                <w:rFonts w:eastAsiaTheme="minorEastAsia"/>
                <w:color w:themeColor="text1" w:val="000000"/>
                <w:szCs w:val="21"/>
              </w:rPr>
              <w:t>下属分级基金的基金简称</w:t>
            </w:r>
          </w:p>
        </w:tc>
        <w:tc>
          <w:tcPr>
            <w:tcW w:type="dxa" w:w="2739"/>
            <w:vAlign w:val="center"/>
          </w:tcPr>
          <w:p w14:paraId="55AC2042" w14:textId="77777777" w:rsidR="005E6DF3" w:rsidRDefault="005C671B" w:rsidRPr="00B27A29">
            <w:pPr>
              <w:rPr>
                <w:rFonts w:eastAsiaTheme="minorEastAsia"/>
                <w:color w:themeColor="text1" w:val="000000"/>
                <w:szCs w:val="21"/>
              </w:rPr>
            </w:pPr>
            <w:r w:rsidRPr="00B27A29">
              <w:rPr>
                <w:rFonts w:eastAsiaTheme="minorEastAsia"/>
                <w:color w:themeColor="text1" w:val="000000"/>
                <w:kern w:val="0"/>
                <w:szCs w:val="21"/>
              </w:rPr>
              <w:t/>
            </w:r>
            <w:proofErr w:type="spellStart"/>
            <w:r w:rsidRPr="00B27A29">
              <w:rPr>
                <w:rFonts w:eastAsiaTheme="minorEastAsia"/>
                <w:color w:themeColor="text1" w:val="000000"/>
                <w:kern w:val="0"/>
                <w:szCs w:val="21"/>
              </w:rPr>
              <w:t/>
            </w:r>
            <w:proofErr w:type="spellEnd"/>
            <w:r w:rsidRPr="00B27A29">
              <w:rPr>
                <w:rFonts w:eastAsiaTheme="minorEastAsia"/>
                <w:color w:themeColor="text1" w:val="000000"/>
                <w:szCs w:val="21"/>
              </w:rPr>
              <w:t>上投摩根瑞益纯债债券A</w:t>
            </w:r>
          </w:p>
        </w:tc>
        <w:tc>
          <w:tcPr>
            <w:tcW w:type="dxa" w:w="2740"/>
            <w:vAlign w:val="center"/>
          </w:tcPr>
          <w:p w14:paraId="475E59FE" w14:textId="77777777" w:rsidR="005E6DF3" w:rsidRDefault="005C671B" w:rsidRPr="00B27A29">
            <w:pPr>
              <w:rPr>
                <w:rFonts w:eastAsiaTheme="minorEastAsia"/>
                <w:color w:themeColor="text1" w:val="000000"/>
                <w:szCs w:val="21"/>
              </w:rPr>
            </w:pPr>
            <w:r w:rsidRPr="00B27A29">
              <w:rPr>
                <w:rFonts w:eastAsiaTheme="minorEastAsia"/>
                <w:color w:themeColor="text1" w:val="000000"/>
                <w:kern w:val="0"/>
                <w:szCs w:val="21"/>
              </w:rPr>
              <w:t/>
            </w:r>
            <w:r w:rsidRPr="00B27A29">
              <w:rPr>
                <w:rFonts w:eastAsiaTheme="minorEastAsia"/>
                <w:color w:themeColor="text1" w:val="000000"/>
                <w:szCs w:val="21"/>
              </w:rPr>
              <w:t>上投摩根瑞益纯债债券C</w:t>
            </w:r>
          </w:p>
        </w:tc>
      </w:tr>
      <w:tr w14:paraId="57D77F7B" w14:textId="77777777" w:rsidR="005E6DF3" w:rsidRPr="00B27A29">
        <w:tc>
          <w:tcPr>
            <w:tcW w:type="dxa" w:w="2835"/>
            <w:vAlign w:val="center"/>
          </w:tcPr>
          <w:p w14:paraId="14B6B9C8" w14:textId="77777777" w:rsidR="005E6DF3" w:rsidRDefault="005C671B" w:rsidRPr="00B27A29">
            <w:pPr>
              <w:adjustRightInd w:val="0"/>
              <w:spacing w:before="29" w:line="360" w:lineRule="auto"/>
              <w:ind w:left="17"/>
              <w:rPr>
                <w:rFonts w:eastAsiaTheme="minorEastAsia"/>
                <w:color w:themeColor="text1" w:val="000000"/>
                <w:szCs w:val="21"/>
              </w:rPr>
            </w:pPr>
            <w:r w:rsidRPr="00B27A29">
              <w:rPr>
                <w:rFonts w:eastAsiaTheme="minorEastAsia"/>
                <w:color w:themeColor="text1" w:val="000000"/>
                <w:szCs w:val="21"/>
              </w:rPr>
              <w:t>下属分级基金的交易代码</w:t>
            </w:r>
            <w:r w:rsidRPr="00B27A29">
              <w:rPr>
                <w:rFonts w:eastAsiaTheme="minorEastAsia"/>
                <w:color w:themeColor="text1" w:val="000000"/>
                <w:szCs w:val="21"/>
              </w:rPr>
              <w:t/>
            </w:r>
            <w:proofErr w:type="spellStart"/>
            <w:r w:rsidRPr="00B27A29">
              <w:rPr>
                <w:color w:themeColor="text1" w:val="000000"/>
                <w:szCs w:val="21"/>
              </w:rPr>
              <w:t/>
            </w:r>
            <w:proofErr w:type="spellEnd"/>
            <w:r w:rsidRPr="00B27A29">
              <w:rPr>
                <w:rFonts w:eastAsiaTheme="minorEastAsia"/>
                <w:color w:themeColor="text1" w:val="000000"/>
                <w:szCs w:val="21"/>
              </w:rPr>
              <w:t/>
            </w:r>
          </w:p>
        </w:tc>
        <w:tc>
          <w:tcPr>
            <w:tcW w:type="dxa" w:w="2739"/>
            <w:vAlign w:val="center"/>
          </w:tcPr>
          <w:p w14:paraId="4101EB79" w14:textId="77777777" w:rsidR="005E6DF3" w:rsidRDefault="005C671B" w:rsidRPr="00B27A29">
            <w:pPr>
              <w:rPr>
                <w:rFonts w:eastAsiaTheme="minorEastAsia"/>
                <w:color w:themeColor="text1" w:val="000000"/>
                <w:szCs w:val="21"/>
              </w:rPr>
            </w:pPr>
            <w:r w:rsidRPr="00B27A29">
              <w:rPr>
                <w:rFonts w:eastAsiaTheme="minorEastAsia"/>
                <w:color w:themeColor="text1" w:val="000000"/>
                <w:kern w:val="0"/>
                <w:szCs w:val="21"/>
              </w:rPr>
              <w:t/>
            </w:r>
            <w:proofErr w:type="spellStart"/>
            <w:r w:rsidRPr="00B27A29">
              <w:rPr>
                <w:rFonts w:eastAsiaTheme="minorEastAsia"/>
                <w:color w:themeColor="text1" w:val="000000"/>
                <w:kern w:val="0"/>
                <w:szCs w:val="21"/>
              </w:rPr>
              <w:t/>
            </w:r>
            <w:proofErr w:type="gramStart"/>
            <w:r w:rsidRPr="00B27A29">
              <w:rPr>
                <w:rFonts w:eastAsiaTheme="minorEastAsia"/>
                <w:color w:themeColor="text1" w:val="000000"/>
                <w:kern w:val="0"/>
                <w:szCs w:val="21"/>
              </w:rPr>
              <w:t/>
            </w:r>
            <w:proofErr w:type="spellEnd"/>
            <w:r w:rsidRPr="00B27A29">
              <w:rPr>
                <w:rFonts w:eastAsiaTheme="minorEastAsia"/>
                <w:color w:themeColor="text1" w:val="000000"/>
                <w:kern w:val="0"/>
                <w:szCs w:val="21"/>
              </w:rPr>
              <w:t/>
            </w:r>
            <w:proofErr w:type="gramEnd"/>
            <w:r w:rsidRPr="00B27A29">
              <w:rPr>
                <w:rFonts w:eastAsiaTheme="minorEastAsia"/>
                <w:color w:themeColor="text1" w:val="000000"/>
                <w:kern w:val="0"/>
                <w:szCs w:val="21"/>
              </w:rPr>
              <w:t/>
            </w:r>
            <w:proofErr w:type="spellStart"/>
            <w:r w:rsidRPr="00B27A29">
              <w:rPr>
                <w:rFonts w:eastAsiaTheme="minorEastAsia"/>
                <w:color w:themeColor="text1" w:val="000000"/>
                <w:szCs w:val="21"/>
              </w:rPr>
              <w:t/>
            </w:r>
            <w:proofErr w:type="spellEnd"/>
            <w:r w:rsidRPr="00B27A29">
              <w:rPr>
                <w:rFonts w:eastAsiaTheme="minorEastAsia"/>
                <w:color w:themeColor="text1" w:val="000000"/>
                <w:szCs w:val="21"/>
              </w:rPr>
              <w:t>007329</w:t>
            </w:r>
          </w:p>
        </w:tc>
        <w:tc>
          <w:tcPr>
            <w:tcW w:type="dxa" w:w="2740"/>
            <w:vAlign w:val="center"/>
          </w:tcPr>
          <w:p w14:paraId="01B3552E" w14:textId="77777777" w:rsidR="005E6DF3" w:rsidRDefault="005C671B" w:rsidRPr="00B27A29">
            <w:pPr>
              <w:rPr>
                <w:rFonts w:eastAsiaTheme="minorEastAsia"/>
                <w:color w:themeColor="text1" w:val="000000"/>
                <w:szCs w:val="21"/>
              </w:rPr>
            </w:pPr>
            <w:r w:rsidRPr="00B27A29">
              <w:rPr>
                <w:rFonts w:eastAsiaTheme="minorEastAsia"/>
                <w:color w:themeColor="text1" w:val="000000"/>
                <w:kern w:val="0"/>
                <w:szCs w:val="21"/>
              </w:rPr>
              <w:t/>
            </w:r>
            <w:proofErr w:type="spellStart"/>
            <w:r w:rsidRPr="00B27A29">
              <w:rPr>
                <w:rFonts w:eastAsiaTheme="minorEastAsia"/>
                <w:color w:themeColor="text1" w:val="000000"/>
                <w:kern w:val="0"/>
                <w:szCs w:val="21"/>
              </w:rPr>
              <w:t/>
            </w:r>
            <w:proofErr w:type="gramStart"/>
            <w:r w:rsidRPr="00B27A29">
              <w:rPr>
                <w:rFonts w:eastAsiaTheme="minorEastAsia"/>
                <w:color w:themeColor="text1" w:val="000000"/>
                <w:kern w:val="0"/>
                <w:szCs w:val="21"/>
              </w:rPr>
              <w:t/>
            </w:r>
            <w:proofErr w:type="spellEnd"/>
            <w:r w:rsidRPr="00B27A29">
              <w:rPr>
                <w:rFonts w:eastAsiaTheme="minorEastAsia"/>
                <w:color w:themeColor="text1" w:val="000000"/>
                <w:kern w:val="0"/>
                <w:szCs w:val="21"/>
              </w:rPr>
              <w:t/>
            </w:r>
            <w:proofErr w:type="gramEnd"/>
            <w:r w:rsidRPr="00B27A29">
              <w:rPr>
                <w:rFonts w:eastAsiaTheme="minorEastAsia"/>
                <w:color w:themeColor="text1" w:val="000000"/>
                <w:kern w:val="0"/>
                <w:szCs w:val="21"/>
              </w:rPr>
              <w:t/>
            </w:r>
            <w:r w:rsidRPr="00B27A29">
              <w:rPr>
                <w:rFonts w:eastAsiaTheme="minorEastAsia"/>
                <w:color w:themeColor="text1" w:val="000000"/>
                <w:szCs w:val="21"/>
              </w:rPr>
              <w:t>007330</w:t>
            </w:r>
          </w:p>
        </w:tc>
      </w:tr>
      <w:tr w14:paraId="083EB83F" w14:textId="77777777" w:rsidR="005E6DF3" w:rsidRPr="00B27A29">
        <w:tc>
          <w:tcPr>
            <w:tcW w:type="dxa" w:w="2835"/>
            <w:vAlign w:val="center"/>
          </w:tcPr>
          <w:p w14:paraId="334614CA" w14:textId="77777777" w:rsidR="005E6DF3" w:rsidRDefault="005C671B" w:rsidRPr="00B27A29">
            <w:pPr>
              <w:adjustRightInd w:val="0"/>
              <w:spacing w:before="29" w:line="360" w:lineRule="auto"/>
              <w:ind w:left="17"/>
              <w:rPr>
                <w:rFonts w:eastAsiaTheme="minorEastAsia"/>
                <w:color w:themeColor="text1" w:val="000000"/>
                <w:szCs w:val="21"/>
              </w:rPr>
            </w:pPr>
            <w:r w:rsidRPr="00B27A29">
              <w:rPr>
                <w:rFonts w:eastAsiaTheme="minorEastAsia"/>
                <w:color w:themeColor="text1" w:val="000000"/>
                <w:szCs w:val="21"/>
              </w:rPr>
              <w:t>报告期末下属分级基金的份额总额</w:t>
            </w:r>
          </w:p>
        </w:tc>
        <w:tc>
          <w:tcPr>
            <w:tcW w:type="dxa" w:w="2739"/>
            <w:vAlign w:val="center"/>
          </w:tcPr>
          <w:p w14:paraId="22984E3E" w14:textId="77777777" w:rsidR="005E6DF3" w:rsidRDefault="005C671B" w:rsidRPr="00B27A29">
            <w:pPr>
              <w:rPr>
                <w:rFonts w:eastAsiaTheme="minorEastAsia"/>
                <w:color w:themeColor="text1" w:val="000000"/>
                <w:szCs w:val="21"/>
              </w:rPr>
            </w:pPr>
            <w:r w:rsidRPr="00B27A29">
              <w:rPr>
                <w:rFonts w:eastAsiaTheme="minorEastAsia"/>
                <w:color w:themeColor="text1" w:val="000000"/>
                <w:kern w:val="0"/>
                <w:szCs w:val="21"/>
              </w:rPr>
              <w:t/>
            </w:r>
            <w:proofErr w:type="spellStart"/>
            <w:r w:rsidRPr="00B27A29">
              <w:rPr>
                <w:rFonts w:eastAsiaTheme="minorEastAsia"/>
                <w:color w:themeColor="text1" w:val="000000"/>
                <w:kern w:val="0"/>
                <w:szCs w:val="21"/>
              </w:rPr>
              <w:t/>
            </w:r>
            <w:proofErr w:type="spellEnd"/>
            <w:r w:rsidRPr="00B27A29">
              <w:rPr>
                <w:rFonts w:eastAsiaTheme="minorEastAsia"/>
                <w:color w:themeColor="text1" w:val="000000"/>
                <w:szCs w:val="21"/>
              </w:rPr>
              <w:t>162,674,286.84</w:t>
            </w:r>
            <w:r w:rsidRPr="00B27A29">
              <w:rPr>
                <w:rFonts w:eastAsiaTheme="minorEastAsia"/>
                <w:color w:themeColor="text1" w:val="000000"/>
                <w:kern w:val="0"/>
                <w:szCs w:val="21"/>
              </w:rPr>
              <w:t>份</w:t>
            </w:r>
          </w:p>
        </w:tc>
        <w:tc>
          <w:tcPr>
            <w:tcW w:type="dxa" w:w="2740"/>
            <w:vAlign w:val="center"/>
          </w:tcPr>
          <w:p w14:paraId="47FE7797" w14:textId="77777777" w:rsidR="005E6DF3" w:rsidRDefault="005C671B" w:rsidRPr="00B27A29">
            <w:pPr>
              <w:rPr>
                <w:rFonts w:eastAsiaTheme="minorEastAsia"/>
                <w:color w:themeColor="text1" w:val="000000"/>
                <w:szCs w:val="21"/>
              </w:rPr>
            </w:pPr>
            <w:r w:rsidRPr="00B27A29">
              <w:rPr>
                <w:rFonts w:eastAsiaTheme="minorEastAsia"/>
                <w:color w:themeColor="text1" w:val="000000"/>
                <w:kern w:val="0"/>
                <w:szCs w:val="21"/>
              </w:rPr>
              <w:t/>
            </w:r>
            <w:r w:rsidRPr="00B27A29">
              <w:rPr>
                <w:rFonts w:eastAsiaTheme="minorEastAsia"/>
                <w:color w:themeColor="text1" w:val="000000"/>
                <w:szCs w:val="21"/>
              </w:rPr>
              <w:t>1,086,100.67</w:t>
            </w:r>
            <w:r w:rsidRPr="00B27A29">
              <w:rPr>
                <w:rFonts w:eastAsiaTheme="minorEastAsia"/>
                <w:color w:themeColor="text1" w:val="000000"/>
                <w:kern w:val="0"/>
                <w:szCs w:val="21"/>
              </w:rPr>
              <w:t>份</w:t>
            </w:r>
          </w:p>
        </w:tc>
      </w:tr>
    </w:tbl>
    <w:p w14:paraId="03CEEBE2" w14:textId="77777777" w:rsidR="005E6DF3" w:rsidRDefault="005C671B" w:rsidRPr="00B27A29">
      <w:pPr>
        <w:pStyle w:val="1"/>
        <w:spacing w:after="312" w:afterLines="100" w:before="312" w:beforeLines="100" w:line="360" w:lineRule="auto"/>
        <w:jc w:val="center"/>
        <w:rPr>
          <w:rFonts w:eastAsiaTheme="minorEastAsia"/>
          <w:color w:themeColor="text1" w:val="000000"/>
          <w:kern w:val="0"/>
          <w:sz w:val="21"/>
          <w:szCs w:val="21"/>
        </w:rPr>
      </w:pPr>
      <w:r w:rsidRPr="00B27A29">
        <w:rPr>
          <w:rFonts w:eastAsiaTheme="minorEastAsia"/>
          <w:color w:themeColor="text1" w:val="000000"/>
          <w:kern w:val="0"/>
          <w:sz w:val="21"/>
          <w:szCs w:val="21"/>
        </w:rPr>
        <w:t xml:space="preserve">§3  </w:t>
      </w:r>
      <w:r w:rsidRPr="00B27A29">
        <w:rPr>
          <w:rFonts w:eastAsiaTheme="minorEastAsia"/>
          <w:color w:themeColor="text1" w:val="000000"/>
          <w:kern w:val="0"/>
          <w:sz w:val="21"/>
          <w:szCs w:val="21"/>
        </w:rPr>
        <w:t>主要财务指标和基金净值表现</w:t>
      </w:r>
    </w:p>
    <w:p w14:paraId="343BFA65" w14:textId="77777777" w:rsidR="005E6DF3" w:rsidRDefault="005C671B" w:rsidRPr="00B27A29">
      <w:pPr>
        <w:autoSpaceDE w:val="0"/>
        <w:autoSpaceDN w:val="0"/>
        <w:adjustRightInd w:val="0"/>
        <w:spacing w:line="360" w:lineRule="auto"/>
        <w:jc w:val="left"/>
        <w:rPr>
          <w:rFonts w:eastAsiaTheme="minorEastAsia"/>
          <w:b/>
          <w:color w:themeColor="text1" w:val="000000"/>
          <w:kern w:val="0"/>
          <w:szCs w:val="21"/>
        </w:rPr>
      </w:pPr>
      <w:r w:rsidRPr="00B27A29">
        <w:rPr>
          <w:rFonts w:eastAsiaTheme="minorEastAsia"/>
          <w:b/>
          <w:color w:themeColor="text1" w:val="000000"/>
          <w:kern w:val="0"/>
          <w:szCs w:val="21"/>
        </w:rPr>
        <w:t xml:space="preserve">3.1 </w:t>
      </w:r>
      <w:r w:rsidRPr="00B27A29">
        <w:rPr>
          <w:rFonts w:eastAsiaTheme="minorEastAsia"/>
          <w:b/>
          <w:color w:themeColor="text1" w:val="000000"/>
          <w:kern w:val="0"/>
          <w:szCs w:val="21"/>
        </w:rPr>
        <w:t>主要财务指标</w:t>
      </w:r>
    </w:p>
    <w:p w14:paraId="7C01BE7E" w14:textId="77777777" w:rsidR="005E6DF3" w:rsidRDefault="005C671B" w:rsidRPr="00B27A29">
      <w:pPr>
        <w:autoSpaceDE w:val="0"/>
        <w:autoSpaceDN w:val="0"/>
        <w:adjustRightInd w:val="0"/>
        <w:spacing w:before="29" w:line="288" w:lineRule="auto"/>
        <w:ind w:left="15" w:right="480"/>
        <w:jc w:val="right"/>
        <w:rPr>
          <w:rFonts w:eastAsiaTheme="minorEastAsia"/>
          <w:color w:themeColor="text1" w:val="000000"/>
          <w:kern w:val="0"/>
          <w:szCs w:val="21"/>
        </w:rPr>
      </w:pPr>
      <w:r w:rsidRPr="00B27A29">
        <w:rPr>
          <w:rFonts w:eastAsiaTheme="minorEastAsia"/>
          <w:color w:themeColor="text1" w:val="000000"/>
          <w:kern w:val="0"/>
          <w:szCs w:val="21"/>
        </w:rPr>
        <w:t>单位：人民币元</w:t>
      </w:r>
    </w:p>
    <w:tbl>
      <w:tblPr>
        <w:tblW w:type="dxa" w:w="836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3402"/>
        <w:gridCol w:w="2481"/>
        <w:gridCol w:w="2481"/>
      </w:tblGrid>
      <w:tr w14:paraId="62729AC3" w14:textId="77777777" w:rsidR="005E6DF3" w:rsidRPr="00B27A29">
        <w:tc>
          <w:tcPr>
            <w:tcW w:type="dxa" w:w="3402"/>
            <w:vMerge w:val="restart"/>
            <w:vAlign w:val="center"/>
          </w:tcPr>
          <w:p w14:paraId="69F5E4C0" w14:textId="77777777" w:rsidR="005E6DF3" w:rsidRDefault="005C671B" w:rsidRPr="00B27A29">
            <w:pPr>
              <w:adjustRightInd w:val="0"/>
              <w:spacing w:before="29" w:line="360" w:lineRule="auto"/>
              <w:ind w:left="17"/>
              <w:rPr>
                <w:rFonts w:eastAsiaTheme="minorEastAsia"/>
                <w:color w:themeColor="text1" w:val="000000"/>
                <w:kern w:val="0"/>
                <w:szCs w:val="21"/>
              </w:rPr>
            </w:pPr>
            <w:r w:rsidRPr="00B27A29">
              <w:rPr>
                <w:rFonts w:eastAsiaTheme="minorEastAsia"/>
                <w:color w:themeColor="text1" w:val="000000"/>
                <w:kern w:val="0"/>
                <w:szCs w:val="21"/>
              </w:rPr>
              <w:t>主要财务指标</w:t>
            </w:r>
          </w:p>
        </w:tc>
        <w:tc>
          <w:tcPr>
            <w:tcW w:type="dxa" w:w="4962"/>
            <w:gridSpan w:val="2"/>
            <w:vAlign w:val="center"/>
          </w:tcPr>
          <w:p w14:paraId="1955990E" w14:textId="77777777" w:rsidR="005E6DF3" w:rsidRDefault="005C671B" w:rsidRPr="00B27A29">
            <w:pPr>
              <w:adjustRightInd w:val="0"/>
              <w:spacing w:before="29" w:line="360" w:lineRule="auto"/>
              <w:ind w:left="17"/>
              <w:jc w:val="center"/>
              <w:rPr>
                <w:rFonts w:eastAsiaTheme="minorEastAsia"/>
                <w:color w:themeColor="text1" w:val="000000"/>
                <w:szCs w:val="21"/>
              </w:rPr>
            </w:pPr>
            <w:r w:rsidRPr="00B27A29">
              <w:rPr>
                <w:rFonts w:eastAsiaTheme="minorEastAsia"/>
                <w:color w:themeColor="text1" w:val="000000"/>
                <w:szCs w:val="21"/>
              </w:rPr>
              <w:t>报告期</w:t>
            </w:r>
          </w:p>
          <w:p w14:paraId="03DD78DE" w14:textId="77777777" w:rsidR="005E6DF3" w:rsidRDefault="005C671B" w:rsidRPr="00B27A29">
            <w:pPr>
              <w:adjustRightInd w:val="0"/>
              <w:spacing w:before="29" w:line="360" w:lineRule="auto"/>
              <w:ind w:left="17"/>
              <w:jc w:val="center"/>
              <w:rPr>
                <w:rFonts w:eastAsiaTheme="minorEastAsia"/>
                <w:color w:themeColor="text1" w:val="000000"/>
                <w:szCs w:val="21"/>
              </w:rPr>
            </w:pPr>
            <w:r w:rsidRPr="00B27A29">
              <w:rPr>
                <w:rFonts w:eastAsiaTheme="minorEastAsia"/>
                <w:color w:themeColor="text1" w:val="000000"/>
                <w:szCs w:val="21"/>
              </w:rPr>
              <w:t>(</w:t>
            </w:r>
            <w:proofErr w:type="spellStart"/>
            <w:r w:rsidRPr="00B27A29">
              <w:rPr>
                <w:rFonts w:eastAsiaTheme="minorEastAsia"/>
                <w:color w:themeColor="text1" w:val="000000"/>
                <w:szCs w:val="21"/>
              </w:rPr>
              <w:t/>
            </w:r>
            <w:proofErr w:type="spellEnd"/>
            <w:r w:rsidRPr="00B27A29">
              <w:rPr>
                <w:rFonts w:eastAsiaTheme="minorEastAsia"/>
                <w:color w:themeColor="text1" w:val="000000"/>
                <w:szCs w:val="21"/>
              </w:rPr>
              <w:t>2021年7月1日-</w:t>
            </w:r>
            <w:proofErr w:type="spellStart"/>
            <w:r w:rsidRPr="00B27A29">
              <w:rPr>
                <w:rFonts w:eastAsiaTheme="minorEastAsia"/>
                <w:color w:themeColor="text1" w:val="000000"/>
                <w:szCs w:val="21"/>
              </w:rPr>
              <w:t/>
            </w:r>
            <w:proofErr w:type="spellEnd"/>
            <w:r w:rsidRPr="00B27A29">
              <w:rPr>
                <w:rFonts w:eastAsiaTheme="minorEastAsia"/>
                <w:color w:themeColor="text1" w:val="000000"/>
                <w:szCs w:val="21"/>
              </w:rPr>
              <w:t>2021年9月30日)</w:t>
            </w:r>
          </w:p>
        </w:tc>
      </w:tr>
      <w:tr w14:paraId="59104F38" w14:textId="77777777" w:rsidR="005E6DF3" w:rsidRPr="00B27A29">
        <w:tc>
          <w:tcPr>
            <w:tcW w:type="dxa" w:w="3402"/>
            <w:vMerge/>
            <w:vAlign w:val="center"/>
          </w:tcPr>
          <w:p w14:paraId="61A81AEE" w14:textId="77777777" w:rsidR="005E6DF3" w:rsidRDefault="005E6DF3" w:rsidRPr="00B27A29">
            <w:pPr>
              <w:adjustRightInd w:val="0"/>
              <w:spacing w:before="29" w:line="360" w:lineRule="auto"/>
              <w:ind w:left="17"/>
              <w:rPr>
                <w:rFonts w:eastAsiaTheme="minorEastAsia"/>
                <w:color w:themeColor="text1" w:val="000000"/>
                <w:kern w:val="0"/>
                <w:szCs w:val="21"/>
              </w:rPr>
            </w:pPr>
          </w:p>
        </w:tc>
        <w:tc>
          <w:tcPr>
            <w:tcW w:type="dxa" w:w="2481"/>
            <w:vAlign w:val="center"/>
          </w:tcPr>
          <w:p w14:paraId="091E127A" w14:textId="77777777" w:rsidR="005E6DF3" w:rsidRDefault="005C671B" w:rsidRPr="00B27A29">
            <w:pPr>
              <w:adjustRightInd w:val="0"/>
              <w:spacing w:before="29" w:line="360" w:lineRule="auto"/>
              <w:ind w:left="17"/>
              <w:jc w:val="center"/>
              <w:rPr>
                <w:rFonts w:eastAsiaTheme="minorEastAsia"/>
                <w:color w:themeColor="text1" w:val="000000"/>
                <w:szCs w:val="21"/>
              </w:rPr>
            </w:pPr>
            <w:r w:rsidRPr="00B27A29">
              <w:rPr>
                <w:rFonts w:eastAsiaTheme="minorEastAsia"/>
                <w:color w:themeColor="text1" w:val="000000"/>
                <w:kern w:val="0"/>
                <w:szCs w:val="21"/>
              </w:rPr>
              <w:t/>
            </w:r>
            <w:proofErr w:type="spellStart"/>
            <w:r w:rsidRPr="00B27A29">
              <w:rPr>
                <w:rFonts w:eastAsiaTheme="minorEastAsia"/>
                <w:color w:themeColor="text1" w:val="000000"/>
                <w:szCs w:val="21"/>
              </w:rPr>
              <w:t/>
            </w:r>
            <w:proofErr w:type="spellEnd"/>
            <w:r w:rsidRPr="00B27A29">
              <w:rPr>
                <w:rFonts w:eastAsiaTheme="minorEastAsia"/>
                <w:color w:themeColor="text1" w:val="000000"/>
                <w:szCs w:val="21"/>
              </w:rPr>
              <w:t>上投摩根瑞益纯债债券A</w:t>
            </w:r>
          </w:p>
        </w:tc>
        <w:tc>
          <w:tcPr>
            <w:tcW w:type="dxa" w:w="2481"/>
            <w:vAlign w:val="center"/>
          </w:tcPr>
          <w:p w14:paraId="61B78904" w14:textId="77777777" w:rsidR="005E6DF3" w:rsidRDefault="005C671B" w:rsidRPr="00B27A29">
            <w:pPr>
              <w:adjustRightInd w:val="0"/>
              <w:spacing w:before="29" w:line="360" w:lineRule="auto"/>
              <w:ind w:left="17"/>
              <w:jc w:val="center"/>
              <w:rPr>
                <w:rFonts w:eastAsiaTheme="minorEastAsia"/>
                <w:color w:themeColor="text1" w:val="000000"/>
                <w:szCs w:val="21"/>
              </w:rPr>
            </w:pPr>
            <w:r w:rsidRPr="00B27A29">
              <w:rPr>
                <w:rFonts w:eastAsiaTheme="minorEastAsia"/>
                <w:color w:themeColor="text1" w:val="000000"/>
                <w:kern w:val="0"/>
                <w:szCs w:val="21"/>
              </w:rPr>
              <w:t/>
            </w:r>
            <w:r w:rsidRPr="00B27A29">
              <w:rPr>
                <w:rFonts w:eastAsiaTheme="minorEastAsia"/>
                <w:color w:themeColor="text1" w:val="000000"/>
                <w:szCs w:val="21"/>
              </w:rPr>
              <w:t>上投摩根瑞益纯债债券C</w:t>
            </w:r>
          </w:p>
        </w:tc>
      </w:tr>
      <w:tr w14:paraId="0059DFD8" w14:textId="77777777" w:rsidR="005E6DF3" w:rsidRPr="00B27A29">
        <w:tc>
          <w:tcPr>
            <w:tcW w:type="dxa" w:w="3402"/>
            <w:vAlign w:val="center"/>
          </w:tcPr>
          <w:p w14:paraId="61BBFF58" w14:textId="77777777" w:rsidR="005E6DF3" w:rsidRDefault="005C671B" w:rsidRPr="00B27A29">
            <w:pPr>
              <w:adjustRightInd w:val="0"/>
              <w:spacing w:before="29" w:line="360" w:lineRule="auto"/>
              <w:ind w:left="17"/>
              <w:rPr>
                <w:rFonts w:eastAsiaTheme="minorEastAsia"/>
                <w:color w:themeColor="text1" w:val="000000"/>
                <w:kern w:val="0"/>
                <w:szCs w:val="21"/>
              </w:rPr>
            </w:pPr>
            <w:r w:rsidRPr="00B27A29">
              <w:rPr>
                <w:rFonts w:eastAsiaTheme="minorEastAsia"/>
                <w:color w:themeColor="text1" w:val="000000"/>
                <w:kern w:val="0"/>
                <w:szCs w:val="21"/>
              </w:rPr>
              <w:t>1.</w:t>
            </w:r>
            <w:r w:rsidRPr="00B27A29">
              <w:rPr>
                <w:rFonts w:eastAsiaTheme="minorEastAsia"/>
                <w:color w:themeColor="text1" w:val="000000"/>
                <w:kern w:val="0"/>
                <w:szCs w:val="21"/>
              </w:rPr>
              <w:t>本期已实现收益</w:t>
            </w:r>
          </w:p>
        </w:tc>
        <w:tc>
          <w:tcPr>
            <w:tcW w:type="dxa" w:w="2481"/>
            <w:vAlign w:val="center"/>
          </w:tcPr>
          <w:p w14:paraId="043FB14F" w14:textId="77777777" w:rsidR="005E6DF3" w:rsidRDefault="005C671B" w:rsidRPr="00B27A29">
            <w:pPr>
              <w:adjustRightInd w:val="0"/>
              <w:spacing w:before="29" w:line="360" w:lineRule="auto"/>
              <w:ind w:left="17"/>
              <w:jc w:val="right"/>
              <w:rPr>
                <w:rFonts w:eastAsiaTheme="minorEastAsia"/>
                <w:color w:themeColor="text1" w:val="000000"/>
                <w:szCs w:val="21"/>
              </w:rPr>
            </w:pPr>
            <w:r w:rsidRPr="00B27A29">
              <w:rPr>
                <w:rFonts w:eastAsiaTheme="minorEastAsia"/>
                <w:color w:themeColor="text1" w:val="000000"/>
                <w:szCs w:val="21"/>
              </w:rPr>
              <w:t>992,776.10</w:t>
            </w:r>
          </w:p>
        </w:tc>
        <w:tc>
          <w:tcPr>
            <w:tcW w:type="dxa" w:w="2481"/>
            <w:vAlign w:val="center"/>
          </w:tcPr>
          <w:p w14:paraId="1A81CB1D" w14:textId="77777777" w:rsidR="005E6DF3" w:rsidRDefault="005C671B" w:rsidRPr="00B27A29">
            <w:pPr>
              <w:adjustRightInd w:val="0"/>
              <w:spacing w:before="29" w:line="360" w:lineRule="auto"/>
              <w:ind w:left="17"/>
              <w:jc w:val="right"/>
              <w:rPr>
                <w:rFonts w:eastAsiaTheme="minorEastAsia"/>
                <w:color w:themeColor="text1" w:val="000000"/>
                <w:szCs w:val="21"/>
              </w:rPr>
            </w:pPr>
            <w:r w:rsidRPr="00B27A29">
              <w:rPr>
                <w:rFonts w:eastAsiaTheme="minorEastAsia"/>
                <w:color w:themeColor="text1" w:val="000000"/>
                <w:szCs w:val="21"/>
              </w:rPr>
              <w:t>14,416.07</w:t>
            </w:r>
          </w:p>
        </w:tc>
      </w:tr>
      <w:tr w14:paraId="690250F2" w14:textId="77777777" w:rsidR="005E6DF3" w:rsidRPr="00B27A29">
        <w:tc>
          <w:tcPr>
            <w:tcW w:type="dxa" w:w="3402"/>
            <w:vAlign w:val="center"/>
          </w:tcPr>
          <w:p w14:paraId="12ED1FD0" w14:textId="77777777" w:rsidR="005E6DF3" w:rsidRDefault="005C671B" w:rsidRPr="00B27A29">
            <w:pPr>
              <w:adjustRightInd w:val="0"/>
              <w:spacing w:before="29" w:line="360" w:lineRule="auto"/>
              <w:ind w:left="17"/>
              <w:rPr>
                <w:rFonts w:eastAsiaTheme="minorEastAsia"/>
                <w:color w:themeColor="text1" w:val="000000"/>
                <w:kern w:val="0"/>
                <w:szCs w:val="21"/>
              </w:rPr>
            </w:pPr>
            <w:r w:rsidRPr="00B27A29">
              <w:rPr>
                <w:rFonts w:eastAsiaTheme="minorEastAsia"/>
                <w:color w:themeColor="text1" w:val="000000"/>
                <w:kern w:val="0"/>
                <w:szCs w:val="21"/>
              </w:rPr>
              <w:t>2.</w:t>
            </w:r>
            <w:r w:rsidRPr="00B27A29">
              <w:rPr>
                <w:rFonts w:eastAsiaTheme="minorEastAsia"/>
                <w:color w:themeColor="text1" w:val="000000"/>
                <w:kern w:val="0"/>
                <w:szCs w:val="21"/>
              </w:rPr>
              <w:t>本期利润</w:t>
            </w:r>
          </w:p>
        </w:tc>
        <w:tc>
          <w:tcPr>
            <w:tcW w:type="dxa" w:w="2481"/>
            <w:vAlign w:val="center"/>
          </w:tcPr>
          <w:p w14:paraId="2DEA26D6" w14:textId="77777777" w:rsidR="005E6DF3" w:rsidRDefault="005C671B" w:rsidRPr="00B27A29">
            <w:pPr>
              <w:adjustRightInd w:val="0"/>
              <w:spacing w:before="29" w:line="360" w:lineRule="auto"/>
              <w:ind w:left="17"/>
              <w:jc w:val="right"/>
              <w:rPr>
                <w:rFonts w:eastAsiaTheme="minorEastAsia"/>
                <w:color w:themeColor="text1" w:val="000000"/>
                <w:szCs w:val="21"/>
              </w:rPr>
            </w:pPr>
            <w:r w:rsidRPr="00B27A29">
              <w:rPr>
                <w:rFonts w:eastAsiaTheme="minorEastAsia"/>
                <w:color w:themeColor="text1" w:val="000000"/>
                <w:szCs w:val="21"/>
              </w:rPr>
              <w:t/>
            </w:r>
            <w:proofErr w:type="spellStart"/>
            <w:r w:rsidRPr="00B27A29">
              <w:rPr>
                <w:rFonts w:eastAsiaTheme="minorEastAsia"/>
                <w:color w:themeColor="text1" w:val="000000"/>
                <w:szCs w:val="21"/>
              </w:rPr>
              <w:t/>
            </w:r>
            <w:proofErr w:type="spellEnd"/>
            <w:r w:rsidRPr="00B27A29">
              <w:rPr>
                <w:rFonts w:eastAsiaTheme="minorEastAsia"/>
                <w:color w:themeColor="text1" w:val="000000"/>
                <w:szCs w:val="21"/>
              </w:rPr>
              <w:t>1,428,472.11</w:t>
            </w:r>
          </w:p>
        </w:tc>
        <w:tc>
          <w:tcPr>
            <w:tcW w:type="dxa" w:w="2481"/>
            <w:vAlign w:val="center"/>
          </w:tcPr>
          <w:p w14:paraId="0AE0B166" w14:textId="77777777" w:rsidR="005E6DF3" w:rsidRDefault="005C671B" w:rsidRPr="00B27A29">
            <w:pPr>
              <w:adjustRightInd w:val="0"/>
              <w:spacing w:before="29" w:line="360" w:lineRule="auto"/>
              <w:ind w:left="17"/>
              <w:jc w:val="right"/>
              <w:rPr>
                <w:rFonts w:eastAsiaTheme="minorEastAsia"/>
                <w:color w:themeColor="text1" w:val="000000"/>
                <w:szCs w:val="21"/>
              </w:rPr>
            </w:pPr>
            <w:r w:rsidRPr="00B27A29">
              <w:rPr>
                <w:rFonts w:eastAsiaTheme="minorEastAsia"/>
                <w:color w:themeColor="text1" w:val="000000"/>
                <w:szCs w:val="21"/>
              </w:rPr>
              <w:t>20,882.84</w:t>
            </w:r>
          </w:p>
        </w:tc>
      </w:tr>
      <w:tr w14:paraId="0BFB5843" w14:textId="77777777" w:rsidR="005E6DF3" w:rsidRPr="00B27A29">
        <w:tc>
          <w:tcPr>
            <w:tcW w:type="dxa" w:w="3402"/>
            <w:vAlign w:val="center"/>
          </w:tcPr>
          <w:p w14:paraId="18E84B47" w14:textId="77777777" w:rsidR="005E6DF3" w:rsidRDefault="005C671B" w:rsidRPr="00B27A29">
            <w:pPr>
              <w:adjustRightInd w:val="0"/>
              <w:spacing w:before="29" w:line="360" w:lineRule="auto"/>
              <w:ind w:left="17"/>
              <w:rPr>
                <w:rFonts w:eastAsiaTheme="minorEastAsia"/>
                <w:color w:themeColor="text1" w:val="000000"/>
                <w:kern w:val="0"/>
                <w:szCs w:val="21"/>
              </w:rPr>
            </w:pPr>
            <w:r w:rsidRPr="00B27A29">
              <w:rPr>
                <w:rFonts w:eastAsiaTheme="minorEastAsia"/>
                <w:color w:themeColor="text1" w:val="000000"/>
                <w:kern w:val="0"/>
                <w:szCs w:val="21"/>
              </w:rPr>
              <w:t>3.</w:t>
            </w:r>
            <w:r w:rsidRPr="00B27A29">
              <w:rPr>
                <w:rFonts w:eastAsiaTheme="minorEastAsia"/>
                <w:color w:themeColor="text1" w:val="000000"/>
                <w:kern w:val="0"/>
                <w:szCs w:val="21"/>
              </w:rPr>
              <w:t>加权平均基金份额本期利润</w:t>
            </w:r>
          </w:p>
        </w:tc>
        <w:tc>
          <w:tcPr>
            <w:tcW w:type="dxa" w:w="2481"/>
            <w:vAlign w:val="center"/>
          </w:tcPr>
          <w:p w14:paraId="229CA3D5" w14:textId="77777777" w:rsidR="005E6DF3" w:rsidRDefault="005C671B" w:rsidRPr="00B27A29">
            <w:pPr>
              <w:adjustRightInd w:val="0"/>
              <w:spacing w:before="29" w:line="360" w:lineRule="auto"/>
              <w:ind w:left="17"/>
              <w:jc w:val="right"/>
              <w:rPr>
                <w:rFonts w:eastAsiaTheme="minorEastAsia"/>
                <w:color w:themeColor="text1" w:val="000000"/>
                <w:szCs w:val="21"/>
              </w:rPr>
            </w:pPr>
            <w:r w:rsidRPr="00B27A29">
              <w:rPr>
                <w:rFonts w:eastAsiaTheme="minorEastAsia"/>
                <w:color w:themeColor="text1" w:val="000000"/>
                <w:szCs w:val="21"/>
              </w:rPr>
              <w:t/>
            </w:r>
            <w:proofErr w:type="spellStart"/>
            <w:r w:rsidRPr="00B27A29">
              <w:rPr>
                <w:rFonts w:eastAsiaTheme="minorEastAsia"/>
                <w:color w:themeColor="text1" w:val="000000"/>
                <w:szCs w:val="21"/>
              </w:rPr>
              <w:t/>
            </w:r>
            <w:proofErr w:type="spellEnd"/>
            <w:r w:rsidRPr="00B27A29">
              <w:rPr>
                <w:rFonts w:eastAsiaTheme="minorEastAsia"/>
                <w:color w:themeColor="text1" w:val="000000"/>
                <w:szCs w:val="21"/>
              </w:rPr>
              <w:t>0.0086</w:t>
            </w:r>
          </w:p>
        </w:tc>
        <w:tc>
          <w:tcPr>
            <w:tcW w:type="dxa" w:w="2481"/>
            <w:vAlign w:val="center"/>
          </w:tcPr>
          <w:p w14:paraId="6E45EF54" w14:textId="77777777" w:rsidR="005E6DF3" w:rsidRDefault="005C671B" w:rsidRPr="00B27A29">
            <w:pPr>
              <w:adjustRightInd w:val="0"/>
              <w:spacing w:before="29" w:line="360" w:lineRule="auto"/>
              <w:ind w:left="17"/>
              <w:jc w:val="right"/>
              <w:rPr>
                <w:rFonts w:eastAsiaTheme="minorEastAsia"/>
                <w:color w:themeColor="text1" w:val="000000"/>
                <w:szCs w:val="21"/>
              </w:rPr>
            </w:pPr>
            <w:r w:rsidRPr="00B27A29">
              <w:rPr>
                <w:rFonts w:eastAsiaTheme="minorEastAsia"/>
                <w:color w:themeColor="text1" w:val="000000"/>
                <w:szCs w:val="21"/>
              </w:rPr>
              <w:t>0.0080</w:t>
            </w:r>
          </w:p>
        </w:tc>
      </w:tr>
      <w:tr w14:paraId="6153416B" w14:textId="77777777" w:rsidR="005E6DF3" w:rsidRPr="00B27A29">
        <w:tc>
          <w:tcPr>
            <w:tcW w:type="dxa" w:w="3402"/>
            <w:vAlign w:val="center"/>
          </w:tcPr>
          <w:p w14:paraId="4475C7CC" w14:textId="77777777" w:rsidR="005E6DF3" w:rsidRDefault="005C671B" w:rsidRPr="00B27A29">
            <w:pPr>
              <w:adjustRightInd w:val="0"/>
              <w:spacing w:before="29" w:line="360" w:lineRule="auto"/>
              <w:ind w:left="17"/>
              <w:rPr>
                <w:rFonts w:eastAsiaTheme="minorEastAsia"/>
                <w:color w:themeColor="text1" w:val="000000"/>
                <w:kern w:val="0"/>
                <w:szCs w:val="21"/>
              </w:rPr>
            </w:pPr>
            <w:r w:rsidRPr="00B27A29">
              <w:rPr>
                <w:rFonts w:eastAsiaTheme="minorEastAsia"/>
                <w:color w:themeColor="text1" w:val="000000"/>
                <w:kern w:val="0"/>
                <w:szCs w:val="21"/>
              </w:rPr>
              <w:t>4.</w:t>
            </w:r>
            <w:r w:rsidRPr="00B27A29">
              <w:rPr>
                <w:rFonts w:eastAsiaTheme="minorEastAsia"/>
                <w:color w:themeColor="text1" w:val="000000"/>
                <w:kern w:val="0"/>
                <w:szCs w:val="21"/>
              </w:rPr>
              <w:t>期末基金资产净值</w:t>
            </w:r>
          </w:p>
        </w:tc>
        <w:tc>
          <w:tcPr>
            <w:tcW w:type="dxa" w:w="2481"/>
            <w:vAlign w:val="center"/>
          </w:tcPr>
          <w:p w14:paraId="757EC58E" w14:textId="77777777" w:rsidR="005E6DF3" w:rsidRDefault="005C671B" w:rsidRPr="00B27A29">
            <w:pPr>
              <w:adjustRightInd w:val="0"/>
              <w:spacing w:before="29" w:line="360" w:lineRule="auto"/>
              <w:ind w:left="17"/>
              <w:jc w:val="right"/>
              <w:rPr>
                <w:rFonts w:eastAsiaTheme="minorEastAsia"/>
                <w:color w:themeColor="text1" w:val="000000"/>
                <w:szCs w:val="21"/>
              </w:rPr>
            </w:pPr>
            <w:r w:rsidRPr="00B27A29">
              <w:rPr>
                <w:rFonts w:eastAsiaTheme="minorEastAsia"/>
                <w:color w:themeColor="text1" w:val="000000"/>
                <w:szCs w:val="21"/>
              </w:rPr>
              <w:t/>
            </w:r>
            <w:proofErr w:type="spellStart"/>
            <w:r w:rsidRPr="00B27A29">
              <w:rPr>
                <w:rFonts w:eastAsiaTheme="minorEastAsia"/>
                <w:color w:themeColor="text1" w:val="000000"/>
                <w:szCs w:val="21"/>
              </w:rPr>
              <w:t/>
            </w:r>
            <w:proofErr w:type="spellEnd"/>
            <w:r w:rsidRPr="00B27A29">
              <w:rPr>
                <w:rFonts w:eastAsiaTheme="minorEastAsia"/>
                <w:color w:themeColor="text1" w:val="000000"/>
                <w:szCs w:val="21"/>
              </w:rPr>
              <w:t>170,874,935.23</w:t>
            </w:r>
          </w:p>
        </w:tc>
        <w:tc>
          <w:tcPr>
            <w:tcW w:type="dxa" w:w="2481"/>
            <w:vAlign w:val="center"/>
          </w:tcPr>
          <w:p w14:paraId="1B6DE0BC" w14:textId="77777777" w:rsidR="005E6DF3" w:rsidRDefault="005C671B" w:rsidRPr="00B27A29">
            <w:pPr>
              <w:adjustRightInd w:val="0"/>
              <w:spacing w:before="29" w:line="360" w:lineRule="auto"/>
              <w:ind w:left="17"/>
              <w:jc w:val="right"/>
              <w:rPr>
                <w:rFonts w:eastAsiaTheme="minorEastAsia"/>
                <w:color w:themeColor="text1" w:val="000000"/>
                <w:szCs w:val="21"/>
              </w:rPr>
            </w:pPr>
            <w:r w:rsidRPr="00B27A29">
              <w:rPr>
                <w:rFonts w:eastAsiaTheme="minorEastAsia"/>
                <w:color w:themeColor="text1" w:val="000000"/>
                <w:szCs w:val="21"/>
              </w:rPr>
              <w:t>1,136,405.06</w:t>
            </w:r>
          </w:p>
        </w:tc>
      </w:tr>
      <w:tr w14:paraId="11868B78" w14:textId="77777777" w:rsidR="005E6DF3" w:rsidRPr="00B27A29">
        <w:trPr>
          <w:trHeight w:val="158"/>
        </w:trPr>
        <w:tc>
          <w:tcPr>
            <w:tcW w:type="dxa" w:w="3402"/>
            <w:vAlign w:val="center"/>
          </w:tcPr>
          <w:p w14:paraId="52019DC1" w14:textId="77777777" w:rsidR="005E6DF3" w:rsidRDefault="005C671B" w:rsidRPr="00B27A29">
            <w:pPr>
              <w:adjustRightInd w:val="0"/>
              <w:spacing w:before="29" w:line="360" w:lineRule="auto"/>
              <w:ind w:left="17"/>
              <w:rPr>
                <w:rFonts w:eastAsiaTheme="minorEastAsia"/>
                <w:color w:themeColor="text1" w:val="000000"/>
                <w:kern w:val="0"/>
                <w:szCs w:val="21"/>
              </w:rPr>
            </w:pPr>
            <w:r w:rsidRPr="00B27A29">
              <w:rPr>
                <w:rFonts w:eastAsiaTheme="minorEastAsia"/>
                <w:color w:themeColor="text1" w:val="000000"/>
                <w:kern w:val="0"/>
                <w:szCs w:val="21"/>
              </w:rPr>
              <w:t>5.</w:t>
            </w:r>
            <w:r w:rsidRPr="00B27A29">
              <w:rPr>
                <w:rFonts w:eastAsiaTheme="minorEastAsia"/>
                <w:color w:themeColor="text1" w:val="000000"/>
                <w:kern w:val="0"/>
                <w:szCs w:val="21"/>
              </w:rPr>
              <w:t>期末基金份额净值</w:t>
            </w:r>
          </w:p>
        </w:tc>
        <w:tc>
          <w:tcPr>
            <w:tcW w:type="dxa" w:w="2481"/>
            <w:vAlign w:val="center"/>
          </w:tcPr>
          <w:p w14:paraId="230DE6EE" w14:textId="77777777" w:rsidR="005E6DF3" w:rsidRDefault="005C671B" w:rsidRPr="00B27A29">
            <w:pPr>
              <w:adjustRightInd w:val="0"/>
              <w:spacing w:before="29" w:line="360" w:lineRule="auto"/>
              <w:ind w:left="17"/>
              <w:jc w:val="right"/>
              <w:rPr>
                <w:rFonts w:eastAsiaTheme="minorEastAsia"/>
                <w:color w:themeColor="text1" w:val="000000"/>
                <w:szCs w:val="21"/>
              </w:rPr>
            </w:pPr>
            <w:r w:rsidRPr="00B27A29">
              <w:rPr>
                <w:rFonts w:eastAsiaTheme="minorEastAsia"/>
                <w:color w:themeColor="text1" w:val="000000"/>
                <w:szCs w:val="21"/>
              </w:rPr>
              <w:t/>
            </w:r>
            <w:proofErr w:type="spellStart"/>
            <w:r w:rsidRPr="00B27A29">
              <w:rPr>
                <w:rFonts w:eastAsiaTheme="minorEastAsia"/>
                <w:color w:themeColor="text1" w:val="000000"/>
                <w:szCs w:val="21"/>
              </w:rPr>
              <w:t/>
            </w:r>
            <w:proofErr w:type="spellEnd"/>
            <w:r w:rsidRPr="00B27A29">
              <w:rPr>
                <w:rFonts w:eastAsiaTheme="minorEastAsia"/>
                <w:color w:themeColor="text1" w:val="000000"/>
                <w:szCs w:val="21"/>
              </w:rPr>
              <w:t>1.0504</w:t>
            </w:r>
          </w:p>
        </w:tc>
        <w:tc>
          <w:tcPr>
            <w:tcW w:type="dxa" w:w="2481"/>
            <w:vAlign w:val="center"/>
          </w:tcPr>
          <w:p w14:paraId="67610EED" w14:textId="77777777" w:rsidR="005E6DF3" w:rsidRDefault="005C671B" w:rsidRPr="00B27A29">
            <w:pPr>
              <w:adjustRightInd w:val="0"/>
              <w:spacing w:before="29" w:line="360" w:lineRule="auto"/>
              <w:ind w:left="17"/>
              <w:jc w:val="right"/>
              <w:rPr>
                <w:rFonts w:eastAsiaTheme="minorEastAsia"/>
                <w:color w:themeColor="text1" w:val="000000"/>
                <w:szCs w:val="21"/>
              </w:rPr>
            </w:pPr>
            <w:r w:rsidRPr="00B27A29">
              <w:rPr>
                <w:rFonts w:eastAsiaTheme="minorEastAsia"/>
                <w:color w:themeColor="text1" w:val="000000"/>
                <w:szCs w:val="21"/>
              </w:rPr>
              <w:t>1.0463</w:t>
            </w:r>
          </w:p>
        </w:tc>
      </w:tr>
    </w:tbl>
    <w:p>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 xml:space="preserve">注：本期已实现收益指基金本期利息收入、投资收益、其他收入(不含公允价值变动收益)扣除相关费用后的余额，本期利润为本期已实现收益加上本期公允价值变动收益。 </w:t>
      </w:r>
    </w:p>
    <w:p w14:paraId="0BF3BAB1" w14:textId="77777777" w:rsidR="005E6DF3" w:rsidRDefault="005C671B" w:rsidRPr="00B27A29">
      <w:pPr>
        <w:autoSpaceDE w:val="0"/>
        <w:autoSpaceDN w:val="0"/>
        <w:adjustRightInd w:val="0"/>
        <w:spacing w:line="360" w:lineRule="auto"/>
        <w:ind w:firstLine="420" w:firstLineChars="200"/>
        <w:jc w:val="left"/>
        <w:rPr>
          <w:rFonts w:eastAsiaTheme="minorEastAsia"/>
          <w:color w:themeColor="text1" w:val="000000"/>
          <w:szCs w:val="21"/>
        </w:rPr>
      </w:pPr>
      <w:r w:rsidRPr="00B27A29">
        <w:rPr>
          <w:rFonts w:eastAsiaTheme="minorEastAsia"/>
          <w:color w:themeColor="text1" w:val="000000"/>
          <w:szCs w:val="21"/>
        </w:rPr>
        <w:t/>
      </w:r>
      <w:proofErr w:type="gramStart"/>
      <w:r w:rsidRPr="00B27A29">
        <w:rPr>
          <w:rFonts w:eastAsiaTheme="minorEastAsia"/>
          <w:color w:themeColor="text1" w:val="000000"/>
          <w:szCs w:val="21"/>
        </w:rPr>
        <w:t/>
      </w:r>
      <w:proofErr w:type="spellStart"/>
      <w:proofErr w:type="gramEnd"/>
      <w:r w:rsidRPr="00B27A29">
        <w:rPr>
          <w:rFonts w:eastAsiaTheme="minorEastAsia"/>
          <w:color w:themeColor="text1" w:val="000000"/>
          <w:szCs w:val="21"/>
        </w:rPr>
        <w:t/>
      </w:r>
      <w:proofErr w:type="spellEnd"/>
      <w:r w:rsidRPr="00B27A29">
        <w:rPr>
          <w:rFonts w:eastAsiaTheme="minorEastAsia"/>
          <w:color w:themeColor="text1" w:val="000000"/>
          <w:szCs w:val="21"/>
        </w:rPr>
        <w:t>上述基金业绩指标不包括持有人认购或交易基金的各项费用（例如，开放式基金的申购赎回费、红利再投资费、基金转换费等），计入费用后实际收益水平要低于所列数字。</w:t>
      </w:r>
    </w:p>
    <w:p w14:paraId="204DDFDC" w14:textId="77777777" w:rsidR="005E6DF3" w:rsidRDefault="005C671B" w:rsidRPr="00B27A29">
      <w:pPr>
        <w:autoSpaceDE w:val="0"/>
        <w:autoSpaceDN w:val="0"/>
        <w:adjustRightInd w:val="0"/>
        <w:spacing w:before="312" w:beforeLines="100" w:line="360" w:lineRule="auto"/>
        <w:jc w:val="left"/>
        <w:rPr>
          <w:rFonts w:eastAsiaTheme="minorEastAsia"/>
          <w:b/>
          <w:color w:themeColor="text1" w:val="000000"/>
          <w:kern w:val="0"/>
          <w:szCs w:val="21"/>
        </w:rPr>
      </w:pPr>
      <w:r w:rsidRPr="00B27A29">
        <w:rPr>
          <w:rFonts w:eastAsiaTheme="minorEastAsia"/>
          <w:b/>
          <w:color w:themeColor="text1" w:val="000000"/>
          <w:kern w:val="0"/>
          <w:szCs w:val="21"/>
        </w:rPr>
        <w:t xml:space="preserve">3.2 </w:t>
      </w:r>
      <w:r w:rsidRPr="00B27A29">
        <w:rPr>
          <w:rFonts w:eastAsiaTheme="minorEastAsia"/>
          <w:b/>
          <w:color w:themeColor="text1" w:val="000000"/>
          <w:kern w:val="0"/>
          <w:szCs w:val="21"/>
        </w:rPr>
        <w:t>基金净值表现</w:t>
      </w:r>
    </w:p>
    <w:p w14:paraId="6691C04E" w14:textId="77777777" w:rsidR="005E6DF3" w:rsidRDefault="005C671B" w:rsidRPr="00B27A29">
      <w:pPr>
        <w:autoSpaceDE w:val="0"/>
        <w:autoSpaceDN w:val="0"/>
        <w:adjustRightInd w:val="0"/>
        <w:spacing w:line="360" w:lineRule="auto"/>
        <w:jc w:val="left"/>
        <w:rPr>
          <w:rFonts w:eastAsiaTheme="minorEastAsia"/>
          <w:b/>
          <w:color w:themeColor="text1" w:val="000000"/>
          <w:kern w:val="0"/>
          <w:szCs w:val="21"/>
        </w:rPr>
      </w:pPr>
      <w:r w:rsidRPr="00B27A29">
        <w:rPr>
          <w:rFonts w:eastAsiaTheme="minorEastAsia"/>
          <w:b/>
          <w:color w:themeColor="text1" w:val="000000"/>
          <w:kern w:val="0"/>
          <w:szCs w:val="21"/>
        </w:rPr>
        <w:t>3.2.1</w:t>
      </w:r>
      <w:r w:rsidRPr="00B27A29">
        <w:rPr>
          <w:rFonts w:eastAsiaTheme="minorEastAsia"/>
          <w:b/>
          <w:color w:themeColor="text1" w:val="000000"/>
          <w:kern w:val="0"/>
          <w:szCs w:val="21"/>
        </w:rPr>
        <w:t>本报告</w:t>
      </w:r>
      <w:proofErr w:type="gramStart"/>
      <w:r w:rsidRPr="00B27A29">
        <w:rPr>
          <w:rFonts w:eastAsiaTheme="minorEastAsia"/>
          <w:b/>
          <w:color w:themeColor="text1" w:val="000000"/>
          <w:kern w:val="0"/>
          <w:szCs w:val="21"/>
        </w:rPr>
        <w:t>期基金</w:t>
      </w:r>
      <w:proofErr w:type="gramEnd"/>
      <w:r w:rsidRPr="00B27A29">
        <w:rPr>
          <w:rFonts w:eastAsiaTheme="minorEastAsia"/>
          <w:b/>
          <w:color w:themeColor="text1" w:val="000000"/>
          <w:kern w:val="0"/>
          <w:szCs w:val="21"/>
        </w:rPr>
        <w:t>份额净值增长率及其与同期业绩比较基准收益率的比较</w:t>
      </w:r>
    </w:p>
    <w:p w14:paraId="008B51D2" w14:textId="77777777" w:rsidR="005E6DF3" w:rsidRDefault="005C671B" w:rsidRPr="00B27A29">
      <w:pPr>
        <w:spacing w:line="360" w:lineRule="auto"/>
        <w:rPr>
          <w:rFonts w:eastAsiaTheme="minorEastAsia"/>
          <w:b/>
          <w:color w:themeColor="text1" w:val="000000"/>
          <w:szCs w:val="21"/>
        </w:rPr>
      </w:pPr>
      <w:r w:rsidRPr="00B27A29">
        <w:rPr>
          <w:rFonts w:eastAsiaTheme="minorEastAsia"/>
          <w:b/>
          <w:color w:themeColor="text1" w:val="000000"/>
          <w:szCs w:val="21"/>
        </w:rPr>
        <w:t>1</w:t>
      </w:r>
      <w:r w:rsidRPr="00B27A29">
        <w:rPr>
          <w:rFonts w:eastAsiaTheme="minorEastAsia"/>
          <w:b/>
          <w:color w:themeColor="text1" w:val="000000"/>
          <w:szCs w:val="21"/>
        </w:rPr>
        <w:t>、</w:t>
      </w:r>
      <w:r w:rsidRPr="00B27A29">
        <w:rPr>
          <w:rFonts w:eastAsiaTheme="minorEastAsia"/>
          <w:b/>
          <w:color w:themeColor="text1" w:val="000000"/>
          <w:kern w:val="0"/>
          <w:szCs w:val="21"/>
        </w:rPr>
        <w:t/>
      </w:r>
      <w:proofErr w:type="spellStart"/>
      <w:r w:rsidRPr="00B27A29">
        <w:rPr>
          <w:rFonts w:eastAsiaTheme="minorEastAsia"/>
          <w:b/>
          <w:color w:themeColor="text1" w:val="000000"/>
          <w:kern w:val="0"/>
          <w:szCs w:val="21"/>
        </w:rPr>
        <w:t/>
      </w:r>
      <w:proofErr w:type="spellEnd"/>
      <w:r w:rsidRPr="00B27A29">
        <w:rPr>
          <w:rFonts w:eastAsiaTheme="minorEastAsia"/>
          <w:b/>
          <w:color w:themeColor="text1" w:val="000000"/>
          <w:kern w:val="0"/>
          <w:szCs w:val="21"/>
        </w:rPr>
        <w:t>上投摩根瑞益纯债债券A</w:t>
      </w:r>
      <w:r w:rsidRPr="00B27A29">
        <w:rPr>
          <w:rFonts w:eastAsiaTheme="minorEastAsia"/>
          <w:b/>
          <w:color w:themeColor="text1" w:val="000000"/>
          <w:szCs w:val="21"/>
        </w:rPr>
        <w:t>：</w:t>
      </w:r>
    </w:p>
    <w:tbl>
      <w:tblPr>
        <w:tblStyle w:val="afa"/>
        <w:tblW w:type="dxa" w:w="9036"/>
        <w:tblInd w:type="dxa" w:w="108"/>
        <w:tblLayout w:type="fixed"/>
        <w:tblLook w:firstColumn="1" w:firstRow="1" w:lastColumn="0" w:lastRow="0" w:noHBand="0" w:noVBand="1" w:val="04A0"/>
      </w:tblPr>
      <w:tblGrid>
        <w:gridCol w:w="1290"/>
        <w:gridCol w:w="1291"/>
        <w:gridCol w:w="1291"/>
        <w:gridCol w:w="1291"/>
        <w:gridCol w:w="1291"/>
        <w:gridCol w:w="1291"/>
        <w:gridCol w:w="1291"/>
      </w:tblGrid>
      <w:tr w14:paraId="13CD749B" w14:textId="77777777" w:rsidR="005E6DF3" w:rsidRPr="00B27A29">
        <w:tc>
          <w:tcPr>
            <w:tcW w:type="dxa" w:w="1290"/>
            <w:vAlign w:val="center"/>
          </w:tcPr>
          <w:p w14:paraId="7BCEA4D3" w14:textId="77777777" w:rsidR="005E6DF3" w:rsidRDefault="005C671B" w:rsidRPr="00B27A29">
            <w:pPr>
              <w:snapToGrid w:val="0"/>
              <w:spacing w:line="288" w:lineRule="auto"/>
              <w:jc w:val="center"/>
              <w:rPr>
                <w:rFonts w:eastAsiaTheme="minorEastAsia"/>
                <w:color w:themeColor="text1" w:val="000000"/>
                <w:szCs w:val="21"/>
              </w:rPr>
            </w:pPr>
            <w:r w:rsidRPr="00B27A29">
              <w:rPr>
                <w:rFonts w:eastAsiaTheme="minorEastAsia"/>
                <w:color w:themeColor="text1" w:val="000000"/>
                <w:szCs w:val="21"/>
              </w:rPr>
              <w:t>阶段</w:t>
            </w:r>
            <w:r w:rsidRPr="00B27A29">
              <w:rPr>
                <w:rFonts w:eastAsiaTheme="minorEastAsia"/>
                <w:color w:themeColor="text1" w:val="000000"/>
                <w:szCs w:val="21"/>
              </w:rPr>
              <w:t/>
            </w:r>
            <w:proofErr w:type="spellStart"/>
            <w:r w:rsidRPr="00B27A29">
              <w:rPr>
                <w:rFonts w:eastAsiaTheme="minorEastAsia"/>
                <w:color w:themeColor="text1" w:val="000000"/>
                <w:szCs w:val="21"/>
              </w:rPr>
              <w:t/>
            </w:r>
            <w:proofErr w:type="spellEnd"/>
            <w:r w:rsidRPr="00B27A29">
              <w:rPr>
                <w:rFonts w:eastAsiaTheme="minorEastAsia"/>
                <w:color w:themeColor="text1" w:val="000000"/>
                <w:szCs w:val="21"/>
              </w:rPr>
              <w:t/>
            </w:r>
          </w:p>
        </w:tc>
        <w:tc>
          <w:tcPr>
            <w:tcW w:type="dxa" w:w="1291"/>
            <w:vAlign w:val="center"/>
          </w:tcPr>
          <w:p w14:paraId="4196340E" w14:textId="77777777" w:rsidR="005E6DF3" w:rsidRDefault="005C671B" w:rsidRPr="00B27A29">
            <w:pPr>
              <w:snapToGrid w:val="0"/>
              <w:spacing w:line="288" w:lineRule="auto"/>
              <w:jc w:val="center"/>
              <w:rPr>
                <w:rFonts w:eastAsiaTheme="minorEastAsia"/>
                <w:color w:themeColor="text1" w:val="000000"/>
                <w:szCs w:val="21"/>
              </w:rPr>
            </w:pPr>
            <w:r w:rsidRPr="00B27A29">
              <w:rPr>
                <w:rFonts w:eastAsiaTheme="minorEastAsia"/>
                <w:color w:themeColor="text1" w:val="000000"/>
                <w:szCs w:val="21"/>
              </w:rPr>
              <w:t>净值增长率</w:t>
            </w:r>
            <w:r w:rsidRPr="00B27A29">
              <w:rPr>
                <w:rFonts w:ascii="宋体" w:cs="宋体" w:hAnsi="宋体" w:hint="eastAsia"/>
                <w:color w:themeColor="text1" w:val="000000"/>
                <w:szCs w:val="21"/>
              </w:rPr>
              <w:t>①</w:t>
            </w:r>
          </w:p>
        </w:tc>
        <w:tc>
          <w:tcPr>
            <w:tcW w:type="dxa" w:w="1291"/>
            <w:vAlign w:val="center"/>
          </w:tcPr>
          <w:p w14:paraId="3A57D6C7" w14:textId="77777777" w:rsidR="005E6DF3" w:rsidRDefault="005C671B" w:rsidRPr="00B27A29">
            <w:pPr>
              <w:snapToGrid w:val="0"/>
              <w:spacing w:line="288" w:lineRule="auto"/>
              <w:jc w:val="center"/>
              <w:rPr>
                <w:rFonts w:eastAsiaTheme="minorEastAsia"/>
                <w:color w:themeColor="text1" w:val="000000"/>
                <w:szCs w:val="21"/>
              </w:rPr>
            </w:pPr>
            <w:r w:rsidRPr="00B27A29">
              <w:rPr>
                <w:rFonts w:eastAsiaTheme="minorEastAsia"/>
                <w:color w:themeColor="text1" w:val="000000"/>
                <w:szCs w:val="21"/>
              </w:rPr>
              <w:t>净值增长率标准差</w:t>
            </w:r>
            <w:r w:rsidRPr="00B27A29">
              <w:rPr>
                <w:rFonts w:ascii="宋体" w:cs="宋体" w:hAnsi="宋体" w:hint="eastAsia"/>
                <w:color w:themeColor="text1" w:val="000000"/>
                <w:szCs w:val="21"/>
              </w:rPr>
              <w:t>②</w:t>
            </w:r>
          </w:p>
        </w:tc>
        <w:tc>
          <w:tcPr>
            <w:tcW w:type="dxa" w:w="1291"/>
            <w:vAlign w:val="center"/>
          </w:tcPr>
          <w:p w14:paraId="56D75407" w14:textId="77777777" w:rsidR="005E6DF3" w:rsidRDefault="005C671B" w:rsidRPr="00B27A29">
            <w:pPr>
              <w:snapToGrid w:val="0"/>
              <w:spacing w:line="288" w:lineRule="auto"/>
              <w:jc w:val="center"/>
              <w:rPr>
                <w:rFonts w:eastAsiaTheme="minorEastAsia"/>
                <w:color w:themeColor="text1" w:val="000000"/>
                <w:szCs w:val="21"/>
              </w:rPr>
            </w:pPr>
            <w:r w:rsidRPr="00B27A29">
              <w:rPr>
                <w:rFonts w:eastAsiaTheme="minorEastAsia"/>
                <w:color w:themeColor="text1" w:val="000000"/>
                <w:szCs w:val="21"/>
              </w:rPr>
              <w:t>业绩比较基准收益率</w:t>
            </w:r>
            <w:r w:rsidRPr="00B27A29">
              <w:rPr>
                <w:rFonts w:ascii="宋体" w:cs="宋体" w:hAnsi="宋体" w:hint="eastAsia"/>
                <w:color w:themeColor="text1" w:val="000000"/>
                <w:szCs w:val="21"/>
              </w:rPr>
              <w:t>③</w:t>
            </w:r>
          </w:p>
        </w:tc>
        <w:tc>
          <w:tcPr>
            <w:tcW w:type="dxa" w:w="1291"/>
            <w:vAlign w:val="center"/>
          </w:tcPr>
          <w:p w14:paraId="1DBF722D" w14:textId="77777777" w:rsidR="005E6DF3" w:rsidRDefault="005C671B" w:rsidRPr="00B27A29">
            <w:pPr>
              <w:snapToGrid w:val="0"/>
              <w:spacing w:line="288" w:lineRule="auto"/>
              <w:jc w:val="center"/>
              <w:rPr>
                <w:rFonts w:eastAsiaTheme="minorEastAsia"/>
                <w:color w:themeColor="text1" w:val="000000"/>
                <w:szCs w:val="21"/>
              </w:rPr>
            </w:pPr>
            <w:r w:rsidRPr="00B27A29">
              <w:rPr>
                <w:rFonts w:eastAsiaTheme="minorEastAsia"/>
                <w:color w:themeColor="text1" w:val="000000"/>
                <w:szCs w:val="21"/>
              </w:rPr>
              <w:t>业绩比较基准收益率标准差</w:t>
            </w:r>
            <w:r w:rsidRPr="00B27A29">
              <w:rPr>
                <w:rFonts w:ascii="宋体" w:cs="宋体" w:hAnsi="宋体" w:hint="eastAsia"/>
                <w:color w:themeColor="text1" w:val="000000"/>
                <w:szCs w:val="21"/>
              </w:rPr>
              <w:t>④</w:t>
            </w:r>
          </w:p>
        </w:tc>
        <w:tc>
          <w:tcPr>
            <w:tcW w:type="dxa" w:w="1291"/>
            <w:vAlign w:val="center"/>
          </w:tcPr>
          <w:p w14:paraId="548BF5D3" w14:textId="77777777" w:rsidR="005E6DF3" w:rsidRDefault="005C671B" w:rsidRPr="00B27A29">
            <w:pPr>
              <w:snapToGrid w:val="0"/>
              <w:spacing w:line="288" w:lineRule="auto"/>
              <w:jc w:val="center"/>
              <w:rPr>
                <w:rFonts w:eastAsiaTheme="minorEastAsia"/>
                <w:color w:themeColor="text1" w:val="000000"/>
                <w:szCs w:val="21"/>
              </w:rPr>
            </w:pPr>
            <w:r w:rsidRPr="00B27A29">
              <w:rPr>
                <w:rFonts w:ascii="宋体" w:cs="宋体" w:hAnsi="宋体" w:hint="eastAsia"/>
                <w:color w:themeColor="text1" w:val="000000"/>
                <w:szCs w:val="21"/>
              </w:rPr>
              <w:t>①</w:t>
            </w:r>
            <w:r w:rsidRPr="00B27A29">
              <w:rPr>
                <w:rFonts w:eastAsiaTheme="minorEastAsia"/>
                <w:color w:themeColor="text1" w:val="000000"/>
                <w:szCs w:val="21"/>
              </w:rPr>
              <w:t>－</w:t>
            </w:r>
            <w:r w:rsidRPr="00B27A29">
              <w:rPr>
                <w:rFonts w:ascii="宋体" w:cs="宋体" w:hAnsi="宋体" w:hint="eastAsia"/>
                <w:color w:themeColor="text1" w:val="000000"/>
                <w:szCs w:val="21"/>
              </w:rPr>
              <w:t>③</w:t>
            </w:r>
          </w:p>
        </w:tc>
        <w:tc>
          <w:tcPr>
            <w:tcW w:type="dxa" w:w="1291"/>
            <w:vAlign w:val="center"/>
          </w:tcPr>
          <w:p w14:paraId="18627273" w14:textId="77777777" w:rsidR="005E6DF3" w:rsidRDefault="005C671B" w:rsidRPr="00B27A29">
            <w:pPr>
              <w:snapToGrid w:val="0"/>
              <w:spacing w:line="288" w:lineRule="auto"/>
              <w:jc w:val="center"/>
              <w:rPr>
                <w:rFonts w:eastAsiaTheme="minorEastAsia"/>
                <w:color w:themeColor="text1" w:val="000000"/>
                <w:szCs w:val="21"/>
              </w:rPr>
            </w:pPr>
            <w:r w:rsidRPr="00B27A29">
              <w:rPr>
                <w:rFonts w:ascii="宋体" w:cs="宋体" w:hAnsi="宋体" w:hint="eastAsia"/>
                <w:color w:themeColor="text1" w:val="000000"/>
                <w:szCs w:val="21"/>
              </w:rPr>
              <w:t>②</w:t>
            </w:r>
            <w:r w:rsidRPr="00B27A29">
              <w:rPr>
                <w:rFonts w:eastAsiaTheme="minorEastAsia"/>
                <w:color w:themeColor="text1" w:val="000000"/>
                <w:szCs w:val="21"/>
              </w:rPr>
              <w:t>－</w:t>
            </w:r>
            <w:r w:rsidRPr="00B27A29">
              <w:rPr>
                <w:rFonts w:ascii="宋体" w:cs="宋体" w:hAnsi="宋体" w:hint="eastAsia"/>
                <w:color w:themeColor="text1" w:val="000000"/>
                <w:szCs w:val="21"/>
              </w:rPr>
              <w:t>④</w:t>
            </w:r>
          </w:p>
        </w:tc>
      </w:tr>
      <w:tr>
        <w:tc>
          <w:tcPr>
            <w:vAlign w:val="center"/>
          </w:tcPr>
          <w:p>
            <w:pPr>
              <w:jc w:val="left"/>
            </w:pPr>
            <w:r>
              <w:rPr>
                <w:rFonts w:eastAsiaTheme="minorEastAsia"/>
                <w:color w:themeColor="text1" w:val="000000"/>
                <w:szCs w:val="21"/>
              </w:rPr>
              <w:t>过去三个月</w:t>
            </w:r>
          </w:p>
        </w:tc>
        <w:tc>
          <w:tcPr>
            <w:vAlign w:val="center"/>
          </w:tcPr>
          <w:p>
            <w:pPr>
              <w:jc w:val="right"/>
            </w:pPr>
            <w:r>
              <w:rPr>
                <w:rFonts w:eastAsiaTheme="minorEastAsia"/>
                <w:color w:themeColor="text1" w:val="000000"/>
                <w:szCs w:val="21"/>
              </w:rPr>
              <w:t>0.82%</w:t>
            </w:r>
          </w:p>
        </w:tc>
        <w:tc>
          <w:tcPr>
            <w:vAlign w:val="center"/>
          </w:tcPr>
          <w:p>
            <w:pPr>
              <w:jc w:val="right"/>
            </w:pPr>
            <w:r>
              <w:rPr>
                <w:rFonts w:eastAsiaTheme="minorEastAsia"/>
                <w:color w:themeColor="text1" w:val="000000"/>
                <w:szCs w:val="21"/>
              </w:rPr>
              <w:t>0.02%</w:t>
            </w:r>
          </w:p>
        </w:tc>
        <w:tc>
          <w:tcPr>
            <w:vAlign w:val="center"/>
          </w:tcPr>
          <w:p>
            <w:pPr>
              <w:jc w:val="right"/>
            </w:pPr>
            <w:r>
              <w:rPr>
                <w:rFonts w:eastAsiaTheme="minorEastAsia"/>
                <w:color w:themeColor="text1" w:val="000000"/>
                <w:szCs w:val="21"/>
              </w:rPr>
              <w:t>1.70%</w:t>
            </w:r>
          </w:p>
        </w:tc>
        <w:tc>
          <w:tcPr>
            <w:vAlign w:val="center"/>
          </w:tcPr>
          <w:p>
            <w:pPr>
              <w:jc w:val="right"/>
            </w:pPr>
            <w:r>
              <w:rPr>
                <w:rFonts w:eastAsiaTheme="minorEastAsia"/>
                <w:color w:themeColor="text1" w:val="000000"/>
                <w:szCs w:val="21"/>
              </w:rPr>
              <w:t>0.06%</w:t>
            </w:r>
          </w:p>
        </w:tc>
        <w:tc>
          <w:tcPr>
            <w:vAlign w:val="center"/>
          </w:tcPr>
          <w:p>
            <w:pPr>
              <w:jc w:val="right"/>
            </w:pPr>
            <w:r>
              <w:rPr>
                <w:rFonts w:eastAsiaTheme="minorEastAsia"/>
                <w:color w:themeColor="text1" w:val="000000"/>
                <w:szCs w:val="21"/>
              </w:rPr>
              <w:t>-0.88%</w:t>
            </w:r>
          </w:p>
        </w:tc>
        <w:tc>
          <w:tcPr>
            <w:vAlign w:val="center"/>
          </w:tcPr>
          <w:p>
            <w:pPr>
              <w:jc w:val="right"/>
            </w:pPr>
            <w:r>
              <w:rPr>
                <w:rFonts w:eastAsiaTheme="minorEastAsia"/>
                <w:color w:themeColor="text1" w:val="000000"/>
                <w:szCs w:val="21"/>
              </w:rPr>
              <w:t>-0.04%</w:t>
            </w:r>
          </w:p>
        </w:tc>
      </w:tr>
      <w:tr>
        <w:tc>
          <w:tcPr>
            <w:vAlign w:val="center"/>
          </w:tcPr>
          <w:p>
            <w:pPr>
              <w:jc w:val="left"/>
            </w:pPr>
            <w:r>
              <w:rPr>
                <w:rFonts w:eastAsiaTheme="minorEastAsia"/>
                <w:color w:themeColor="text1" w:val="000000"/>
                <w:szCs w:val="21"/>
              </w:rPr>
              <w:t>过去六个月</w:t>
            </w:r>
          </w:p>
        </w:tc>
        <w:tc>
          <w:tcPr>
            <w:vAlign w:val="center"/>
          </w:tcPr>
          <w:p>
            <w:pPr>
              <w:jc w:val="right"/>
            </w:pPr>
            <w:r>
              <w:rPr>
                <w:rFonts w:eastAsiaTheme="minorEastAsia"/>
                <w:color w:themeColor="text1" w:val="000000"/>
                <w:szCs w:val="21"/>
              </w:rPr>
              <w:t>1.97%</w:t>
            </w:r>
          </w:p>
        </w:tc>
        <w:tc>
          <w:tcPr>
            <w:vAlign w:val="center"/>
          </w:tcPr>
          <w:p>
            <w:pPr>
              <w:jc w:val="right"/>
            </w:pPr>
            <w:r>
              <w:rPr>
                <w:rFonts w:eastAsiaTheme="minorEastAsia"/>
                <w:color w:themeColor="text1" w:val="000000"/>
                <w:szCs w:val="21"/>
              </w:rPr>
              <w:t>0.02%</w:t>
            </w:r>
          </w:p>
        </w:tc>
        <w:tc>
          <w:tcPr>
            <w:vAlign w:val="center"/>
          </w:tcPr>
          <w:p>
            <w:pPr>
              <w:jc w:val="right"/>
            </w:pPr>
            <w:r>
              <w:rPr>
                <w:rFonts w:eastAsiaTheme="minorEastAsia"/>
                <w:color w:themeColor="text1" w:val="000000"/>
                <w:szCs w:val="21"/>
              </w:rPr>
              <w:t>2.95%</w:t>
            </w:r>
          </w:p>
        </w:tc>
        <w:tc>
          <w:tcPr>
            <w:vAlign w:val="center"/>
          </w:tcPr>
          <w:p>
            <w:pPr>
              <w:jc w:val="right"/>
            </w:pPr>
            <w:r>
              <w:rPr>
                <w:rFonts w:eastAsiaTheme="minorEastAsia"/>
                <w:color w:themeColor="text1" w:val="000000"/>
                <w:szCs w:val="21"/>
              </w:rPr>
              <w:t>0.05%</w:t>
            </w:r>
          </w:p>
        </w:tc>
        <w:tc>
          <w:tcPr>
            <w:vAlign w:val="center"/>
          </w:tcPr>
          <w:p>
            <w:pPr>
              <w:jc w:val="right"/>
            </w:pPr>
            <w:r>
              <w:rPr>
                <w:rFonts w:eastAsiaTheme="minorEastAsia"/>
                <w:color w:themeColor="text1" w:val="000000"/>
                <w:szCs w:val="21"/>
              </w:rPr>
              <w:t>-0.98%</w:t>
            </w:r>
          </w:p>
        </w:tc>
        <w:tc>
          <w:tcPr>
            <w:vAlign w:val="center"/>
          </w:tcPr>
          <w:p>
            <w:pPr>
              <w:jc w:val="right"/>
            </w:pPr>
            <w:r>
              <w:rPr>
                <w:rFonts w:eastAsiaTheme="minorEastAsia"/>
                <w:color w:themeColor="text1" w:val="000000"/>
                <w:szCs w:val="21"/>
              </w:rPr>
              <w:t>-0.03%</w:t>
            </w:r>
          </w:p>
        </w:tc>
      </w:tr>
      <w:tr>
        <w:tc>
          <w:tcPr>
            <w:vAlign w:val="center"/>
          </w:tcPr>
          <w:p>
            <w:pPr>
              <w:jc w:val="left"/>
            </w:pPr>
            <w:r>
              <w:rPr>
                <w:rFonts w:eastAsiaTheme="minorEastAsia"/>
                <w:color w:themeColor="text1" w:val="000000"/>
                <w:szCs w:val="21"/>
              </w:rPr>
              <w:t>过去一年</w:t>
            </w:r>
          </w:p>
        </w:tc>
        <w:tc>
          <w:tcPr>
            <w:vAlign w:val="center"/>
          </w:tcPr>
          <w:p>
            <w:pPr>
              <w:jc w:val="right"/>
            </w:pPr>
            <w:r>
              <w:rPr>
                <w:rFonts w:eastAsiaTheme="minorEastAsia"/>
                <w:color w:themeColor="text1" w:val="000000"/>
                <w:szCs w:val="21"/>
              </w:rPr>
              <w:t>3.67%</w:t>
            </w:r>
          </w:p>
        </w:tc>
        <w:tc>
          <w:tcPr>
            <w:vAlign w:val="center"/>
          </w:tcPr>
          <w:p>
            <w:pPr>
              <w:jc w:val="right"/>
            </w:pPr>
            <w:r>
              <w:rPr>
                <w:rFonts w:eastAsiaTheme="minorEastAsia"/>
                <w:color w:themeColor="text1" w:val="000000"/>
                <w:szCs w:val="21"/>
              </w:rPr>
              <w:t>0.03%</w:t>
            </w:r>
          </w:p>
        </w:tc>
        <w:tc>
          <w:tcPr>
            <w:vAlign w:val="center"/>
          </w:tcPr>
          <w:p>
            <w:pPr>
              <w:jc w:val="right"/>
            </w:pPr>
            <w:r>
              <w:rPr>
                <w:rFonts w:eastAsiaTheme="minorEastAsia"/>
                <w:color w:themeColor="text1" w:val="000000"/>
                <w:szCs w:val="21"/>
              </w:rPr>
              <w:t>5.19%</w:t>
            </w:r>
          </w:p>
        </w:tc>
        <w:tc>
          <w:tcPr>
            <w:vAlign w:val="center"/>
          </w:tcPr>
          <w:p>
            <w:pPr>
              <w:jc w:val="right"/>
            </w:pPr>
            <w:r>
              <w:rPr>
                <w:rFonts w:eastAsiaTheme="minorEastAsia"/>
                <w:color w:themeColor="text1" w:val="000000"/>
                <w:szCs w:val="21"/>
              </w:rPr>
              <w:t>0.05%</w:t>
            </w:r>
          </w:p>
        </w:tc>
        <w:tc>
          <w:tcPr>
            <w:vAlign w:val="center"/>
          </w:tcPr>
          <w:p>
            <w:pPr>
              <w:jc w:val="right"/>
            </w:pPr>
            <w:r>
              <w:rPr>
                <w:rFonts w:eastAsiaTheme="minorEastAsia"/>
                <w:color w:themeColor="text1" w:val="000000"/>
                <w:szCs w:val="21"/>
              </w:rPr>
              <w:t>-1.52%</w:t>
            </w:r>
          </w:p>
        </w:tc>
        <w:tc>
          <w:tcPr>
            <w:vAlign w:val="center"/>
          </w:tcPr>
          <w:p>
            <w:pPr>
              <w:jc w:val="right"/>
            </w:pPr>
            <w:r>
              <w:rPr>
                <w:rFonts w:eastAsiaTheme="minorEastAsia"/>
                <w:color w:themeColor="text1" w:val="000000"/>
                <w:szCs w:val="21"/>
              </w:rPr>
              <w:t>-0.02%</w:t>
            </w:r>
          </w:p>
        </w:tc>
      </w:tr>
      <w:tr>
        <w:tc>
          <w:tcPr>
            <w:vAlign w:val="center"/>
          </w:tcPr>
          <w:p>
            <w:pPr>
              <w:jc w:val="left"/>
            </w:pPr>
            <w:r>
              <w:rPr>
                <w:rFonts w:eastAsiaTheme="minorEastAsia"/>
                <w:color w:themeColor="text1" w:val="000000"/>
                <w:szCs w:val="21"/>
              </w:rPr>
              <w:t>过去三年</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r>
      <w:tr>
        <w:tc>
          <w:tcPr>
            <w:vAlign w:val="center"/>
          </w:tcPr>
          <w:p>
            <w:pPr>
              <w:jc w:val="left"/>
            </w:pPr>
            <w:r>
              <w:rPr>
                <w:rFonts w:eastAsiaTheme="minorEastAsia"/>
                <w:color w:themeColor="text1" w:val="000000"/>
                <w:szCs w:val="21"/>
              </w:rPr>
              <w:t>过去五年</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r>
      <w:tr>
        <w:tc>
          <w:tcPr>
            <w:vAlign w:val="center"/>
          </w:tcPr>
          <w:p>
            <w:pPr>
              <w:jc w:val="left"/>
            </w:pPr>
            <w:r>
              <w:rPr>
                <w:rFonts w:eastAsiaTheme="minorEastAsia"/>
                <w:color w:themeColor="text1" w:val="000000"/>
                <w:szCs w:val="21"/>
              </w:rPr>
              <w:t>自基金合同生效起至今</w:t>
            </w:r>
          </w:p>
        </w:tc>
        <w:tc>
          <w:tcPr>
            <w:vAlign w:val="center"/>
          </w:tcPr>
          <w:p>
            <w:pPr>
              <w:jc w:val="right"/>
            </w:pPr>
            <w:r>
              <w:rPr>
                <w:rFonts w:eastAsiaTheme="minorEastAsia"/>
                <w:color w:themeColor="text1" w:val="000000"/>
                <w:szCs w:val="21"/>
              </w:rPr>
              <w:t>5.04%</w:t>
            </w:r>
          </w:p>
        </w:tc>
        <w:tc>
          <w:tcPr>
            <w:vAlign w:val="center"/>
          </w:tcPr>
          <w:p>
            <w:pPr>
              <w:jc w:val="right"/>
            </w:pPr>
            <w:r>
              <w:rPr>
                <w:rFonts w:eastAsiaTheme="minorEastAsia"/>
                <w:color w:themeColor="text1" w:val="000000"/>
                <w:szCs w:val="21"/>
              </w:rPr>
              <w:t>0.05%</w:t>
            </w:r>
          </w:p>
        </w:tc>
        <w:tc>
          <w:tcPr>
            <w:vAlign w:val="center"/>
          </w:tcPr>
          <w:p>
            <w:pPr>
              <w:jc w:val="right"/>
            </w:pPr>
            <w:r>
              <w:rPr>
                <w:rFonts w:eastAsiaTheme="minorEastAsia"/>
                <w:color w:themeColor="text1" w:val="000000"/>
                <w:szCs w:val="21"/>
              </w:rPr>
              <w:t>7.73%</w:t>
            </w:r>
          </w:p>
        </w:tc>
        <w:tc>
          <w:tcPr>
            <w:vAlign w:val="center"/>
          </w:tcPr>
          <w:p>
            <w:pPr>
              <w:jc w:val="right"/>
            </w:pPr>
            <w:r>
              <w:rPr>
                <w:rFonts w:eastAsiaTheme="minorEastAsia"/>
                <w:color w:themeColor="text1" w:val="000000"/>
                <w:szCs w:val="21"/>
              </w:rPr>
              <w:t>0.07%</w:t>
            </w:r>
          </w:p>
        </w:tc>
        <w:tc>
          <w:tcPr>
            <w:vAlign w:val="center"/>
          </w:tcPr>
          <w:p>
            <w:pPr>
              <w:jc w:val="right"/>
            </w:pPr>
            <w:r>
              <w:rPr>
                <w:rFonts w:eastAsiaTheme="minorEastAsia"/>
                <w:color w:themeColor="text1" w:val="000000"/>
                <w:szCs w:val="21"/>
              </w:rPr>
              <w:t>-2.69%</w:t>
            </w:r>
          </w:p>
        </w:tc>
        <w:tc>
          <w:tcPr>
            <w:vAlign w:val="center"/>
          </w:tcPr>
          <w:p>
            <w:pPr>
              <w:jc w:val="right"/>
            </w:pPr>
            <w:r>
              <w:rPr>
                <w:rFonts w:eastAsiaTheme="minorEastAsia"/>
                <w:color w:themeColor="text1" w:val="000000"/>
                <w:szCs w:val="21"/>
              </w:rPr>
              <w:t>-0.02%</w:t>
            </w:r>
          </w:p>
        </w:tc>
      </w:tr>
    </w:tbl>
    <w:p w14:paraId="1AC087F9" w14:textId="77777777" w:rsidR="005E6DF3" w:rsidRDefault="005C671B" w:rsidRPr="00B27A29">
      <w:pPr>
        <w:adjustRightInd w:val="0"/>
        <w:spacing w:before="312" w:beforeLines="100" w:line="360" w:lineRule="auto"/>
        <w:rPr>
          <w:rFonts w:eastAsiaTheme="minorEastAsia"/>
          <w:b/>
          <w:color w:themeColor="text1" w:val="000000"/>
          <w:kern w:val="0"/>
          <w:szCs w:val="21"/>
        </w:rPr>
      </w:pPr>
      <w:r w:rsidRPr="00B27A29">
        <w:rPr>
          <w:rFonts w:eastAsiaTheme="minorEastAsia"/>
          <w:b/>
          <w:color w:themeColor="text1" w:val="000000"/>
          <w:szCs w:val="21"/>
        </w:rPr>
        <w:lastRenderedPageBreak/>
        <w:t>2</w:t>
      </w:r>
      <w:r w:rsidRPr="00B27A29">
        <w:rPr>
          <w:rFonts w:eastAsiaTheme="minorEastAsia"/>
          <w:b/>
          <w:color w:themeColor="text1" w:val="000000"/>
          <w:szCs w:val="21"/>
        </w:rPr>
        <w:t>、</w:t>
      </w:r>
      <w:r w:rsidRPr="00B27A29">
        <w:rPr>
          <w:rFonts w:eastAsiaTheme="minorEastAsia"/>
          <w:b/>
          <w:color w:themeColor="text1" w:val="000000"/>
          <w:kern w:val="0"/>
          <w:szCs w:val="21"/>
        </w:rPr>
        <w:t>上投摩根瑞益纯债债券C</w:t>
      </w:r>
      <w:r w:rsidRPr="00B27A29">
        <w:rPr>
          <w:rFonts w:eastAsiaTheme="minorEastAsia"/>
          <w:b/>
          <w:color w:themeColor="text1" w:val="000000"/>
          <w:kern w:val="0"/>
          <w:szCs w:val="21"/>
        </w:rPr>
        <w:t>：</w:t>
      </w:r>
    </w:p>
    <w:tbl>
      <w:tblPr>
        <w:tblStyle w:val="afa"/>
        <w:tblW w:type="dxa" w:w="9036"/>
        <w:tblInd w:type="dxa" w:w="108"/>
        <w:tblLayout w:type="fixed"/>
        <w:tblLook w:firstColumn="1" w:firstRow="1" w:lastColumn="0" w:lastRow="0" w:noHBand="0" w:noVBand="1" w:val="04A0"/>
      </w:tblPr>
      <w:tblGrid>
        <w:gridCol w:w="1290"/>
        <w:gridCol w:w="1291"/>
        <w:gridCol w:w="1291"/>
        <w:gridCol w:w="1291"/>
        <w:gridCol w:w="1291"/>
        <w:gridCol w:w="1291"/>
        <w:gridCol w:w="1291"/>
      </w:tblGrid>
      <w:tr w14:paraId="4F26FCF0" w14:textId="77777777" w:rsidR="005E6DF3" w:rsidRPr="00B27A29">
        <w:tc>
          <w:tcPr>
            <w:tcW w:type="dxa" w:w="1290"/>
            <w:vAlign w:val="center"/>
          </w:tcPr>
          <w:p w14:paraId="672D1BAB" w14:textId="77777777" w:rsidR="005E6DF3" w:rsidRDefault="005C671B" w:rsidRPr="00B27A29">
            <w:pPr>
              <w:snapToGrid w:val="0"/>
              <w:spacing w:line="288" w:lineRule="auto"/>
              <w:jc w:val="center"/>
              <w:rPr>
                <w:rFonts w:eastAsiaTheme="minorEastAsia"/>
                <w:color w:themeColor="text1" w:val="000000"/>
                <w:szCs w:val="21"/>
              </w:rPr>
            </w:pPr>
            <w:r w:rsidRPr="00B27A29">
              <w:rPr>
                <w:rFonts w:eastAsiaTheme="minorEastAsia"/>
                <w:color w:themeColor="text1" w:val="000000"/>
                <w:szCs w:val="21"/>
              </w:rPr>
              <w:t>阶段</w:t>
            </w:r>
            <w:r w:rsidRPr="00B27A29">
              <w:rPr>
                <w:rFonts w:eastAsiaTheme="minorEastAsia"/>
                <w:color w:themeColor="text1" w:val="000000"/>
                <w:szCs w:val="21"/>
              </w:rPr>
              <w:t/>
            </w:r>
            <w:proofErr w:type="spellStart"/>
            <w:r w:rsidRPr="00B27A29">
              <w:rPr>
                <w:rFonts w:eastAsiaTheme="minorEastAsia"/>
                <w:color w:themeColor="text1" w:val="000000"/>
                <w:szCs w:val="21"/>
              </w:rPr>
              <w:t/>
            </w:r>
            <w:proofErr w:type="spellEnd"/>
            <w:r w:rsidRPr="00B27A29">
              <w:rPr>
                <w:rFonts w:eastAsiaTheme="minorEastAsia"/>
                <w:color w:themeColor="text1" w:val="000000"/>
                <w:szCs w:val="21"/>
              </w:rPr>
              <w:t/>
            </w:r>
          </w:p>
        </w:tc>
        <w:tc>
          <w:tcPr>
            <w:tcW w:type="dxa" w:w="1291"/>
            <w:vAlign w:val="center"/>
          </w:tcPr>
          <w:p w14:paraId="488B6283" w14:textId="77777777" w:rsidR="005E6DF3" w:rsidRDefault="005C671B" w:rsidRPr="00B27A29">
            <w:pPr>
              <w:snapToGrid w:val="0"/>
              <w:spacing w:line="288" w:lineRule="auto"/>
              <w:jc w:val="center"/>
              <w:rPr>
                <w:rFonts w:eastAsiaTheme="minorEastAsia"/>
                <w:color w:themeColor="text1" w:val="000000"/>
                <w:szCs w:val="21"/>
                <w:highlight w:val="green"/>
              </w:rPr>
            </w:pPr>
            <w:r w:rsidRPr="00B27A29">
              <w:rPr>
                <w:rFonts w:eastAsiaTheme="minorEastAsia"/>
                <w:color w:themeColor="text1" w:val="000000"/>
                <w:szCs w:val="21"/>
              </w:rPr>
              <w:t>净值增长率</w:t>
            </w:r>
            <w:r w:rsidRPr="00B27A29">
              <w:rPr>
                <w:rFonts w:ascii="宋体" w:cs="宋体" w:hAnsi="宋体" w:hint="eastAsia"/>
                <w:color w:themeColor="text1" w:val="000000"/>
                <w:szCs w:val="21"/>
              </w:rPr>
              <w:t>①</w:t>
            </w:r>
          </w:p>
        </w:tc>
        <w:tc>
          <w:tcPr>
            <w:tcW w:type="dxa" w:w="1291"/>
            <w:vAlign w:val="center"/>
          </w:tcPr>
          <w:p w14:paraId="264F0AF1" w14:textId="77777777" w:rsidR="005E6DF3" w:rsidRDefault="005C671B" w:rsidRPr="00B27A29">
            <w:pPr>
              <w:snapToGrid w:val="0"/>
              <w:spacing w:line="288" w:lineRule="auto"/>
              <w:jc w:val="center"/>
              <w:rPr>
                <w:rFonts w:eastAsiaTheme="minorEastAsia"/>
                <w:color w:themeColor="text1" w:val="000000"/>
                <w:szCs w:val="21"/>
                <w:highlight w:val="green"/>
              </w:rPr>
            </w:pPr>
            <w:r w:rsidRPr="00B27A29">
              <w:rPr>
                <w:rFonts w:eastAsiaTheme="minorEastAsia"/>
                <w:color w:themeColor="text1" w:val="000000"/>
                <w:szCs w:val="21"/>
              </w:rPr>
              <w:t>净值增长率标准差</w:t>
            </w:r>
            <w:r w:rsidRPr="00B27A29">
              <w:rPr>
                <w:rFonts w:ascii="宋体" w:cs="宋体" w:hAnsi="宋体" w:hint="eastAsia"/>
                <w:color w:themeColor="text1" w:val="000000"/>
                <w:szCs w:val="21"/>
              </w:rPr>
              <w:t>②</w:t>
            </w:r>
          </w:p>
        </w:tc>
        <w:tc>
          <w:tcPr>
            <w:tcW w:type="dxa" w:w="1291"/>
            <w:vAlign w:val="center"/>
          </w:tcPr>
          <w:p w14:paraId="416380BD" w14:textId="77777777" w:rsidR="005E6DF3" w:rsidRDefault="005C671B" w:rsidRPr="00B27A29">
            <w:pPr>
              <w:snapToGrid w:val="0"/>
              <w:spacing w:line="288" w:lineRule="auto"/>
              <w:jc w:val="center"/>
              <w:rPr>
                <w:rFonts w:eastAsiaTheme="minorEastAsia"/>
                <w:color w:themeColor="text1" w:val="000000"/>
                <w:szCs w:val="21"/>
              </w:rPr>
            </w:pPr>
            <w:r w:rsidRPr="00B27A29">
              <w:rPr>
                <w:rFonts w:eastAsiaTheme="minorEastAsia"/>
                <w:color w:themeColor="text1" w:val="000000"/>
                <w:szCs w:val="21"/>
              </w:rPr>
              <w:t>业绩比较基准收益率</w:t>
            </w:r>
            <w:r w:rsidRPr="00B27A29">
              <w:rPr>
                <w:rFonts w:ascii="宋体" w:cs="宋体" w:hAnsi="宋体" w:hint="eastAsia"/>
                <w:color w:themeColor="text1" w:val="000000"/>
                <w:szCs w:val="21"/>
              </w:rPr>
              <w:t>③</w:t>
            </w:r>
          </w:p>
        </w:tc>
        <w:tc>
          <w:tcPr>
            <w:tcW w:type="dxa" w:w="1291"/>
            <w:vAlign w:val="center"/>
          </w:tcPr>
          <w:p w14:paraId="214EAD8D" w14:textId="77777777" w:rsidR="005E6DF3" w:rsidRDefault="005C671B" w:rsidRPr="00B27A29">
            <w:pPr>
              <w:snapToGrid w:val="0"/>
              <w:spacing w:line="288" w:lineRule="auto"/>
              <w:jc w:val="center"/>
              <w:rPr>
                <w:rFonts w:eastAsiaTheme="minorEastAsia"/>
                <w:color w:themeColor="text1" w:val="000000"/>
                <w:szCs w:val="21"/>
              </w:rPr>
            </w:pPr>
            <w:r w:rsidRPr="00B27A29">
              <w:rPr>
                <w:rFonts w:eastAsiaTheme="minorEastAsia"/>
                <w:color w:themeColor="text1" w:val="000000"/>
                <w:szCs w:val="21"/>
              </w:rPr>
              <w:t>业绩比较基准收益率标准差</w:t>
            </w:r>
            <w:r w:rsidRPr="00B27A29">
              <w:rPr>
                <w:rFonts w:ascii="宋体" w:cs="宋体" w:hAnsi="宋体" w:hint="eastAsia"/>
                <w:color w:themeColor="text1" w:val="000000"/>
                <w:szCs w:val="21"/>
              </w:rPr>
              <w:t>④</w:t>
            </w:r>
          </w:p>
        </w:tc>
        <w:tc>
          <w:tcPr>
            <w:tcW w:type="dxa" w:w="1291"/>
            <w:vAlign w:val="center"/>
          </w:tcPr>
          <w:p w14:paraId="6264BA5C" w14:textId="77777777" w:rsidR="005E6DF3" w:rsidRDefault="005C671B" w:rsidRPr="00B27A29">
            <w:pPr>
              <w:snapToGrid w:val="0"/>
              <w:spacing w:line="288" w:lineRule="auto"/>
              <w:jc w:val="center"/>
              <w:rPr>
                <w:rFonts w:eastAsiaTheme="minorEastAsia"/>
                <w:color w:themeColor="text1" w:val="000000"/>
                <w:szCs w:val="21"/>
              </w:rPr>
            </w:pPr>
            <w:r w:rsidRPr="00B27A29">
              <w:rPr>
                <w:rFonts w:ascii="宋体" w:cs="宋体" w:hAnsi="宋体" w:hint="eastAsia"/>
                <w:color w:themeColor="text1" w:val="000000"/>
                <w:szCs w:val="21"/>
              </w:rPr>
              <w:t>①</w:t>
            </w:r>
            <w:r w:rsidRPr="00B27A29">
              <w:rPr>
                <w:rFonts w:eastAsiaTheme="minorEastAsia"/>
                <w:color w:themeColor="text1" w:val="000000"/>
                <w:szCs w:val="21"/>
              </w:rPr>
              <w:t>－</w:t>
            </w:r>
            <w:r w:rsidRPr="00B27A29">
              <w:rPr>
                <w:rFonts w:ascii="宋体" w:cs="宋体" w:hAnsi="宋体" w:hint="eastAsia"/>
                <w:color w:themeColor="text1" w:val="000000"/>
                <w:szCs w:val="21"/>
              </w:rPr>
              <w:t>③</w:t>
            </w:r>
          </w:p>
        </w:tc>
        <w:tc>
          <w:tcPr>
            <w:tcW w:type="dxa" w:w="1291"/>
            <w:vAlign w:val="center"/>
          </w:tcPr>
          <w:p w14:paraId="4D4E47D8" w14:textId="77777777" w:rsidR="005E6DF3" w:rsidRDefault="005C671B" w:rsidRPr="00B27A29">
            <w:pPr>
              <w:snapToGrid w:val="0"/>
              <w:spacing w:line="288" w:lineRule="auto"/>
              <w:jc w:val="center"/>
              <w:rPr>
                <w:rFonts w:eastAsiaTheme="minorEastAsia"/>
                <w:color w:themeColor="text1" w:val="000000"/>
                <w:szCs w:val="21"/>
              </w:rPr>
            </w:pPr>
            <w:r w:rsidRPr="00B27A29">
              <w:rPr>
                <w:rFonts w:ascii="宋体" w:cs="宋体" w:hAnsi="宋体" w:hint="eastAsia"/>
                <w:color w:themeColor="text1" w:val="000000"/>
                <w:szCs w:val="21"/>
              </w:rPr>
              <w:t>②</w:t>
            </w:r>
            <w:r w:rsidRPr="00B27A29">
              <w:rPr>
                <w:rFonts w:eastAsiaTheme="minorEastAsia"/>
                <w:color w:themeColor="text1" w:val="000000"/>
                <w:szCs w:val="21"/>
              </w:rPr>
              <w:t>－</w:t>
            </w:r>
            <w:r w:rsidRPr="00B27A29">
              <w:rPr>
                <w:rFonts w:ascii="宋体" w:cs="宋体" w:hAnsi="宋体" w:hint="eastAsia"/>
                <w:color w:themeColor="text1" w:val="000000"/>
                <w:szCs w:val="21"/>
              </w:rPr>
              <w:t>④</w:t>
            </w:r>
          </w:p>
        </w:tc>
      </w:tr>
      <w:tr>
        <w:tc>
          <w:tcPr>
            <w:vAlign w:val="center"/>
          </w:tcPr>
          <w:p>
            <w:pPr>
              <w:jc w:val="left"/>
            </w:pPr>
            <w:r>
              <w:rPr>
                <w:rFonts w:eastAsiaTheme="minorEastAsia"/>
                <w:color w:themeColor="text1" w:val="000000"/>
                <w:szCs w:val="21"/>
              </w:rPr>
              <w:t>过去三个月</w:t>
            </w:r>
          </w:p>
        </w:tc>
        <w:tc>
          <w:tcPr>
            <w:vAlign w:val="center"/>
          </w:tcPr>
          <w:p>
            <w:pPr>
              <w:jc w:val="right"/>
            </w:pPr>
            <w:r>
              <w:rPr>
                <w:rFonts w:eastAsiaTheme="minorEastAsia"/>
                <w:color w:themeColor="text1" w:val="000000"/>
                <w:szCs w:val="21"/>
              </w:rPr>
              <w:t>0.79%</w:t>
            </w:r>
          </w:p>
        </w:tc>
        <w:tc>
          <w:tcPr>
            <w:vAlign w:val="center"/>
          </w:tcPr>
          <w:p>
            <w:pPr>
              <w:jc w:val="right"/>
            </w:pPr>
            <w:r>
              <w:rPr>
                <w:rFonts w:eastAsiaTheme="minorEastAsia"/>
                <w:color w:themeColor="text1" w:val="000000"/>
                <w:szCs w:val="21"/>
              </w:rPr>
              <w:t>0.02%</w:t>
            </w:r>
          </w:p>
        </w:tc>
        <w:tc>
          <w:tcPr>
            <w:vAlign w:val="center"/>
          </w:tcPr>
          <w:p>
            <w:pPr>
              <w:jc w:val="right"/>
            </w:pPr>
            <w:r>
              <w:rPr>
                <w:rFonts w:eastAsiaTheme="minorEastAsia"/>
                <w:color w:themeColor="text1" w:val="000000"/>
                <w:szCs w:val="21"/>
              </w:rPr>
              <w:t>1.70%</w:t>
            </w:r>
          </w:p>
        </w:tc>
        <w:tc>
          <w:tcPr>
            <w:vAlign w:val="center"/>
          </w:tcPr>
          <w:p>
            <w:pPr>
              <w:jc w:val="right"/>
            </w:pPr>
            <w:r>
              <w:rPr>
                <w:rFonts w:eastAsiaTheme="minorEastAsia"/>
                <w:color w:themeColor="text1" w:val="000000"/>
                <w:szCs w:val="21"/>
              </w:rPr>
              <w:t>0.06%</w:t>
            </w:r>
          </w:p>
        </w:tc>
        <w:tc>
          <w:tcPr>
            <w:vAlign w:val="center"/>
          </w:tcPr>
          <w:p>
            <w:pPr>
              <w:jc w:val="right"/>
            </w:pPr>
            <w:r>
              <w:rPr>
                <w:rFonts w:eastAsiaTheme="minorEastAsia"/>
                <w:color w:themeColor="text1" w:val="000000"/>
                <w:szCs w:val="21"/>
              </w:rPr>
              <w:t>-0.91%</w:t>
            </w:r>
          </w:p>
        </w:tc>
        <w:tc>
          <w:tcPr>
            <w:vAlign w:val="center"/>
          </w:tcPr>
          <w:p>
            <w:pPr>
              <w:jc w:val="right"/>
            </w:pPr>
            <w:r>
              <w:rPr>
                <w:rFonts w:eastAsiaTheme="minorEastAsia"/>
                <w:color w:themeColor="text1" w:val="000000"/>
                <w:szCs w:val="21"/>
              </w:rPr>
              <w:t>-0.04%</w:t>
            </w:r>
          </w:p>
        </w:tc>
      </w:tr>
      <w:tr>
        <w:tc>
          <w:tcPr>
            <w:vAlign w:val="center"/>
          </w:tcPr>
          <w:p>
            <w:pPr>
              <w:jc w:val="left"/>
            </w:pPr>
            <w:r>
              <w:rPr>
                <w:rFonts w:eastAsiaTheme="minorEastAsia"/>
                <w:color w:themeColor="text1" w:val="000000"/>
                <w:szCs w:val="21"/>
              </w:rPr>
              <w:t>过去六个月</w:t>
            </w:r>
          </w:p>
        </w:tc>
        <w:tc>
          <w:tcPr>
            <w:vAlign w:val="center"/>
          </w:tcPr>
          <w:p>
            <w:pPr>
              <w:jc w:val="right"/>
            </w:pPr>
            <w:r>
              <w:rPr>
                <w:rFonts w:eastAsiaTheme="minorEastAsia"/>
                <w:color w:themeColor="text1" w:val="000000"/>
                <w:szCs w:val="21"/>
              </w:rPr>
              <w:t>1.91%</w:t>
            </w:r>
          </w:p>
        </w:tc>
        <w:tc>
          <w:tcPr>
            <w:vAlign w:val="center"/>
          </w:tcPr>
          <w:p>
            <w:pPr>
              <w:jc w:val="right"/>
            </w:pPr>
            <w:r>
              <w:rPr>
                <w:rFonts w:eastAsiaTheme="minorEastAsia"/>
                <w:color w:themeColor="text1" w:val="000000"/>
                <w:szCs w:val="21"/>
              </w:rPr>
              <w:t>0.02%</w:t>
            </w:r>
          </w:p>
        </w:tc>
        <w:tc>
          <w:tcPr>
            <w:vAlign w:val="center"/>
          </w:tcPr>
          <w:p>
            <w:pPr>
              <w:jc w:val="right"/>
            </w:pPr>
            <w:r>
              <w:rPr>
                <w:rFonts w:eastAsiaTheme="minorEastAsia"/>
                <w:color w:themeColor="text1" w:val="000000"/>
                <w:szCs w:val="21"/>
              </w:rPr>
              <w:t>2.95%</w:t>
            </w:r>
          </w:p>
        </w:tc>
        <w:tc>
          <w:tcPr>
            <w:vAlign w:val="center"/>
          </w:tcPr>
          <w:p>
            <w:pPr>
              <w:jc w:val="right"/>
            </w:pPr>
            <w:r>
              <w:rPr>
                <w:rFonts w:eastAsiaTheme="minorEastAsia"/>
                <w:color w:themeColor="text1" w:val="000000"/>
                <w:szCs w:val="21"/>
              </w:rPr>
              <w:t>0.05%</w:t>
            </w:r>
          </w:p>
        </w:tc>
        <w:tc>
          <w:tcPr>
            <w:vAlign w:val="center"/>
          </w:tcPr>
          <w:p>
            <w:pPr>
              <w:jc w:val="right"/>
            </w:pPr>
            <w:r>
              <w:rPr>
                <w:rFonts w:eastAsiaTheme="minorEastAsia"/>
                <w:color w:themeColor="text1" w:val="000000"/>
                <w:szCs w:val="21"/>
              </w:rPr>
              <w:t>-1.04%</w:t>
            </w:r>
          </w:p>
        </w:tc>
        <w:tc>
          <w:tcPr>
            <w:vAlign w:val="center"/>
          </w:tcPr>
          <w:p>
            <w:pPr>
              <w:jc w:val="right"/>
            </w:pPr>
            <w:r>
              <w:rPr>
                <w:rFonts w:eastAsiaTheme="minorEastAsia"/>
                <w:color w:themeColor="text1" w:val="000000"/>
                <w:szCs w:val="21"/>
              </w:rPr>
              <w:t>-0.03%</w:t>
            </w:r>
          </w:p>
        </w:tc>
      </w:tr>
      <w:tr>
        <w:tc>
          <w:tcPr>
            <w:vAlign w:val="center"/>
          </w:tcPr>
          <w:p>
            <w:pPr>
              <w:jc w:val="left"/>
            </w:pPr>
            <w:r>
              <w:rPr>
                <w:rFonts w:eastAsiaTheme="minorEastAsia"/>
                <w:color w:themeColor="text1" w:val="000000"/>
                <w:szCs w:val="21"/>
              </w:rPr>
              <w:t>过去一年</w:t>
            </w:r>
          </w:p>
        </w:tc>
        <w:tc>
          <w:tcPr>
            <w:vAlign w:val="center"/>
          </w:tcPr>
          <w:p>
            <w:pPr>
              <w:jc w:val="right"/>
            </w:pPr>
            <w:r>
              <w:rPr>
                <w:rFonts w:eastAsiaTheme="minorEastAsia"/>
                <w:color w:themeColor="text1" w:val="000000"/>
                <w:szCs w:val="21"/>
              </w:rPr>
              <w:t>3.54%</w:t>
            </w:r>
          </w:p>
        </w:tc>
        <w:tc>
          <w:tcPr>
            <w:vAlign w:val="center"/>
          </w:tcPr>
          <w:p>
            <w:pPr>
              <w:jc w:val="right"/>
            </w:pPr>
            <w:r>
              <w:rPr>
                <w:rFonts w:eastAsiaTheme="minorEastAsia"/>
                <w:color w:themeColor="text1" w:val="000000"/>
                <w:szCs w:val="21"/>
              </w:rPr>
              <w:t>0.03%</w:t>
            </w:r>
          </w:p>
        </w:tc>
        <w:tc>
          <w:tcPr>
            <w:vAlign w:val="center"/>
          </w:tcPr>
          <w:p>
            <w:pPr>
              <w:jc w:val="right"/>
            </w:pPr>
            <w:r>
              <w:rPr>
                <w:rFonts w:eastAsiaTheme="minorEastAsia"/>
                <w:color w:themeColor="text1" w:val="000000"/>
                <w:szCs w:val="21"/>
              </w:rPr>
              <w:t>5.19%</w:t>
            </w:r>
          </w:p>
        </w:tc>
        <w:tc>
          <w:tcPr>
            <w:vAlign w:val="center"/>
          </w:tcPr>
          <w:p>
            <w:pPr>
              <w:jc w:val="right"/>
            </w:pPr>
            <w:r>
              <w:rPr>
                <w:rFonts w:eastAsiaTheme="minorEastAsia"/>
                <w:color w:themeColor="text1" w:val="000000"/>
                <w:szCs w:val="21"/>
              </w:rPr>
              <w:t>0.05%</w:t>
            </w:r>
          </w:p>
        </w:tc>
        <w:tc>
          <w:tcPr>
            <w:vAlign w:val="center"/>
          </w:tcPr>
          <w:p>
            <w:pPr>
              <w:jc w:val="right"/>
            </w:pPr>
            <w:r>
              <w:rPr>
                <w:rFonts w:eastAsiaTheme="minorEastAsia"/>
                <w:color w:themeColor="text1" w:val="000000"/>
                <w:szCs w:val="21"/>
              </w:rPr>
              <w:t>-1.65%</w:t>
            </w:r>
          </w:p>
        </w:tc>
        <w:tc>
          <w:tcPr>
            <w:vAlign w:val="center"/>
          </w:tcPr>
          <w:p>
            <w:pPr>
              <w:jc w:val="right"/>
            </w:pPr>
            <w:r>
              <w:rPr>
                <w:rFonts w:eastAsiaTheme="minorEastAsia"/>
                <w:color w:themeColor="text1" w:val="000000"/>
                <w:szCs w:val="21"/>
              </w:rPr>
              <w:t>-0.02%</w:t>
            </w:r>
          </w:p>
        </w:tc>
      </w:tr>
      <w:tr>
        <w:tc>
          <w:tcPr>
            <w:vAlign w:val="center"/>
          </w:tcPr>
          <w:p>
            <w:pPr>
              <w:jc w:val="left"/>
            </w:pPr>
            <w:r>
              <w:rPr>
                <w:rFonts w:eastAsiaTheme="minorEastAsia"/>
                <w:color w:themeColor="text1" w:val="000000"/>
                <w:szCs w:val="21"/>
              </w:rPr>
              <w:t>过去三年</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r>
      <w:tr>
        <w:tc>
          <w:tcPr>
            <w:vAlign w:val="center"/>
          </w:tcPr>
          <w:p>
            <w:pPr>
              <w:jc w:val="left"/>
            </w:pPr>
            <w:r>
              <w:rPr>
                <w:rFonts w:eastAsiaTheme="minorEastAsia"/>
                <w:color w:themeColor="text1" w:val="000000"/>
                <w:szCs w:val="21"/>
              </w:rPr>
              <w:t>过去五年</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r>
      <w:tr>
        <w:tc>
          <w:tcPr>
            <w:vAlign w:val="center"/>
          </w:tcPr>
          <w:p>
            <w:pPr>
              <w:jc w:val="left"/>
            </w:pPr>
            <w:r>
              <w:rPr>
                <w:rFonts w:eastAsiaTheme="minorEastAsia"/>
                <w:color w:themeColor="text1" w:val="000000"/>
                <w:szCs w:val="21"/>
              </w:rPr>
              <w:t>自基金合同生效起至今</w:t>
            </w:r>
          </w:p>
        </w:tc>
        <w:tc>
          <w:tcPr>
            <w:vAlign w:val="center"/>
          </w:tcPr>
          <w:p>
            <w:pPr>
              <w:jc w:val="right"/>
            </w:pPr>
            <w:r>
              <w:rPr>
                <w:rFonts w:eastAsiaTheme="minorEastAsia"/>
                <w:color w:themeColor="text1" w:val="000000"/>
                <w:szCs w:val="21"/>
              </w:rPr>
              <w:t>4.63%</w:t>
            </w:r>
          </w:p>
        </w:tc>
        <w:tc>
          <w:tcPr>
            <w:vAlign w:val="center"/>
          </w:tcPr>
          <w:p>
            <w:pPr>
              <w:jc w:val="right"/>
            </w:pPr>
            <w:r>
              <w:rPr>
                <w:rFonts w:eastAsiaTheme="minorEastAsia"/>
                <w:color w:themeColor="text1" w:val="000000"/>
                <w:szCs w:val="21"/>
              </w:rPr>
              <w:t>0.05%</w:t>
            </w:r>
          </w:p>
        </w:tc>
        <w:tc>
          <w:tcPr>
            <w:vAlign w:val="center"/>
          </w:tcPr>
          <w:p>
            <w:pPr>
              <w:jc w:val="right"/>
            </w:pPr>
            <w:r>
              <w:rPr>
                <w:rFonts w:eastAsiaTheme="minorEastAsia"/>
                <w:color w:themeColor="text1" w:val="000000"/>
                <w:szCs w:val="21"/>
              </w:rPr>
              <w:t>7.73%</w:t>
            </w:r>
          </w:p>
        </w:tc>
        <w:tc>
          <w:tcPr>
            <w:vAlign w:val="center"/>
          </w:tcPr>
          <w:p>
            <w:pPr>
              <w:jc w:val="right"/>
            </w:pPr>
            <w:r>
              <w:rPr>
                <w:rFonts w:eastAsiaTheme="minorEastAsia"/>
                <w:color w:themeColor="text1" w:val="000000"/>
                <w:szCs w:val="21"/>
              </w:rPr>
              <w:t>0.07%</w:t>
            </w:r>
          </w:p>
        </w:tc>
        <w:tc>
          <w:tcPr>
            <w:vAlign w:val="center"/>
          </w:tcPr>
          <w:p>
            <w:pPr>
              <w:jc w:val="right"/>
            </w:pPr>
            <w:r>
              <w:rPr>
                <w:rFonts w:eastAsiaTheme="minorEastAsia"/>
                <w:color w:themeColor="text1" w:val="000000"/>
                <w:szCs w:val="21"/>
              </w:rPr>
              <w:t>-3.10%</w:t>
            </w:r>
          </w:p>
        </w:tc>
        <w:tc>
          <w:tcPr>
            <w:vAlign w:val="center"/>
          </w:tcPr>
          <w:p>
            <w:pPr>
              <w:jc w:val="right"/>
            </w:pPr>
            <w:r>
              <w:rPr>
                <w:rFonts w:eastAsiaTheme="minorEastAsia"/>
                <w:color w:themeColor="text1" w:val="000000"/>
                <w:szCs w:val="21"/>
              </w:rPr>
              <w:t>-0.02%</w:t>
            </w:r>
          </w:p>
        </w:tc>
      </w:tr>
    </w:tbl>
    <w:p w14:paraId="4474696C" w14:textId="77777777" w:rsidR="005E6DF3" w:rsidRDefault="005C671B" w:rsidRPr="00B27A29">
      <w:pPr>
        <w:spacing w:before="312" w:beforeLines="100" w:line="360" w:lineRule="auto"/>
        <w:rPr>
          <w:rFonts w:eastAsiaTheme="minorEastAsia"/>
          <w:b/>
          <w:color w:themeColor="text1" w:val="000000"/>
          <w:kern w:val="0"/>
          <w:szCs w:val="21"/>
        </w:rPr>
      </w:pPr>
      <w:r w:rsidRPr="00B27A29">
        <w:rPr>
          <w:rFonts w:eastAsiaTheme="minorEastAsia"/>
          <w:b/>
          <w:color w:themeColor="text1" w:val="000000"/>
          <w:kern w:val="0"/>
          <w:szCs w:val="21"/>
        </w:rPr>
        <w:t>3.2.2</w:t>
      </w:r>
      <w:r w:rsidRPr="00B27A29">
        <w:rPr>
          <w:rFonts w:eastAsiaTheme="minorEastAsia"/>
          <w:b/>
          <w:color w:themeColor="text1" w:val="000000"/>
          <w:kern w:val="0"/>
          <w:szCs w:val="21"/>
        </w:rPr>
        <w:t xml:space="preserve">　</w:t>
      </w:r>
      <w:r w:rsidRPr="00B27A29">
        <w:rPr>
          <w:rStyle w:val="af5"/>
          <w:color w:themeColor="text1" w:val="000000"/>
          <w:szCs w:val="21"/>
          <w:shd w:color="auto" w:fill="FFFFFF" w:val="clear"/>
        </w:rPr>
        <w:t/>
      </w:r>
      <w:proofErr w:type="spellStart"/>
      <w:r w:rsidRPr="00B27A29">
        <w:rPr>
          <w:rStyle w:val="af5"/>
          <w:color w:themeColor="text1" w:val="000000"/>
          <w:szCs w:val="21"/>
          <w:shd w:color="auto" w:fill="FFFFFF" w:val="clear"/>
        </w:rPr>
        <w:t/>
      </w:r>
      <w:proofErr w:type="spellEnd"/>
      <w:r w:rsidRPr="00B27A29">
        <w:rPr>
          <w:rStyle w:val="af5"/>
          <w:color w:themeColor="text1" w:val="000000"/>
          <w:szCs w:val="21"/>
          <w:shd w:color="auto" w:fill="FFFFFF" w:val="clear"/>
        </w:rPr>
        <w:t>自基金合同生效以来</w:t>
      </w:r>
      <w:r w:rsidRPr="00B27A29">
        <w:rPr>
          <w:rFonts w:eastAsiaTheme="minorEastAsia"/>
          <w:b/>
          <w:color w:themeColor="text1" w:val="000000"/>
          <w:szCs w:val="21"/>
        </w:rPr>
        <w:t>基金累计净值增长率变动及其与同期业绩比较基准收益率变动的比较</w:t>
      </w:r>
    </w:p>
    <w:p w14:paraId="40FD344B" w14:textId="77777777" w:rsidR="005E6DF3" w:rsidRDefault="005C671B" w:rsidRPr="00B27A29">
      <w:pPr>
        <w:spacing w:line="360" w:lineRule="auto"/>
        <w:jc w:val="center"/>
        <w:rPr>
          <w:rFonts w:eastAsiaTheme="minorEastAsia"/>
          <w:color w:themeColor="text1" w:val="000000"/>
          <w:szCs w:val="21"/>
        </w:rPr>
      </w:pPr>
      <w:r w:rsidRPr="00B27A29">
        <w:rPr>
          <w:rFonts w:eastAsiaTheme="minorEastAsia"/>
          <w:color w:themeColor="text1" w:val="000000"/>
          <w:szCs w:val="21"/>
        </w:rPr>
        <w:t/>
      </w:r>
      <w:proofErr w:type="spellStart"/>
      <w:r w:rsidRPr="00B27A29">
        <w:rPr>
          <w:rFonts w:eastAsiaTheme="minorEastAsia"/>
          <w:color w:themeColor="text1" w:val="000000"/>
          <w:szCs w:val="21"/>
        </w:rPr>
        <w:t/>
      </w:r>
      <w:proofErr w:type="spellEnd"/>
      <w:r w:rsidRPr="00B27A29">
        <w:rPr>
          <w:rFonts w:eastAsiaTheme="minorEastAsia"/>
          <w:color w:themeColor="text1" w:val="000000"/>
          <w:szCs w:val="21"/>
        </w:rPr>
        <w:t>上投摩根瑞益纯债债券型证券投资基金</w:t>
      </w:r>
    </w:p>
    <w:p w14:paraId="4CCBF5D7" w14:textId="77777777" w:rsidR="005E6DF3" w:rsidRDefault="005C671B" w:rsidRPr="00B27A29">
      <w:pPr>
        <w:pStyle w:val="a9"/>
        <w:snapToGrid w:val="0"/>
        <w:spacing w:line="360" w:lineRule="auto"/>
        <w:jc w:val="center"/>
        <w:rPr>
          <w:rFonts w:ascii="Times New Roman" w:eastAsiaTheme="minorEastAsia" w:hAnsi="Times New Roman"/>
          <w:color w:themeColor="text1" w:val="000000"/>
        </w:rPr>
      </w:pPr>
      <w:r w:rsidRPr="00B27A29">
        <w:rPr>
          <w:rFonts w:ascii="Times New Roman" w:eastAsiaTheme="minorEastAsia" w:hAnsi="Times New Roman"/>
          <w:color w:themeColor="text1" w:val="000000"/>
        </w:rPr>
        <w:t>累计净值增长率与业绩比较基准收益率的历史走势对比图</w:t>
      </w:r>
    </w:p>
    <w:p w14:paraId="47A315B7" w14:textId="77777777" w:rsidR="005E6DF3" w:rsidRDefault="005C671B" w:rsidRPr="00B27A29">
      <w:pPr>
        <w:pStyle w:val="a9"/>
        <w:snapToGrid w:val="0"/>
        <w:spacing w:line="360" w:lineRule="auto"/>
        <w:ind w:firstLine="480"/>
        <w:jc w:val="center"/>
        <w:rPr>
          <w:rFonts w:ascii="Times New Roman" w:eastAsiaTheme="minorEastAsia" w:hAnsi="Times New Roman"/>
          <w:color w:themeColor="text1" w:val="000000"/>
        </w:rPr>
      </w:pPr>
      <w:r w:rsidRPr="00B27A29">
        <w:rPr>
          <w:rFonts w:ascii="Times New Roman" w:eastAsiaTheme="minorEastAsia" w:hAnsi="Times New Roman"/>
          <w:color w:themeColor="text1" w:val="000000"/>
        </w:rPr>
        <w:t>(</w:t>
      </w:r>
      <w:proofErr w:type="spellStart"/>
      <w:r w:rsidRPr="00B27A29">
        <w:rPr>
          <w:rFonts w:ascii="Times New Roman" w:eastAsiaTheme="minorEastAsia" w:hAnsi="Times New Roman"/>
          <w:color w:themeColor="text1" w:val="000000"/>
        </w:rPr>
        <w:t/>
      </w:r>
      <w:proofErr w:type="spellEnd"/>
      <w:r w:rsidRPr="00B27A29">
        <w:rPr>
          <w:rFonts w:ascii="Times New Roman" w:eastAsiaTheme="minorEastAsia" w:hAnsi="Times New Roman"/>
          <w:color w:themeColor="text1" w:val="000000"/>
        </w:rPr>
        <w:t>2019年11月26日</w:t>
      </w:r>
      <w:r w:rsidRPr="00B27A29">
        <w:rPr>
          <w:rFonts w:ascii="Times New Roman" w:eastAsiaTheme="minorEastAsia" w:hAnsi="Times New Roman"/>
          <w:color w:themeColor="text1" w:val="000000"/>
        </w:rPr>
        <w:t>至</w:t>
      </w:r>
      <w:r w:rsidRPr="00B27A29">
        <w:rPr>
          <w:rFonts w:ascii="Times New Roman" w:eastAsiaTheme="minorEastAsia" w:hAnsi="Times New Roman"/>
          <w:color w:themeColor="text1" w:val="000000"/>
        </w:rPr>
        <w:t/>
      </w:r>
      <w:proofErr w:type="spellStart"/>
      <w:r w:rsidRPr="00B27A29">
        <w:rPr>
          <w:rFonts w:ascii="Times New Roman" w:eastAsiaTheme="minorEastAsia" w:hAnsi="Times New Roman"/>
          <w:color w:themeColor="text1" w:val="000000"/>
        </w:rPr>
        <w:t/>
      </w:r>
      <w:proofErr w:type="spellEnd"/>
      <w:r w:rsidRPr="00B27A29">
        <w:rPr>
          <w:rFonts w:ascii="Times New Roman" w:eastAsiaTheme="minorEastAsia" w:hAnsi="Times New Roman"/>
          <w:color w:themeColor="text1" w:val="000000"/>
        </w:rPr>
        <w:t>2021年9月30日)</w:t>
      </w:r>
    </w:p>
    <w:p w14:paraId="5684FACD" w14:textId="77777777" w:rsidR="005E6DF3" w:rsidRDefault="005C671B" w:rsidRPr="00B27A29">
      <w:pPr>
        <w:snapToGrid w:val="0"/>
        <w:spacing w:line="360" w:lineRule="auto"/>
        <w:rPr>
          <w:rFonts w:eastAsiaTheme="minorEastAsia"/>
          <w:color w:themeColor="text1" w:val="000000"/>
          <w:szCs w:val="21"/>
        </w:rPr>
      </w:pPr>
      <w:r w:rsidRPr="00B27A29">
        <w:rPr>
          <w:rFonts w:eastAsiaTheme="minorEastAsia"/>
          <w:color w:themeColor="text1" w:val="000000"/>
          <w:szCs w:val="21"/>
        </w:rPr>
        <w:t>1</w:t>
      </w:r>
      <w:r w:rsidRPr="00B27A29">
        <w:rPr>
          <w:rFonts w:eastAsiaTheme="minorEastAsia"/>
          <w:color w:themeColor="text1" w:val="000000"/>
          <w:szCs w:val="21"/>
        </w:rPr>
        <w:t>．</w:t>
      </w:r>
      <w:r w:rsidRPr="00B27A29">
        <w:rPr>
          <w:rFonts w:eastAsiaTheme="minorEastAsia"/>
          <w:color w:themeColor="text1" w:val="000000"/>
          <w:szCs w:val="21"/>
        </w:rPr>
        <w:t/>
      </w:r>
      <w:proofErr w:type="spellStart"/>
      <w:r w:rsidRPr="00B27A29">
        <w:rPr>
          <w:rFonts w:eastAsiaTheme="minorEastAsia"/>
          <w:color w:themeColor="text1" w:val="000000"/>
          <w:szCs w:val="21"/>
        </w:rPr>
        <w:t/>
      </w:r>
      <w:proofErr w:type="spellEnd"/>
      <w:r w:rsidRPr="00B27A29">
        <w:rPr>
          <w:rFonts w:eastAsiaTheme="minorEastAsia"/>
          <w:color w:themeColor="text1" w:val="000000"/>
          <w:szCs w:val="21"/>
        </w:rPr>
        <w:t>上投摩根瑞益纯债债券A</w:t>
      </w:r>
      <w:r w:rsidRPr="00B27A29">
        <w:rPr>
          <w:rFonts w:eastAsiaTheme="minorEastAsia"/>
          <w:color w:themeColor="text1" w:val="000000"/>
          <w:szCs w:val="21"/>
        </w:rPr>
        <w:t>：</w:t>
      </w:r>
    </w:p>
    <w:p w14:paraId="469664D6" w14:textId="77777777" w:rsidR="005E6DF3" w:rsidRDefault="005C671B" w:rsidRPr="00B27A29">
      <w:pPr>
        <w:pStyle w:val="20"/>
        <w:spacing w:line="288" w:lineRule="auto"/>
        <w:ind w:firstLine="0" w:firstLineChars="0"/>
        <w:jc w:val="center"/>
        <w:rPr>
          <w:rFonts w:ascii="Times New Roman" w:eastAsiaTheme="minorEastAsia" w:hAnsi="Times New Roman"/>
          <w:color w:themeColor="text1" w:val="000000"/>
          <w:sz w:val="21"/>
          <w:szCs w:val="21"/>
        </w:rPr>
      </w:pPr>
      <w:r w:rsidRPr="00B27A29">
        <w:rPr>
          <w:rFonts w:ascii="Times New Roman" w:eastAsiaTheme="minorEastAsia" w:hAnsi="Times New Roman"/>
          <w:noProof/>
          <w:color w:themeColor="text1" w:val="000000"/>
          <w:sz w:val="21"/>
          <w:szCs w:val="21"/>
        </w:rPr>
        <w:drawing>
          <wp:inline distB="0" distL="0" distR="0" distT="0" wp14:anchorId="5E1D8726" wp14:editId="2DD6A0AF">
            <wp:extent cx="5591175" cy="3276600"/>
            <wp:effectExtent b="0" l="0" r="0" t="0"/>
            <wp:docPr descr="D:\浏览器下载\走势图柱状图\走势图1.jpg"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浏览器下载\走势图柱状图\走势图1.jpg" id="2" name="图片 2"/>
                    <pic:cNvPicPr>
                      <a:picLocks noChangeArrowheads="1" noChangeAspect="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注：本基金合同生效日为2019年11月26日，图示的时间段为合同生效日至本报告期末。</w:t>
      </w:r>
    </w:p>
    <w:p w14:paraId="12A741D5" w14:textId="77777777" w:rsidR="005E6DF3" w:rsidRDefault="005C671B" w:rsidRPr="00B27A29">
      <w:pPr>
        <w:spacing w:line="360" w:lineRule="auto"/>
        <w:ind w:firstLine="420" w:firstLineChars="200"/>
        <w:rPr>
          <w:rFonts w:eastAsiaTheme="minorEastAsia"/>
          <w:color w:themeColor="text1" w:val="000000"/>
          <w:szCs w:val="21"/>
        </w:rPr>
      </w:pPr>
      <w:r w:rsidRPr="00B27A29">
        <w:rPr>
          <w:rFonts w:eastAsiaTheme="minorEastAsia"/>
          <w:color w:themeColor="text1" w:val="000000"/>
          <w:szCs w:val="21"/>
        </w:rPr>
        <w:t/>
      </w:r>
      <w:proofErr w:type="gramStart"/>
      <w:r w:rsidRPr="00B27A29">
        <w:rPr>
          <w:rFonts w:eastAsiaTheme="minorEastAsia"/>
          <w:color w:themeColor="text1" w:val="000000"/>
          <w:szCs w:val="21"/>
        </w:rPr>
        <w:t/>
      </w:r>
      <w:proofErr w:type="gramEnd"/>
      <w:r w:rsidRPr="00B27A29">
        <w:rPr>
          <w:rFonts w:eastAsiaTheme="minorEastAsia"/>
          <w:color w:themeColor="text1" w:val="000000"/>
          <w:szCs w:val="21"/>
        </w:rPr>
        <w:t>本基金建仓期为本基金合同生效日起 6个月，建仓期结束时资产配置比例符合本基金基金合同规定。</w:t>
      </w:r>
    </w:p>
    <w:p w14:paraId="359544EC" w14:textId="77777777" w:rsidR="005E6DF3" w:rsidRDefault="005C671B" w:rsidRPr="00B27A29">
      <w:pPr>
        <w:snapToGrid w:val="0"/>
        <w:spacing w:before="312" w:beforeLines="100" w:line="360" w:lineRule="auto"/>
        <w:rPr>
          <w:rFonts w:eastAsiaTheme="minorEastAsia"/>
          <w:color w:themeColor="text1" w:val="000000"/>
          <w:szCs w:val="21"/>
        </w:rPr>
      </w:pPr>
      <w:r w:rsidRPr="00B27A29">
        <w:rPr>
          <w:rFonts w:eastAsiaTheme="minorEastAsia"/>
          <w:color w:themeColor="text1" w:val="000000"/>
          <w:szCs w:val="21"/>
        </w:rPr>
        <w:lastRenderedPageBreak/>
        <w:t>2</w:t>
      </w:r>
      <w:r w:rsidRPr="00B27A29">
        <w:rPr>
          <w:rFonts w:eastAsiaTheme="minorEastAsia"/>
          <w:color w:themeColor="text1" w:val="000000"/>
          <w:szCs w:val="21"/>
        </w:rPr>
        <w:t>．</w:t>
      </w:r>
      <w:r w:rsidRPr="00B27A29">
        <w:rPr>
          <w:rFonts w:eastAsiaTheme="minorEastAsia"/>
          <w:color w:themeColor="text1" w:val="000000"/>
          <w:szCs w:val="21"/>
        </w:rPr>
        <w:t>上投摩根瑞益纯债债券C</w:t>
      </w:r>
      <w:r w:rsidRPr="00B27A29">
        <w:rPr>
          <w:rFonts w:eastAsiaTheme="minorEastAsia"/>
          <w:color w:themeColor="text1" w:val="000000"/>
          <w:szCs w:val="21"/>
        </w:rPr>
        <w:t>：</w:t>
      </w:r>
    </w:p>
    <w:p w14:paraId="3A81E295" w14:textId="77777777" w:rsidR="005E6DF3" w:rsidRDefault="005C671B" w:rsidRPr="00B27A29">
      <w:pPr>
        <w:pStyle w:val="20"/>
        <w:spacing w:line="288" w:lineRule="auto"/>
        <w:ind w:firstLine="0" w:firstLineChars="0"/>
        <w:jc w:val="center"/>
        <w:rPr>
          <w:rFonts w:ascii="Times New Roman" w:eastAsiaTheme="minorEastAsia" w:hAnsi="Times New Roman"/>
          <w:color w:themeColor="text1" w:val="000000"/>
          <w:sz w:val="21"/>
          <w:szCs w:val="21"/>
        </w:rPr>
      </w:pPr>
      <w:r w:rsidRPr="00B27A29">
        <w:rPr>
          <w:rFonts w:ascii="Times New Roman" w:eastAsiaTheme="minorEastAsia" w:hAnsi="Times New Roman"/>
          <w:noProof/>
          <w:color w:themeColor="text1" w:val="000000"/>
          <w:sz w:val="21"/>
          <w:szCs w:val="21"/>
        </w:rPr>
        <w:drawing>
          <wp:inline distB="0" distL="0" distR="0" distT="0" wp14:anchorId="1DDF3849" wp14:editId="177F12C7">
            <wp:extent cx="5591175" cy="3276600"/>
            <wp:effectExtent b="0" l="0" r="0" t="0"/>
            <wp:docPr descr="D:\浏览器下载\走势图柱状图\走势图2.jpg"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浏览器下载\走势图柱状图\走势图2.jpg" id="3" name="图片 3"/>
                    <pic:cNvPicPr>
                      <a:picLocks noChangeArrowheads="1" noChangeAspect="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注：本基金合同生效日为2019年11月26日，图示的时间段为合同生效日至本报告期末。</w:t>
      </w:r>
    </w:p>
    <w:p w14:paraId="23DE4798" w14:textId="77777777" w:rsidR="005E6DF3" w:rsidRDefault="005C671B" w:rsidRPr="00B27A29">
      <w:pPr>
        <w:spacing w:line="360" w:lineRule="auto"/>
        <w:ind w:firstLine="420" w:firstLineChars="200"/>
        <w:rPr>
          <w:rFonts w:eastAsiaTheme="minorEastAsia"/>
          <w:color w:themeColor="text1" w:val="000000"/>
          <w:szCs w:val="21"/>
        </w:rPr>
      </w:pPr>
      <w:r w:rsidRPr="00B27A29">
        <w:rPr>
          <w:rFonts w:eastAsiaTheme="minorEastAsia"/>
          <w:color w:themeColor="text1" w:val="000000"/>
          <w:szCs w:val="21"/>
        </w:rPr>
        <w:t/>
      </w:r>
      <w:proofErr w:type="gramStart"/>
      <w:r w:rsidRPr="00B27A29">
        <w:rPr>
          <w:rFonts w:eastAsiaTheme="minorEastAsia"/>
          <w:color w:themeColor="text1" w:val="000000"/>
          <w:szCs w:val="21"/>
        </w:rPr>
        <w:t/>
      </w:r>
      <w:proofErr w:type="gramEnd"/>
      <w:r w:rsidRPr="00B27A29">
        <w:rPr>
          <w:rFonts w:eastAsiaTheme="minorEastAsia"/>
          <w:color w:themeColor="text1" w:val="000000"/>
          <w:szCs w:val="21"/>
        </w:rPr>
        <w:t>本基金建仓期为本基金合同生效日起 6个月，建仓期结束时资产配置比例符合本基金基金合同规定。</w:t>
      </w:r>
    </w:p>
    <w:p w14:paraId="2F6B8CB7" w14:textId="77777777" w:rsidR="005E6DF3" w:rsidRDefault="005E6DF3" w:rsidRPr="00B27A29">
      <w:pPr>
        <w:tabs>
          <w:tab w:pos="1800" w:val="left"/>
        </w:tabs>
        <w:spacing w:line="288" w:lineRule="auto"/>
        <w:rPr>
          <w:rFonts w:eastAsiaTheme="minorEastAsia"/>
          <w:color w:themeColor="text1" w:val="000000"/>
          <w:szCs w:val="21"/>
        </w:rPr>
      </w:pPr>
    </w:p>
    <w:p w14:paraId="0A3FD3B7" w14:textId="77777777" w:rsidR="005E6DF3" w:rsidRDefault="005C671B" w:rsidRPr="00B27A29">
      <w:pPr>
        <w:pStyle w:val="1"/>
        <w:spacing w:after="312" w:afterLines="100" w:before="312" w:beforeLines="100" w:line="360" w:lineRule="auto"/>
        <w:jc w:val="center"/>
        <w:rPr>
          <w:rFonts w:eastAsiaTheme="minorEastAsia"/>
          <w:color w:themeColor="text1" w:val="000000"/>
          <w:kern w:val="0"/>
          <w:sz w:val="21"/>
          <w:szCs w:val="21"/>
        </w:rPr>
      </w:pPr>
      <w:r w:rsidRPr="00B27A29">
        <w:rPr>
          <w:rFonts w:eastAsiaTheme="minorEastAsia"/>
          <w:color w:themeColor="text1" w:val="000000"/>
          <w:kern w:val="0"/>
          <w:sz w:val="21"/>
          <w:szCs w:val="21"/>
        </w:rPr>
        <w:t xml:space="preserve">§4  </w:t>
      </w:r>
      <w:r w:rsidRPr="00B27A29">
        <w:rPr>
          <w:rFonts w:eastAsiaTheme="minorEastAsia"/>
          <w:color w:themeColor="text1" w:val="000000"/>
          <w:kern w:val="0"/>
          <w:sz w:val="21"/>
          <w:szCs w:val="21"/>
        </w:rPr>
        <w:t>管理人报告</w:t>
      </w:r>
    </w:p>
    <w:p w14:paraId="4DA9D74A" w14:textId="77777777" w:rsidR="005E6DF3" w:rsidRDefault="005C671B" w:rsidRPr="00B27A29">
      <w:pPr>
        <w:autoSpaceDE w:val="0"/>
        <w:autoSpaceDN w:val="0"/>
        <w:adjustRightInd w:val="0"/>
        <w:spacing w:line="360" w:lineRule="auto"/>
        <w:jc w:val="left"/>
        <w:rPr>
          <w:rFonts w:eastAsiaTheme="minorEastAsia"/>
          <w:b/>
          <w:color w:themeColor="text1" w:val="000000"/>
          <w:kern w:val="0"/>
          <w:szCs w:val="21"/>
        </w:rPr>
      </w:pPr>
      <w:r w:rsidRPr="00B27A29">
        <w:rPr>
          <w:rFonts w:eastAsiaTheme="minorEastAsia"/>
          <w:b/>
          <w:color w:themeColor="text1" w:val="000000"/>
          <w:kern w:val="0"/>
          <w:szCs w:val="21"/>
        </w:rPr>
        <w:t xml:space="preserve">4.1 </w:t>
      </w:r>
      <w:r w:rsidRPr="00B27A29">
        <w:rPr>
          <w:rFonts w:eastAsiaTheme="minorEastAsia"/>
          <w:b/>
          <w:color w:themeColor="text1" w:val="000000"/>
          <w:kern w:val="0"/>
          <w:szCs w:val="21"/>
        </w:rPr>
        <w:t>基金经理（或基金经理小组）简介</w:t>
      </w:r>
    </w:p>
    <w:tbl>
      <w:tblPr>
        <w:tblW w:type="dxa" w:w="8931"/>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52"/>
        <w:gridCol w:w="930"/>
        <w:gridCol w:w="1210"/>
        <w:gridCol w:w="1309"/>
        <w:gridCol w:w="1254"/>
        <w:gridCol w:w="3276"/>
      </w:tblGrid>
      <w:tr w14:paraId="1C0327D8" w14:textId="77777777" w:rsidR="005E6DF3" w:rsidRPr="00B27A29">
        <w:tc>
          <w:tcPr>
            <w:tcW w:type="dxa" w:w="952"/>
            <w:vMerge w:val="restart"/>
            <w:vAlign w:val="center"/>
          </w:tcPr>
          <w:p w14:paraId="07B51A7D" w14:textId="77777777" w:rsidR="005E6DF3" w:rsidRDefault="005C671B" w:rsidRPr="00B27A29">
            <w:pPr>
              <w:autoSpaceDE w:val="0"/>
              <w:autoSpaceDN w:val="0"/>
              <w:adjustRightInd w:val="0"/>
              <w:spacing w:before="29" w:line="288" w:lineRule="auto"/>
              <w:ind w:left="15"/>
              <w:jc w:val="center"/>
              <w:rPr>
                <w:rFonts w:eastAsiaTheme="minorEastAsia"/>
                <w:color w:themeColor="text1" w:val="000000"/>
                <w:kern w:val="0"/>
                <w:szCs w:val="21"/>
              </w:rPr>
            </w:pPr>
            <w:r w:rsidRPr="00B27A29">
              <w:rPr>
                <w:rFonts w:eastAsiaTheme="minorEastAsia"/>
                <w:color w:themeColor="text1" w:val="000000"/>
                <w:kern w:val="0"/>
                <w:szCs w:val="21"/>
              </w:rPr>
              <w:lastRenderedPageBreak/>
              <w:t>姓名</w:t>
            </w:r>
          </w:p>
        </w:tc>
        <w:tc>
          <w:tcPr>
            <w:tcW w:type="dxa" w:w="930"/>
            <w:vMerge w:val="restart"/>
            <w:vAlign w:val="center"/>
          </w:tcPr>
          <w:p w14:paraId="49C5D067" w14:textId="77777777" w:rsidR="005E6DF3" w:rsidRDefault="005C671B" w:rsidRPr="00B27A29">
            <w:pPr>
              <w:autoSpaceDE w:val="0"/>
              <w:autoSpaceDN w:val="0"/>
              <w:adjustRightInd w:val="0"/>
              <w:spacing w:before="29" w:line="288" w:lineRule="auto"/>
              <w:ind w:left="15"/>
              <w:jc w:val="center"/>
              <w:rPr>
                <w:rFonts w:eastAsiaTheme="minorEastAsia"/>
                <w:color w:themeColor="text1" w:val="000000"/>
                <w:kern w:val="0"/>
                <w:szCs w:val="21"/>
              </w:rPr>
            </w:pPr>
            <w:r w:rsidRPr="00B27A29">
              <w:rPr>
                <w:rFonts w:eastAsiaTheme="minorEastAsia"/>
                <w:color w:themeColor="text1" w:val="000000"/>
                <w:kern w:val="0"/>
                <w:szCs w:val="21"/>
              </w:rPr>
              <w:t>职务</w:t>
            </w:r>
          </w:p>
        </w:tc>
        <w:tc>
          <w:tcPr>
            <w:tcW w:type="dxa" w:w="2519"/>
            <w:gridSpan w:val="2"/>
            <w:vAlign w:val="center"/>
          </w:tcPr>
          <w:p w14:paraId="44D8D297" w14:textId="77777777" w:rsidR="005E6DF3" w:rsidRDefault="005C671B" w:rsidRPr="00B27A29">
            <w:pPr>
              <w:autoSpaceDE w:val="0"/>
              <w:autoSpaceDN w:val="0"/>
              <w:adjustRightInd w:val="0"/>
              <w:spacing w:before="29" w:line="288" w:lineRule="auto"/>
              <w:ind w:left="15"/>
              <w:jc w:val="center"/>
              <w:rPr>
                <w:rFonts w:eastAsiaTheme="minorEastAsia"/>
                <w:color w:themeColor="text1" w:val="000000"/>
                <w:kern w:val="0"/>
                <w:szCs w:val="21"/>
              </w:rPr>
            </w:pPr>
            <w:proofErr w:type="gramStart"/>
            <w:r w:rsidRPr="00B27A29">
              <w:rPr>
                <w:rFonts w:eastAsiaTheme="minorEastAsia"/>
                <w:color w:themeColor="text1" w:val="000000"/>
                <w:kern w:val="0"/>
                <w:szCs w:val="21"/>
              </w:rPr>
              <w:t>任本基金</w:t>
            </w:r>
            <w:proofErr w:type="gramEnd"/>
            <w:r w:rsidRPr="00B27A29">
              <w:rPr>
                <w:rFonts w:eastAsiaTheme="minorEastAsia"/>
                <w:color w:themeColor="text1" w:val="000000"/>
                <w:kern w:val="0"/>
                <w:szCs w:val="21"/>
              </w:rPr>
              <w:t>的基金经理期限</w:t>
            </w:r>
          </w:p>
        </w:tc>
        <w:tc>
          <w:tcPr>
            <w:tcW w:type="dxa" w:w="1254"/>
            <w:vMerge w:val="restart"/>
            <w:vAlign w:val="center"/>
          </w:tcPr>
          <w:p w14:paraId="4D13B628" w14:textId="77777777" w:rsidR="005E6DF3" w:rsidRDefault="005C671B" w:rsidRPr="00B27A29">
            <w:pPr>
              <w:autoSpaceDE w:val="0"/>
              <w:autoSpaceDN w:val="0"/>
              <w:adjustRightInd w:val="0"/>
              <w:spacing w:before="29" w:line="288" w:lineRule="auto"/>
              <w:ind w:left="15"/>
              <w:jc w:val="center"/>
              <w:rPr>
                <w:rFonts w:eastAsiaTheme="minorEastAsia"/>
                <w:color w:themeColor="text1" w:val="000000"/>
                <w:kern w:val="0"/>
                <w:szCs w:val="21"/>
              </w:rPr>
            </w:pPr>
            <w:r w:rsidRPr="00B27A29">
              <w:rPr>
                <w:rFonts w:eastAsiaTheme="minorEastAsia"/>
                <w:color w:themeColor="text1" w:val="000000"/>
                <w:kern w:val="0"/>
                <w:szCs w:val="21"/>
              </w:rPr>
              <w:t>证券从业年限</w:t>
            </w:r>
          </w:p>
        </w:tc>
        <w:tc>
          <w:tcPr>
            <w:tcW w:type="dxa" w:w="3276"/>
            <w:vMerge w:val="restart"/>
            <w:vAlign w:val="center"/>
          </w:tcPr>
          <w:p w14:paraId="08400B6E" w14:textId="77777777" w:rsidR="005E6DF3" w:rsidRDefault="005C671B" w:rsidRPr="00B27A29">
            <w:pPr>
              <w:autoSpaceDE w:val="0"/>
              <w:autoSpaceDN w:val="0"/>
              <w:adjustRightInd w:val="0"/>
              <w:spacing w:before="29" w:line="288" w:lineRule="auto"/>
              <w:ind w:left="15"/>
              <w:jc w:val="center"/>
              <w:rPr>
                <w:rFonts w:eastAsiaTheme="minorEastAsia"/>
                <w:color w:themeColor="text1" w:val="000000"/>
                <w:kern w:val="0"/>
                <w:szCs w:val="21"/>
              </w:rPr>
            </w:pPr>
            <w:r w:rsidRPr="00B27A29">
              <w:rPr>
                <w:rFonts w:eastAsiaTheme="minorEastAsia"/>
                <w:color w:themeColor="text1" w:val="000000"/>
                <w:kern w:val="0"/>
                <w:szCs w:val="21"/>
              </w:rPr>
              <w:t>说明</w:t>
            </w:r>
          </w:p>
        </w:tc>
      </w:tr>
      <w:tr w14:paraId="7C241B5B" w14:textId="77777777" w:rsidR="005E6DF3" w:rsidRPr="00B27A29">
        <w:tc>
          <w:tcPr>
            <w:tcW w:type="dxa" w:w="952"/>
            <w:vMerge/>
            <w:vAlign w:val="center"/>
          </w:tcPr>
          <w:p w14:paraId="401C5BBE" w14:textId="77777777" w:rsidR="005E6DF3" w:rsidRDefault="005E6DF3" w:rsidRPr="00B27A29">
            <w:pPr>
              <w:autoSpaceDE w:val="0"/>
              <w:autoSpaceDN w:val="0"/>
              <w:adjustRightInd w:val="0"/>
              <w:spacing w:before="29" w:line="288" w:lineRule="auto"/>
              <w:ind w:left="15"/>
              <w:jc w:val="center"/>
              <w:rPr>
                <w:rFonts w:eastAsiaTheme="minorEastAsia"/>
                <w:color w:themeColor="text1" w:val="000000"/>
                <w:kern w:val="0"/>
                <w:szCs w:val="21"/>
              </w:rPr>
            </w:pPr>
          </w:p>
        </w:tc>
        <w:tc>
          <w:tcPr>
            <w:tcW w:type="dxa" w:w="930"/>
            <w:vMerge/>
          </w:tcPr>
          <w:p w14:paraId="1AF84C70" w14:textId="77777777" w:rsidR="005E6DF3" w:rsidRDefault="005E6DF3" w:rsidRPr="00B27A29">
            <w:pPr>
              <w:autoSpaceDE w:val="0"/>
              <w:autoSpaceDN w:val="0"/>
              <w:adjustRightInd w:val="0"/>
              <w:spacing w:before="29" w:line="288" w:lineRule="auto"/>
              <w:ind w:left="15"/>
              <w:jc w:val="center"/>
              <w:rPr>
                <w:rFonts w:eastAsiaTheme="minorEastAsia"/>
                <w:color w:themeColor="text1" w:val="000000"/>
                <w:kern w:val="0"/>
                <w:szCs w:val="21"/>
              </w:rPr>
            </w:pPr>
          </w:p>
        </w:tc>
        <w:tc>
          <w:tcPr>
            <w:tcW w:type="dxa" w:w="1210"/>
            <w:vAlign w:val="center"/>
          </w:tcPr>
          <w:p w14:paraId="429911F2" w14:textId="77777777" w:rsidR="005E6DF3" w:rsidRDefault="005C671B" w:rsidRPr="00B27A29">
            <w:pPr>
              <w:autoSpaceDE w:val="0"/>
              <w:autoSpaceDN w:val="0"/>
              <w:adjustRightInd w:val="0"/>
              <w:spacing w:before="29" w:line="288" w:lineRule="auto"/>
              <w:ind w:left="15"/>
              <w:jc w:val="center"/>
              <w:rPr>
                <w:rFonts w:eastAsiaTheme="minorEastAsia"/>
                <w:color w:themeColor="text1" w:val="000000"/>
                <w:kern w:val="0"/>
                <w:szCs w:val="21"/>
              </w:rPr>
            </w:pPr>
            <w:r w:rsidRPr="00B27A29">
              <w:rPr>
                <w:rFonts w:eastAsiaTheme="minorEastAsia"/>
                <w:color w:themeColor="text1" w:val="000000"/>
                <w:kern w:val="0"/>
                <w:szCs w:val="21"/>
              </w:rPr>
              <w:t>任职日期</w:t>
            </w:r>
          </w:p>
        </w:tc>
        <w:tc>
          <w:tcPr>
            <w:tcW w:type="dxa" w:w="1309"/>
            <w:vAlign w:val="center"/>
          </w:tcPr>
          <w:p w14:paraId="05523FAB" w14:textId="77777777" w:rsidR="005E6DF3" w:rsidRDefault="005C671B" w:rsidRPr="00B27A29">
            <w:pPr>
              <w:autoSpaceDE w:val="0"/>
              <w:autoSpaceDN w:val="0"/>
              <w:adjustRightInd w:val="0"/>
              <w:spacing w:before="29" w:line="288" w:lineRule="auto"/>
              <w:ind w:left="15"/>
              <w:jc w:val="center"/>
              <w:rPr>
                <w:rFonts w:eastAsiaTheme="minorEastAsia"/>
                <w:color w:themeColor="text1" w:val="000000"/>
                <w:kern w:val="0"/>
                <w:szCs w:val="21"/>
              </w:rPr>
            </w:pPr>
            <w:r w:rsidRPr="00B27A29">
              <w:rPr>
                <w:rFonts w:eastAsiaTheme="minorEastAsia"/>
                <w:color w:themeColor="text1" w:val="000000"/>
                <w:kern w:val="0"/>
                <w:szCs w:val="21"/>
              </w:rPr>
              <w:t>离任日期</w:t>
            </w:r>
          </w:p>
        </w:tc>
        <w:tc>
          <w:tcPr>
            <w:tcW w:type="dxa" w:w="1254"/>
            <w:vMerge/>
            <w:vAlign w:val="center"/>
          </w:tcPr>
          <w:p w14:paraId="3F6132ED" w14:textId="77777777" w:rsidR="005E6DF3" w:rsidRDefault="005E6DF3" w:rsidRPr="00B27A29">
            <w:pPr>
              <w:autoSpaceDE w:val="0"/>
              <w:autoSpaceDN w:val="0"/>
              <w:adjustRightInd w:val="0"/>
              <w:spacing w:before="29" w:line="288" w:lineRule="auto"/>
              <w:ind w:left="15"/>
              <w:jc w:val="center"/>
              <w:rPr>
                <w:rFonts w:eastAsiaTheme="minorEastAsia"/>
                <w:color w:themeColor="text1" w:val="000000"/>
                <w:kern w:val="0"/>
                <w:szCs w:val="21"/>
              </w:rPr>
            </w:pPr>
          </w:p>
        </w:tc>
        <w:tc>
          <w:tcPr>
            <w:tcW w:type="dxa" w:w="3276"/>
            <w:vMerge/>
            <w:vAlign w:val="center"/>
          </w:tcPr>
          <w:p w14:paraId="0EEB8398" w14:textId="77777777" w:rsidR="005E6DF3" w:rsidRDefault="005E6DF3" w:rsidRPr="00B27A29">
            <w:pPr>
              <w:autoSpaceDE w:val="0"/>
              <w:autoSpaceDN w:val="0"/>
              <w:adjustRightInd w:val="0"/>
              <w:spacing w:before="29" w:line="288" w:lineRule="auto"/>
              <w:ind w:left="15"/>
              <w:jc w:val="center"/>
              <w:rPr>
                <w:rFonts w:eastAsiaTheme="minorEastAsia"/>
                <w:color w:themeColor="text1" w:val="000000"/>
                <w:kern w:val="0"/>
                <w:szCs w:val="21"/>
              </w:rPr>
            </w:pPr>
          </w:p>
        </w:tc>
      </w:tr>
      <w:tr>
        <w:tc>
          <w:tcPr>
            <w:vAlign w:val="center"/>
          </w:tcPr>
          <w:p>
            <w:pPr>
              <w:jc w:val="center"/>
            </w:pPr>
            <w:r>
              <w:rPr>
                <w:rFonts w:eastAsiaTheme="minorEastAsia"/>
                <w:color w:themeColor="text1" w:val="000000"/>
                <w:szCs w:val="21"/>
              </w:rPr>
              <w:t>任翔</w:t>
            </w:r>
          </w:p>
        </w:tc>
        <w:tc>
          <w:tcPr>
            <w:vAlign w:val="center"/>
          </w:tcPr>
          <w:p>
            <w:pPr>
              <w:jc w:val="center"/>
            </w:pPr>
            <w:r>
              <w:rPr>
                <w:rFonts w:eastAsiaTheme="minorEastAsia"/>
                <w:color w:themeColor="text1" w:val="000000"/>
                <w:szCs w:val="21"/>
              </w:rPr>
              <w:t>本基金基金经理、固收研究部总监</w:t>
            </w:r>
          </w:p>
        </w:tc>
        <w:tc>
          <w:tcPr>
            <w:vAlign w:val="center"/>
          </w:tcPr>
          <w:p>
            <w:pPr>
              <w:jc w:val="center"/>
            </w:pPr>
            <w:r>
              <w:rPr>
                <w:rFonts w:eastAsiaTheme="minorEastAsia"/>
                <w:color w:themeColor="text1" w:val="000000"/>
                <w:szCs w:val="21"/>
              </w:rPr>
              <w:t>2019-11-26</w:t>
            </w:r>
          </w:p>
        </w:tc>
        <w:tc>
          <w:tcPr>
            <w:vAlign w:val="center"/>
          </w:tcPr>
          <w:p>
            <w:pPr>
              <w:jc w:val="center"/>
            </w:pPr>
            <w:r>
              <w:rPr>
                <w:rFonts w:eastAsiaTheme="minorEastAsia"/>
                <w:color w:themeColor="text1" w:val="000000"/>
                <w:szCs w:val="21"/>
              </w:rPr>
              <w:t>-</w:t>
            </w:r>
          </w:p>
        </w:tc>
        <w:tc>
          <w:tcPr>
            <w:vAlign w:val="center"/>
          </w:tcPr>
          <w:p>
            <w:pPr>
              <w:jc w:val="center"/>
            </w:pPr>
            <w:r>
              <w:rPr>
                <w:rFonts w:eastAsiaTheme="minorEastAsia"/>
                <w:color w:themeColor="text1" w:val="000000"/>
                <w:szCs w:val="21"/>
              </w:rPr>
              <w:t>7年</w:t>
            </w:r>
          </w:p>
        </w:tc>
        <w:tc>
          <w:tcPr>
            <w:vAlign w:val="center"/>
          </w:tcPr>
          <w:p>
            <w:pPr>
              <w:jc w:val="both"/>
            </w:pPr>
            <w:r>
              <w:rPr>
                <w:rFonts w:eastAsiaTheme="minorEastAsia"/>
                <w:color w:themeColor="text1" w:val="000000"/>
                <w:szCs w:val="21"/>
              </w:rPr>
              <w:t>任翔先生，CFA，CPA，上海交通大学硕士，现任基金经理兼固收研究部总监。任翔先生自2009年9月至2012年1月，在德勤华永会计师事务所有限公司任高级审计师；2012年1月至2014年9月，在汇丰银行（中国）有限公司任客户审计经理；2014年9月起加入上投摩根基金管理有限公司，历任研究员、投资经理助理、投资经理兼债券研究部副总监、投资经理兼固收研究部总监，现任债券投资部基金经理兼固收研究部总监，自2019年11月起任上投摩根瑞益纯债债券型证券投资基金基金经理，自2020年3月起同时担任上投摩根瑞泰38个月定期开放债券型证券投资基金基金经理，2020年4月至2021年3月同时担任上投摩根纯债添利债券型证券投资基金基金经理，2020年4月至2020年11月同时担任上投摩根瑞利纯债债券型证券投资基金基金经理，2020年9月至2021年4月同时担任上投摩根岁岁益定期开放债券型证券投资基金基金经理。自2021年8月起同时担任上投摩根中债1-3年国开行债券指数证券投资基金基金经理。</w:t>
            </w:r>
          </w:p>
        </w:tc>
      </w:tr>
    </w:tbl>
    <w:p>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注：1. 任职日期和离任日期均指根据公司决定确定的聘任日期和解聘日期。</w:t>
      </w:r>
    </w:p>
    <w:p>
      <w:pPr>
        <w:autoSpaceDE w:val="0"/>
        <w:autoSpaceDN w:val="0"/>
        <w:adjustRightInd w:val="0"/>
        <w:spacing w:line="360" w:lineRule="auto"/>
        <w:ind w:firstLine="420" w:firstLineChars="200"/>
        <w:jc w:val="left"/>
        <w:rPr>
          <w:rFonts w:eastAsiaTheme="minorEastAsia"/>
          <w:color w:themeColor="text1" w:val="000000"/>
          <w:szCs w:val="21"/>
        </w:rPr>
      </w:pPr>
      <w:r>
        <w:rPr>
          <w:rFonts w:eastAsiaTheme="minorEastAsia"/>
          <w:color w:themeColor="text1" w:val="000000"/>
          <w:szCs w:val="21"/>
        </w:rPr>
        <w:t>2. 任翔先生为本基金首任基金经理，其任职日期为本基金基金合同生效之日。</w:t>
      </w:r>
    </w:p>
    <w:p w14:paraId="7F8F15EC" w14:textId="03B4A669" w:rsidR="005E6DF3" w:rsidRDefault="005C671B" w:rsidRPr="00B27A29">
      <w:pPr>
        <w:autoSpaceDE w:val="0"/>
        <w:autoSpaceDN w:val="0"/>
        <w:adjustRightInd w:val="0"/>
        <w:spacing w:line="360" w:lineRule="auto"/>
        <w:ind w:firstLine="420" w:firstLineChars="200"/>
        <w:jc w:val="left"/>
        <w:rPr>
          <w:rFonts w:eastAsiaTheme="minorEastAsia"/>
          <w:color w:themeColor="text1" w:val="000000"/>
          <w:szCs w:val="21"/>
        </w:rPr>
      </w:pPr>
      <w:r w:rsidRPr="00B27A29">
        <w:rPr>
          <w:rFonts w:eastAsiaTheme="minorEastAsia"/>
          <w:color w:themeColor="text1" w:val="000000"/>
          <w:szCs w:val="21"/>
        </w:rPr>
        <w:t/>
      </w:r>
      <w:proofErr w:type="gramStart"/>
      <w:r w:rsidRPr="00B27A29">
        <w:rPr>
          <w:rFonts w:eastAsiaTheme="minorEastAsia"/>
          <w:color w:themeColor="text1" w:val="000000"/>
          <w:szCs w:val="21"/>
        </w:rPr>
        <w:t/>
      </w:r>
      <w:proofErr w:type="gramEnd"/>
      <w:r w:rsidRPr="00B27A29">
        <w:rPr>
          <w:rFonts w:eastAsiaTheme="minorEastAsia"/>
          <w:color w:themeColor="text1" w:val="000000"/>
          <w:szCs w:val="21"/>
        </w:rPr>
        <w:t>3. 证券从业的含义遵从行业协会《证券业从业人员资格管理办法》的相关规定。</w:t>
      </w:r>
    </w:p>
    <w:p w14:paraId="2F490DED" w14:textId="77777777" w:rsidR="005E6DF3" w:rsidRDefault="005C671B" w:rsidRPr="00B27A29">
      <w:pPr>
        <w:autoSpaceDE w:val="0"/>
        <w:autoSpaceDN w:val="0"/>
        <w:adjustRightInd w:val="0"/>
        <w:spacing w:before="312" w:beforeLines="100" w:line="360" w:lineRule="auto"/>
        <w:jc w:val="left"/>
        <w:rPr>
          <w:rFonts w:eastAsiaTheme="minorEastAsia"/>
          <w:b/>
          <w:color w:themeColor="text1" w:val="000000"/>
          <w:kern w:val="0"/>
          <w:szCs w:val="21"/>
        </w:rPr>
      </w:pPr>
      <w:r w:rsidRPr="00B27A29">
        <w:rPr>
          <w:rFonts w:eastAsiaTheme="minorEastAsia"/>
          <w:b/>
          <w:color w:themeColor="text1" w:val="000000"/>
          <w:kern w:val="0"/>
          <w:szCs w:val="21"/>
        </w:rPr>
        <w:lastRenderedPageBreak/>
        <w:t>4.2</w:t>
      </w:r>
      <w:r w:rsidRPr="00B27A29">
        <w:rPr>
          <w:rFonts w:eastAsiaTheme="minorEastAsia"/>
          <w:b/>
          <w:color w:themeColor="text1" w:val="000000"/>
          <w:kern w:val="0"/>
          <w:szCs w:val="21"/>
        </w:rPr>
        <w:t>管理人对报告期内本基金运作遵规守信情况的说明</w:t>
      </w:r>
    </w:p>
    <w:p w14:paraId="20A8009C" w14:textId="77777777" w:rsidR="005E6DF3" w:rsidRDefault="005C671B" w:rsidRPr="00B27A29">
      <w:pPr>
        <w:spacing w:line="360" w:lineRule="auto"/>
        <w:ind w:firstLine="420" w:firstLineChars="200"/>
        <w:rPr>
          <w:rFonts w:eastAsiaTheme="minorEastAsia"/>
          <w:color w:themeColor="text1" w:val="000000"/>
          <w:szCs w:val="21"/>
        </w:rPr>
      </w:pPr>
      <w:r w:rsidRPr="00B27A29">
        <w:rPr>
          <w:rFonts w:eastAsiaTheme="minorEastAsia"/>
          <w:color w:themeColor="text1" w:val="000000"/>
          <w:szCs w:val="21"/>
        </w:rPr>
        <w:t/>
      </w:r>
      <w:proofErr w:type="spellStart"/>
      <w:r w:rsidRPr="00B27A29">
        <w:rPr>
          <w:rFonts w:eastAsiaTheme="minorEastAsia"/>
          <w:color w:themeColor="text1" w:val="000000"/>
          <w:szCs w:val="21"/>
        </w:rPr>
        <w:t/>
      </w:r>
      <w:proofErr w:type="spellEnd"/>
      <w:r w:rsidRPr="00B27A29">
        <w:rPr>
          <w:rFonts w:eastAsiaTheme="minorEastAsia"/>
          <w:color w:themeColor="text1" w:val="000000"/>
          <w:szCs w:val="21"/>
        </w:rPr>
        <w:t>在本报告期内，基金管理人不存在损害基金份额持有人利益的行为，勤勉尽责地为基金份额持有人谋求利益。基金管理人遵守了《证券投资基金法》及其他有关法律法规、《上投摩根瑞益纯债债券型证券投资基金基金合同》的规定。基金经理对个股和投资组合的比例遵循了投资决策委员会的授权限制，基金投资比例符合基金合同和法律法规的要求。</w:t>
      </w:r>
    </w:p>
    <w:p w14:paraId="682C2D65" w14:textId="77777777" w:rsidR="005E6DF3" w:rsidRDefault="005C671B" w:rsidRPr="00B27A29">
      <w:pPr>
        <w:autoSpaceDE w:val="0"/>
        <w:autoSpaceDN w:val="0"/>
        <w:adjustRightInd w:val="0"/>
        <w:spacing w:before="312" w:beforeLines="100" w:line="360" w:lineRule="auto"/>
        <w:jc w:val="left"/>
        <w:rPr>
          <w:rFonts w:eastAsiaTheme="minorEastAsia"/>
          <w:b/>
          <w:color w:themeColor="text1" w:val="000000"/>
          <w:kern w:val="0"/>
          <w:szCs w:val="21"/>
        </w:rPr>
      </w:pPr>
      <w:r w:rsidRPr="00B27A29">
        <w:rPr>
          <w:rFonts w:eastAsiaTheme="minorEastAsia"/>
          <w:b/>
          <w:color w:themeColor="text1" w:val="000000"/>
          <w:kern w:val="0"/>
          <w:szCs w:val="21"/>
        </w:rPr>
        <w:t xml:space="preserve">4.3 </w:t>
      </w:r>
      <w:r w:rsidRPr="00B27A29">
        <w:rPr>
          <w:rFonts w:eastAsiaTheme="minorEastAsia"/>
          <w:b/>
          <w:color w:themeColor="text1" w:val="000000"/>
          <w:kern w:val="0"/>
          <w:szCs w:val="21"/>
        </w:rPr>
        <w:t>公平交易专项说明</w:t>
      </w:r>
    </w:p>
    <w:p w14:paraId="01D67BE6" w14:textId="77777777" w:rsidR="005E6DF3" w:rsidRDefault="005C671B" w:rsidRPr="00B27A29">
      <w:pPr>
        <w:spacing w:line="360" w:lineRule="auto"/>
        <w:rPr>
          <w:rFonts w:eastAsiaTheme="minorEastAsia"/>
          <w:color w:themeColor="text1" w:val="000000"/>
          <w:szCs w:val="21"/>
        </w:rPr>
      </w:pPr>
      <w:r w:rsidRPr="00B27A29">
        <w:rPr>
          <w:rFonts w:eastAsiaTheme="minorEastAsia"/>
          <w:color w:themeColor="text1" w:val="000000"/>
          <w:szCs w:val="21"/>
        </w:rPr>
        <w:t xml:space="preserve">4.3.1 </w:t>
      </w:r>
      <w:r w:rsidRPr="00B27A29">
        <w:rPr>
          <w:rFonts w:eastAsiaTheme="minorEastAsia"/>
          <w:color w:themeColor="text1" w:val="000000"/>
          <w:szCs w:val="21"/>
        </w:rPr>
        <w:t>公平交易制度的执行情况</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1C5BD1DE" w14:textId="77777777" w:rsidR="005E6DF3" w:rsidRDefault="005C671B" w:rsidRPr="00B27A29">
      <w:pPr>
        <w:spacing w:line="360" w:lineRule="auto"/>
        <w:ind w:firstLine="420" w:firstLineChars="200"/>
        <w:rPr>
          <w:rFonts w:eastAsiaTheme="minorEastAsia"/>
          <w:color w:themeColor="text1" w:val="000000"/>
          <w:szCs w:val="21"/>
        </w:rPr>
      </w:pPr>
      <w:r w:rsidRPr="00B27A29">
        <w:rPr>
          <w:rFonts w:eastAsiaTheme="minorEastAsia"/>
          <w:color w:themeColor="text1" w:val="000000"/>
          <w:szCs w:val="21"/>
        </w:rPr>
        <w:t/>
      </w:r>
      <w:proofErr w:type="spellStart"/>
      <w:r w:rsidRPr="00B27A29">
        <w:rPr>
          <w:rFonts w:eastAsiaTheme="minorEastAsia"/>
          <w:color w:themeColor="text1" w:val="000000"/>
          <w:szCs w:val="21"/>
        </w:rPr>
        <w:t/>
      </w:r>
      <w:proofErr w:type="spellEnd"/>
      <w:r w:rsidRPr="00B27A29">
        <w:rPr>
          <w:rFonts w:eastAsiaTheme="minorEastAsia"/>
          <w:color w:themeColor="text1" w:val="000000"/>
          <w:szCs w:val="21"/>
        </w:rPr>
        <w:t>报告期内，通过对不同投资组合之间的收益率差异比较、对同向交易和反向交易的交易时机和交易价差监控分析，未发现整体公平交易执行出现异常的情况。</w:t>
      </w:r>
    </w:p>
    <w:p w14:paraId="098EE4AE" w14:textId="77777777" w:rsidR="005E6DF3" w:rsidRDefault="005C671B" w:rsidRPr="00B27A29">
      <w:pPr>
        <w:spacing w:line="360" w:lineRule="auto"/>
        <w:rPr>
          <w:rFonts w:eastAsiaTheme="minorEastAsia"/>
          <w:color w:themeColor="text1" w:val="000000"/>
          <w:szCs w:val="21"/>
        </w:rPr>
      </w:pPr>
      <w:r w:rsidRPr="00B27A29">
        <w:rPr>
          <w:rFonts w:eastAsiaTheme="minorEastAsia"/>
          <w:color w:themeColor="text1" w:val="000000"/>
          <w:szCs w:val="21"/>
        </w:rPr>
        <w:t xml:space="preserve">4.3.2 </w:t>
      </w:r>
      <w:r w:rsidRPr="00B27A29">
        <w:rPr>
          <w:rFonts w:eastAsiaTheme="minorEastAsia"/>
          <w:color w:themeColor="text1" w:val="000000"/>
          <w:szCs w:val="21"/>
        </w:rPr>
        <w:t>异常交易行为的专项说明</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报告期内，通过对交易价格、交易时间、交易方向等的分析，未发现有可能导致不公平交易和利益输送的异常交易行为。</w:t>
      </w:r>
    </w:p>
    <w:p w14:paraId="49E7A613" w14:textId="77777777" w:rsidR="005E6DF3" w:rsidRDefault="005C671B" w:rsidRPr="00B27A29">
      <w:pPr>
        <w:spacing w:line="360" w:lineRule="auto"/>
        <w:ind w:firstLine="420" w:firstLineChars="200"/>
        <w:rPr>
          <w:rFonts w:eastAsiaTheme="minorEastAsia"/>
          <w:color w:themeColor="text1" w:val="000000"/>
          <w:szCs w:val="21"/>
        </w:rPr>
      </w:pPr>
      <w:r w:rsidRPr="00B27A29">
        <w:rPr>
          <w:rFonts w:eastAsiaTheme="minorEastAsia"/>
          <w:color w:themeColor="text1" w:val="000000"/>
          <w:szCs w:val="21"/>
        </w:rPr>
        <w:t/>
      </w:r>
      <w:proofErr w:type="spellStart"/>
      <w:r w:rsidRPr="00B27A29">
        <w:rPr>
          <w:rFonts w:eastAsiaTheme="minorEastAsia"/>
          <w:color w:themeColor="text1" w:val="000000"/>
          <w:szCs w:val="21"/>
        </w:rPr>
        <w:t/>
      </w:r>
      <w:proofErr w:type="spellEnd"/>
      <w:r w:rsidRPr="00B27A29">
        <w:rPr>
          <w:rFonts w:eastAsiaTheme="minorEastAsia"/>
          <w:color w:themeColor="text1" w:val="000000"/>
          <w:szCs w:val="21"/>
        </w:rPr>
        <w:t>所有投资组合参与的交易所公开竞价同日反向交易成交较少的单边交易量超过该证券当日成交量的5%的情形：无。	</w:t>
      </w:r>
    </w:p>
    <w:p w14:paraId="56DB0FF3" w14:textId="77777777" w:rsidR="005E6DF3" w:rsidRDefault="005C671B" w:rsidRPr="00B27A29">
      <w:pPr>
        <w:autoSpaceDE w:val="0"/>
        <w:autoSpaceDN w:val="0"/>
        <w:adjustRightInd w:val="0"/>
        <w:spacing w:before="312" w:beforeLines="100" w:line="360" w:lineRule="auto"/>
        <w:jc w:val="left"/>
        <w:rPr>
          <w:rFonts w:eastAsiaTheme="minorEastAsia"/>
          <w:b/>
          <w:color w:themeColor="text1" w:val="000000"/>
          <w:kern w:val="0"/>
          <w:szCs w:val="21"/>
        </w:rPr>
      </w:pPr>
      <w:r w:rsidRPr="00B27A29">
        <w:rPr>
          <w:rFonts w:eastAsiaTheme="minorEastAsia"/>
          <w:b/>
          <w:color w:themeColor="text1" w:val="000000"/>
          <w:kern w:val="0"/>
          <w:szCs w:val="21"/>
        </w:rPr>
        <w:t xml:space="preserve">4.4 </w:t>
      </w:r>
      <w:r w:rsidRPr="00B27A29">
        <w:rPr>
          <w:rFonts w:eastAsiaTheme="minorEastAsia"/>
          <w:b/>
          <w:color w:themeColor="text1" w:val="000000"/>
          <w:kern w:val="0"/>
          <w:szCs w:val="21"/>
        </w:rPr>
        <w:t>报告期内基金的投资策略和业绩表现说明</w:t>
      </w:r>
    </w:p>
    <w:p w14:paraId="2CFFD072" w14:textId="77777777" w:rsidR="005E6DF3" w:rsidRDefault="005C671B" w:rsidRPr="00B27A29">
      <w:pPr>
        <w:spacing w:line="360" w:lineRule="auto"/>
        <w:rPr>
          <w:rFonts w:eastAsiaTheme="minorEastAsia"/>
          <w:color w:themeColor="text1" w:val="000000"/>
          <w:szCs w:val="21"/>
        </w:rPr>
      </w:pPr>
      <w:r w:rsidRPr="00B27A29">
        <w:rPr>
          <w:rFonts w:eastAsiaTheme="minorEastAsia"/>
          <w:color w:themeColor="text1" w:val="000000"/>
          <w:szCs w:val="21"/>
        </w:rPr>
        <w:t>4.4.1</w:t>
      </w:r>
      <w:r w:rsidRPr="00B27A29">
        <w:rPr>
          <w:rFonts w:eastAsiaTheme="minorEastAsia"/>
          <w:color w:themeColor="text1" w:val="000000"/>
          <w:szCs w:val="21"/>
        </w:rPr>
        <w:t>报告期内基金投资策略和运作分析</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跨过半年末，资金面波澜不惊，7月7日，国务院常务会议决定“适时运用降准等货币政策工具，进一步加强金融对实体经济特别是中小微企业的支持，促进综合融资成本稳中有降。”这一消息显著超出市场预期，债市做多情绪被点燃，7月9日，央行宣布下调存款准备金率0.5个百分点，收益率再下一城。同时公布的社融数据虽超预期，但在全面降准的利好影响下，并未对债市造成冲击。7月末，多重因素促成收益率再度下行：德尔塔病毒在南京扩散使得避险情绪升温；政治局会议未再提“稳增长压力较小窗口期”，透露出对下半年经济的谨慎态度；同时美联储议息会议亦释放偏鸽派信号。收益率经历大幅下行后，在止盈压力下，迎来短暂回调。此后，影响债市的因素多空交织，市场进入震荡行情。一方面经济数据和PMI数据偏弱，另一方面货币政策保持相对克制，银行理财整改也给债市带来一定冲击。全季度看，10年期国债收益率下行20bp至2.88%。</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本基金在三季度适度提高了组合久期和杠杆水平，总体上保持了稳健的组合配置。信用方面，基金精选中高等级投资标的，严控信用风险，力争获取稳健回报。</w:t>
      </w:r>
    </w:p>
    <w:p w14:paraId="6CEC5FDB" w14:textId="77777777" w:rsidR="005E6DF3" w:rsidRDefault="005C671B" w:rsidRPr="00B27A29">
      <w:pPr>
        <w:spacing w:line="360" w:lineRule="auto"/>
        <w:ind w:firstLine="420" w:firstLineChars="200"/>
        <w:rPr>
          <w:rFonts w:eastAsiaTheme="minorEastAsia"/>
          <w:color w:themeColor="text1" w:val="000000"/>
          <w:szCs w:val="21"/>
        </w:rPr>
      </w:pPr>
      <w:r w:rsidRPr="00B27A29">
        <w:rPr>
          <w:rFonts w:eastAsiaTheme="minorEastAsia"/>
          <w:color w:themeColor="text1" w:val="000000"/>
          <w:szCs w:val="21"/>
        </w:rPr>
        <w:t/>
      </w:r>
      <w:proofErr w:type="spellStart"/>
      <w:r w:rsidRPr="00B27A29">
        <w:rPr>
          <w:rFonts w:eastAsiaTheme="minorEastAsia"/>
          <w:color w:themeColor="text1" w:val="000000"/>
          <w:szCs w:val="21"/>
        </w:rPr>
        <w:t/>
      </w:r>
      <w:proofErr w:type="spellEnd"/>
      <w:r w:rsidRPr="00B27A29">
        <w:rPr>
          <w:rFonts w:eastAsiaTheme="minorEastAsia"/>
          <w:color w:themeColor="text1" w:val="000000"/>
          <w:szCs w:val="21"/>
        </w:rPr>
        <w:t>展望四季度，预计经济增长仍将面临挑战，结构性问题依然突出。前期支持经济的货币政策及财政政策的效果有待显现。四季度美联储有较高概率启动缩减量化宽松，中美利差面临考验。与此同时，通胀数据、理财产品净值化转型、地方债发行进度、中美贸易关系等均是影响四季度债市的重要因素，须保持密切跟踪，伺机而动。</w:t>
      </w:r>
    </w:p>
    <w:p w14:paraId="43264879" w14:textId="77777777" w:rsidR="005E6DF3" w:rsidRDefault="005C671B" w:rsidRPr="00B27A29">
      <w:pPr>
        <w:spacing w:line="360" w:lineRule="auto"/>
        <w:rPr>
          <w:rFonts w:eastAsiaTheme="minorEastAsia"/>
          <w:color w:themeColor="text1" w:val="000000"/>
          <w:szCs w:val="21"/>
        </w:rPr>
      </w:pPr>
      <w:r w:rsidRPr="00B27A29">
        <w:rPr>
          <w:rFonts w:eastAsiaTheme="minorEastAsia"/>
          <w:color w:themeColor="text1" w:val="000000"/>
          <w:szCs w:val="21"/>
        </w:rPr>
        <w:t>4.4.2</w:t>
      </w:r>
      <w:r w:rsidRPr="00B27A29">
        <w:rPr>
          <w:rFonts w:eastAsiaTheme="minorEastAsia"/>
          <w:color w:themeColor="text1" w:val="000000"/>
          <w:szCs w:val="21"/>
        </w:rPr>
        <w:t>报告期内基金的业绩表现</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本报告期上投摩根瑞益纯债债券A份额净值增长率为:0.82%，同期业绩比较基准收益率为:1.70%,</w:t>
      </w:r>
    </w:p>
    <w:p w14:paraId="2EB723CC" w14:textId="77777777" w:rsidR="005E6DF3" w:rsidRDefault="005C671B" w:rsidRPr="00B27A29">
      <w:pPr>
        <w:spacing w:line="360" w:lineRule="auto"/>
        <w:ind w:firstLine="420" w:firstLineChars="200"/>
        <w:rPr>
          <w:rFonts w:eastAsiaTheme="minorEastAsia"/>
          <w:color w:themeColor="text1" w:val="000000"/>
          <w:szCs w:val="21"/>
        </w:rPr>
      </w:pPr>
      <w:r w:rsidRPr="00B27A29">
        <w:rPr>
          <w:rFonts w:eastAsiaTheme="minorEastAsia"/>
          <w:color w:themeColor="text1" w:val="000000"/>
          <w:szCs w:val="21"/>
        </w:rPr>
        <w:t/>
      </w:r>
      <w:proofErr w:type="spellStart"/>
      <w:r w:rsidRPr="00B27A29">
        <w:rPr>
          <w:rFonts w:eastAsiaTheme="minorEastAsia"/>
          <w:color w:themeColor="text1" w:val="000000"/>
          <w:szCs w:val="21"/>
        </w:rPr>
        <w:t/>
      </w:r>
      <w:proofErr w:type="spellEnd"/>
      <w:r w:rsidRPr="00B27A29">
        <w:rPr>
          <w:rFonts w:eastAsiaTheme="minorEastAsia"/>
          <w:color w:themeColor="text1" w:val="000000"/>
          <w:szCs w:val="21"/>
        </w:rPr>
        <w:t>上投摩根瑞益纯债债券C份额净值增长率为:0.79%，同期业绩比较基准收益率为:1.70%。</w:t>
      </w:r>
    </w:p>
    <w:p w14:paraId="42E51AC8" w14:textId="77777777" w:rsidR="005E6DF3" w:rsidRDefault="005E6DF3" w:rsidRPr="00B27A29">
      <w:pPr>
        <w:spacing w:line="360" w:lineRule="auto"/>
        <w:ind w:firstLine="420" w:firstLineChars="200"/>
        <w:rPr>
          <w:rFonts w:eastAsiaTheme="minorEastAsia"/>
          <w:color w:themeColor="text1" w:val="000000"/>
          <w:szCs w:val="21"/>
        </w:rPr>
      </w:pPr>
    </w:p>
    <w:p w14:paraId="3BD9E8DD" w14:textId="77777777" w:rsidR="005E6DF3" w:rsidRDefault="005C671B" w:rsidRPr="00B27A29">
      <w:pPr>
        <w:spacing w:line="360" w:lineRule="auto"/>
        <w:rPr>
          <w:rFonts w:eastAsiaTheme="minorEastAsia"/>
          <w:color w:themeColor="text1" w:val="000000"/>
          <w:szCs w:val="21"/>
        </w:rPr>
      </w:pPr>
      <w:r w:rsidRPr="00B27A29">
        <w:rPr>
          <w:rFonts w:eastAsiaTheme="minorEastAsia"/>
          <w:b/>
          <w:color w:themeColor="text1" w:val="000000"/>
          <w:kern w:val="0"/>
          <w:szCs w:val="21"/>
        </w:rPr>
        <w:t/>
      </w:r>
      <w:proofErr w:type="spellStart"/>
      <w:r w:rsidRPr="00B27A29">
        <w:rPr>
          <w:rFonts w:eastAsiaTheme="minorEastAsia"/>
          <w:b/>
          <w:color w:themeColor="text1" w:val="000000"/>
          <w:kern w:val="0"/>
          <w:szCs w:val="21"/>
        </w:rPr>
        <w:t/>
      </w:r>
      <w:proofErr w:type="spellEnd"/>
      <w:r w:rsidRPr="00B27A29">
        <w:rPr>
          <w:rFonts w:eastAsiaTheme="minorEastAsia"/>
          <w:b/>
          <w:color w:themeColor="text1" w:val="000000"/>
          <w:kern w:val="0"/>
          <w:szCs w:val="21"/>
        </w:rPr>
        <w:t>4.5</w:t>
      </w:r>
      <w:r w:rsidRPr="00B27A29">
        <w:rPr>
          <w:rFonts w:eastAsiaTheme="minorEastAsia"/>
          <w:b/>
          <w:color w:themeColor="text1" w:val="000000"/>
          <w:kern w:val="0"/>
          <w:szCs w:val="21"/>
        </w:rPr>
        <w:t>报告期内基金持有人数或基金资产净值预警说明</w:t>
      </w:r>
    </w:p>
    <w:p w14:paraId="31C74752" w14:textId="77777777" w:rsidR="005E6DF3" w:rsidRDefault="005C671B" w:rsidRPr="00B27A29">
      <w:pPr>
        <w:spacing w:line="360" w:lineRule="auto"/>
        <w:ind w:firstLine="420" w:firstLineChars="200"/>
        <w:rPr>
          <w:rFonts w:eastAsiaTheme="minorEastAsia"/>
          <w:color w:themeColor="text1" w:val="000000"/>
          <w:kern w:val="0"/>
          <w:szCs w:val="21"/>
        </w:rPr>
      </w:pPr>
      <w:r w:rsidRPr="00B27A29">
        <w:rPr>
          <w:rFonts w:eastAsiaTheme="minorEastAsia"/>
          <w:color w:themeColor="text1" w:val="000000"/>
          <w:kern w:val="0"/>
          <w:szCs w:val="21"/>
        </w:rPr>
        <w:t/>
      </w:r>
      <w:r w:rsidRPr="00B27A29">
        <w:rPr>
          <w:rFonts w:eastAsiaTheme="minorEastAsia"/>
          <w:color w:themeColor="text1" w:val="000000"/>
          <w:szCs w:val="21"/>
        </w:rPr>
        <w:t/>
      </w:r>
      <w:r w:rsidRPr="00B27A29">
        <w:rPr>
          <w:rFonts w:eastAsiaTheme="minorEastAsia"/>
          <w:color w:themeColor="text1" w:val="000000"/>
          <w:kern w:val="0"/>
          <w:szCs w:val="21"/>
        </w:rPr>
        <w:t>无。</w:t>
      </w:r>
    </w:p>
    <w:p w14:paraId="4507D0E2" w14:textId="77777777" w:rsidR="005E6DF3" w:rsidRDefault="005E6DF3" w:rsidRPr="00B27A29">
      <w:pPr>
        <w:spacing w:line="360" w:lineRule="auto"/>
        <w:ind w:firstLine="420" w:firstLineChars="200"/>
        <w:rPr>
          <w:rFonts w:eastAsiaTheme="minorEastAsia"/>
          <w:color w:themeColor="text1" w:val="000000"/>
          <w:szCs w:val="21"/>
        </w:rPr>
      </w:pPr>
    </w:p>
    <w:p w14:paraId="57E53B80" w14:textId="77777777" w:rsidR="005E6DF3" w:rsidRDefault="005C671B" w:rsidRPr="00B27A29">
      <w:pPr>
        <w:pStyle w:val="1"/>
        <w:spacing w:after="312" w:afterLines="100" w:before="312" w:beforeLines="100" w:line="360" w:lineRule="auto"/>
        <w:jc w:val="center"/>
        <w:rPr>
          <w:rFonts w:eastAsiaTheme="minorEastAsia"/>
          <w:color w:themeColor="text1" w:val="000000"/>
          <w:kern w:val="0"/>
          <w:sz w:val="21"/>
          <w:szCs w:val="21"/>
        </w:rPr>
      </w:pPr>
      <w:r w:rsidRPr="00B27A29">
        <w:rPr>
          <w:rFonts w:eastAsiaTheme="minorEastAsia"/>
          <w:color w:themeColor="text1" w:val="000000"/>
          <w:kern w:val="0"/>
          <w:sz w:val="21"/>
          <w:szCs w:val="21"/>
        </w:rPr>
        <w:t xml:space="preserve">§5  </w:t>
      </w:r>
      <w:r w:rsidRPr="00B27A29">
        <w:rPr>
          <w:rFonts w:eastAsiaTheme="minorEastAsia"/>
          <w:color w:themeColor="text1" w:val="000000"/>
          <w:kern w:val="0"/>
          <w:sz w:val="21"/>
          <w:szCs w:val="21"/>
        </w:rPr>
        <w:t>投资组合报告</w:t>
      </w:r>
    </w:p>
    <w:p w14:paraId="10288FB2" w14:textId="77777777" w:rsidR="005E6DF3" w:rsidRDefault="005C671B" w:rsidRPr="00B27A29">
      <w:pPr>
        <w:autoSpaceDE w:val="0"/>
        <w:autoSpaceDN w:val="0"/>
        <w:adjustRightInd w:val="0"/>
        <w:spacing w:line="360" w:lineRule="auto"/>
        <w:jc w:val="left"/>
        <w:rPr>
          <w:rFonts w:eastAsiaTheme="minorEastAsia"/>
          <w:b/>
          <w:color w:themeColor="text1" w:val="000000"/>
          <w:kern w:val="0"/>
          <w:szCs w:val="21"/>
        </w:rPr>
      </w:pPr>
      <w:r w:rsidRPr="00B27A29">
        <w:rPr>
          <w:rFonts w:eastAsiaTheme="minorEastAsia"/>
          <w:b/>
          <w:color w:themeColor="text1" w:val="000000"/>
          <w:kern w:val="0"/>
          <w:szCs w:val="21"/>
        </w:rPr>
        <w:t xml:space="preserve">5.1 </w:t>
      </w:r>
      <w:r w:rsidRPr="00B27A29">
        <w:rPr>
          <w:rFonts w:eastAsiaTheme="minorEastAsia"/>
          <w:b/>
          <w:color w:themeColor="text1" w:val="000000"/>
          <w:kern w:val="0"/>
          <w:szCs w:val="21"/>
        </w:rPr>
        <w:t>报告期末基金资产组合情况</w:t>
      </w:r>
    </w:p>
    <w:tbl>
      <w:tblPr>
        <w:tblStyle w:val="afa"/>
        <w:tblW w:type="dxa" w:w="8897"/>
        <w:tblInd w:type="dxa" w:w="108"/>
        <w:tblLayout w:type="fixed"/>
        <w:tblLook w:firstColumn="1" w:firstRow="1" w:lastColumn="0" w:lastRow="0" w:noHBand="0" w:noVBand="1" w:val="04A0"/>
      </w:tblPr>
      <w:tblGrid>
        <w:gridCol w:w="720"/>
        <w:gridCol w:w="3357"/>
        <w:gridCol w:w="2977"/>
        <w:gridCol w:w="1843"/>
      </w:tblGrid>
      <w:tr w14:paraId="04F818ED" w14:textId="77777777" w:rsidR="005E6DF3" w:rsidRPr="00B27A29">
        <w:tc>
          <w:tcPr>
            <w:tcW w:type="dxa" w:w="720"/>
            <w:vAlign w:val="center"/>
          </w:tcPr>
          <w:p w14:paraId="7F1D4C3E" w14:textId="77777777" w:rsidR="005E6DF3" w:rsidRDefault="005C671B" w:rsidRPr="00B27A29">
            <w:pPr>
              <w:spacing w:before="29" w:line="360" w:lineRule="auto"/>
              <w:ind w:left="17"/>
              <w:jc w:val="center"/>
              <w:rPr>
                <w:rFonts w:eastAsiaTheme="minorEastAsia"/>
                <w:color w:themeColor="text1" w:val="000000"/>
                <w:szCs w:val="21"/>
              </w:rPr>
            </w:pPr>
            <w:r w:rsidRPr="00B27A29">
              <w:rPr>
                <w:rFonts w:eastAsiaTheme="minorEastAsia"/>
                <w:color w:themeColor="text1" w:val="000000"/>
                <w:szCs w:val="21"/>
              </w:rPr>
              <w:t>序号</w:t>
            </w:r>
          </w:p>
        </w:tc>
        <w:tc>
          <w:tcPr>
            <w:tcW w:type="dxa" w:w="3357"/>
            <w:vAlign w:val="center"/>
          </w:tcPr>
          <w:p w14:paraId="2202E9A6" w14:textId="77777777" w:rsidR="005E6DF3" w:rsidRDefault="005C671B" w:rsidRPr="00B27A29">
            <w:pPr>
              <w:spacing w:before="29" w:line="360" w:lineRule="auto"/>
              <w:ind w:left="17"/>
              <w:jc w:val="center"/>
              <w:rPr>
                <w:rFonts w:eastAsiaTheme="minorEastAsia"/>
                <w:color w:themeColor="text1" w:val="000000"/>
                <w:szCs w:val="21"/>
              </w:rPr>
            </w:pPr>
            <w:r w:rsidRPr="00B27A29">
              <w:rPr>
                <w:rFonts w:eastAsiaTheme="minorEastAsia"/>
                <w:color w:themeColor="text1" w:val="000000"/>
                <w:szCs w:val="21"/>
              </w:rPr>
              <w:t>项目</w:t>
            </w:r>
          </w:p>
        </w:tc>
        <w:tc>
          <w:tcPr>
            <w:tcW w:type="dxa" w:w="2977"/>
            <w:vAlign w:val="center"/>
          </w:tcPr>
          <w:p w14:paraId="64CA5A59" w14:textId="77777777" w:rsidR="005E6DF3" w:rsidRDefault="005C671B" w:rsidRPr="00B27A29">
            <w:pPr>
              <w:spacing w:before="29" w:line="360" w:lineRule="auto"/>
              <w:ind w:left="17"/>
              <w:jc w:val="center"/>
              <w:rPr>
                <w:rFonts w:eastAsiaTheme="minorEastAsia"/>
                <w:color w:themeColor="text1" w:val="000000"/>
                <w:szCs w:val="21"/>
              </w:rPr>
            </w:pPr>
            <w:r w:rsidRPr="00B27A29">
              <w:rPr>
                <w:rFonts w:eastAsiaTheme="minorEastAsia"/>
                <w:color w:themeColor="text1" w:val="000000"/>
                <w:szCs w:val="21"/>
              </w:rPr>
              <w:t>金额</w:t>
            </w:r>
            <w:r w:rsidRPr="00B27A29">
              <w:rPr>
                <w:rFonts w:eastAsiaTheme="minorEastAsia"/>
                <w:color w:themeColor="text1" w:val="000000"/>
                <w:szCs w:val="21"/>
              </w:rPr>
              <w:t>(</w:t>
            </w:r>
            <w:r w:rsidRPr="00B27A29">
              <w:rPr>
                <w:rFonts w:eastAsiaTheme="minorEastAsia"/>
                <w:color w:themeColor="text1" w:val="000000"/>
                <w:szCs w:val="21"/>
              </w:rPr>
              <w:t>元</w:t>
            </w:r>
            <w:r w:rsidRPr="00B27A29">
              <w:rPr>
                <w:rFonts w:eastAsiaTheme="minorEastAsia"/>
                <w:color w:themeColor="text1" w:val="000000"/>
                <w:szCs w:val="21"/>
              </w:rPr>
              <w:t>)</w:t>
            </w:r>
          </w:p>
        </w:tc>
        <w:tc>
          <w:tcPr>
            <w:tcW w:type="dxa" w:w="1843"/>
            <w:vAlign w:val="center"/>
          </w:tcPr>
          <w:p w14:paraId="41F8E864" w14:textId="77777777" w:rsidR="005E6DF3" w:rsidRDefault="005C671B" w:rsidRPr="00B27A29">
            <w:pPr>
              <w:spacing w:before="29" w:line="360" w:lineRule="auto"/>
              <w:ind w:left="17"/>
              <w:jc w:val="center"/>
              <w:rPr>
                <w:rFonts w:eastAsiaTheme="minorEastAsia"/>
                <w:color w:themeColor="text1" w:val="000000"/>
                <w:szCs w:val="21"/>
              </w:rPr>
            </w:pPr>
            <w:r w:rsidRPr="00B27A29">
              <w:rPr>
                <w:rFonts w:eastAsiaTheme="minorEastAsia"/>
                <w:color w:themeColor="text1" w:val="000000"/>
                <w:szCs w:val="21"/>
              </w:rPr>
              <w:t>占基金总资产的比例</w:t>
            </w:r>
            <w:r w:rsidRPr="00B27A29">
              <w:rPr>
                <w:rFonts w:eastAsiaTheme="minorEastAsia"/>
                <w:color w:themeColor="text1" w:val="000000"/>
                <w:szCs w:val="21"/>
              </w:rPr>
              <w:t>(%)</w:t>
            </w:r>
          </w:p>
        </w:tc>
      </w:tr>
      <w:tr w14:paraId="4D7B2B5D" w14:textId="77777777" w:rsidR="005E6DF3" w:rsidRPr="00B27A29">
        <w:tc>
          <w:tcPr>
            <w:tcW w:type="dxa" w:w="720"/>
            <w:vAlign w:val="center"/>
          </w:tcPr>
          <w:p w14:paraId="3CE0F259" w14:textId="77777777" w:rsidR="005E6DF3" w:rsidRDefault="005C671B" w:rsidRPr="00B27A29">
            <w:pPr>
              <w:spacing w:before="29" w:line="360" w:lineRule="auto"/>
              <w:ind w:left="17"/>
              <w:jc w:val="center"/>
              <w:rPr>
                <w:rFonts w:eastAsiaTheme="minorEastAsia"/>
                <w:color w:themeColor="text1" w:val="000000"/>
                <w:szCs w:val="21"/>
              </w:rPr>
            </w:pPr>
            <w:r w:rsidRPr="00B27A29">
              <w:rPr>
                <w:rFonts w:eastAsiaTheme="minorEastAsia"/>
                <w:color w:themeColor="text1" w:val="000000"/>
                <w:szCs w:val="21"/>
              </w:rPr>
              <w:t>1</w:t>
            </w:r>
          </w:p>
        </w:tc>
        <w:tc>
          <w:tcPr>
            <w:tcW w:type="dxa" w:w="3357"/>
            <w:vAlign w:val="center"/>
          </w:tcPr>
          <w:p w14:paraId="1CBE074B" w14:textId="77777777" w:rsidR="005E6DF3" w:rsidRDefault="005C671B" w:rsidRPr="00B27A29">
            <w:pPr>
              <w:spacing w:before="29" w:line="360" w:lineRule="auto"/>
              <w:ind w:left="17"/>
              <w:jc w:val="left"/>
              <w:rPr>
                <w:rFonts w:eastAsiaTheme="minorEastAsia"/>
                <w:color w:themeColor="text1" w:val="000000"/>
                <w:szCs w:val="21"/>
              </w:rPr>
            </w:pPr>
            <w:r w:rsidRPr="00B27A29">
              <w:rPr>
                <w:rFonts w:eastAsiaTheme="minorEastAsia"/>
                <w:color w:themeColor="text1" w:val="000000"/>
                <w:szCs w:val="21"/>
              </w:rPr>
              <w:t>权益投资</w:t>
            </w:r>
          </w:p>
        </w:tc>
        <w:tc>
          <w:tcPr>
            <w:tcW w:type="dxa" w:w="2977"/>
            <w:vAlign w:val="center"/>
          </w:tcPr>
          <w:p w14:paraId="412A7C3F" w14:textId="77777777" w:rsidR="005E6DF3" w:rsidRDefault="005C671B" w:rsidRPr="00B27A29">
            <w:pPr>
              <w:spacing w:before="29" w:line="360" w:lineRule="auto"/>
              <w:ind w:left="17"/>
              <w:jc w:val="right"/>
              <w:rPr>
                <w:rFonts w:eastAsiaTheme="minorEastAsia"/>
                <w:color w:themeColor="text1" w:val="000000"/>
                <w:szCs w:val="21"/>
              </w:rPr>
            </w:pPr>
            <w:r w:rsidRPr="00B27A29">
              <w:rPr>
                <w:rFonts w:eastAsiaTheme="minorEastAsia"/>
                <w:color w:themeColor="text1" w:val="000000"/>
                <w:szCs w:val="21"/>
              </w:rPr>
              <w:t/>
            </w:r>
            <w:proofErr w:type="spellStart"/>
            <w:r w:rsidRPr="00B27A29">
              <w:rPr>
                <w:rFonts w:eastAsiaTheme="minorEastAsia"/>
                <w:color w:themeColor="text1" w:val="000000"/>
                <w:szCs w:val="21"/>
              </w:rPr>
              <w:t/>
            </w:r>
            <w:proofErr w:type="spellEnd"/>
            <w:r w:rsidRPr="00B27A29">
              <w:rPr>
                <w:rFonts w:eastAsiaTheme="minorEastAsia"/>
                <w:color w:themeColor="text1" w:val="000000"/>
                <w:szCs w:val="21"/>
              </w:rPr>
              <w:t>-</w:t>
            </w:r>
          </w:p>
        </w:tc>
        <w:tc>
          <w:tcPr>
            <w:tcW w:type="dxa" w:w="1843"/>
            <w:vAlign w:val="center"/>
          </w:tcPr>
          <w:p w14:paraId="15ED58FA" w14:textId="77777777" w:rsidR="005E6DF3" w:rsidRDefault="005C671B" w:rsidRPr="00B27A29">
            <w:pPr>
              <w:spacing w:before="29" w:line="360" w:lineRule="auto"/>
              <w:ind w:left="17"/>
              <w:jc w:val="right"/>
              <w:rPr>
                <w:rFonts w:eastAsiaTheme="minorEastAsia"/>
                <w:color w:themeColor="text1" w:val="000000"/>
                <w:szCs w:val="21"/>
              </w:rPr>
            </w:pPr>
            <w:r w:rsidRPr="00B27A29">
              <w:rPr>
                <w:rFonts w:eastAsiaTheme="minorEastAsia"/>
                <w:color w:themeColor="text1" w:val="000000"/>
                <w:szCs w:val="21"/>
              </w:rPr>
              <w:t/>
            </w:r>
            <w:proofErr w:type="spellStart"/>
            <w:r w:rsidRPr="00B27A29">
              <w:rPr>
                <w:rFonts w:eastAsiaTheme="minorEastAsia"/>
                <w:color w:themeColor="text1" w:val="000000"/>
                <w:szCs w:val="21"/>
              </w:rPr>
              <w:t/>
            </w:r>
            <w:r w:rsidRPr="00B27A29">
              <w:rPr>
                <w:rFonts w:eastAsiaTheme="minorEastAsia"/>
                <w:color w:themeColor="text1" w:val="000000"/>
                <w:szCs w:val="21"/>
              </w:rPr>
              <w:lastRenderedPageBreak/>
              <w:t/>
            </w:r>
            <w:proofErr w:type="spellEnd"/>
            <w:r w:rsidRPr="00B27A29">
              <w:rPr>
                <w:rFonts w:eastAsiaTheme="minorEastAsia"/>
                <w:color w:themeColor="text1" w:val="000000"/>
                <w:szCs w:val="21"/>
              </w:rPr>
              <w:t>-</w:t>
            </w:r>
          </w:p>
        </w:tc>
      </w:tr>
      <w:tr w14:paraId="5988250B" w14:textId="77777777" w:rsidR="005E6DF3" w:rsidRPr="00B27A29">
        <w:tc>
          <w:tcPr>
            <w:tcW w:type="dxa" w:w="720"/>
            <w:vAlign w:val="center"/>
          </w:tcPr>
          <w:p w14:paraId="093B5FA3" w14:textId="77777777" w:rsidR="005E6DF3" w:rsidRDefault="005E6DF3" w:rsidRPr="00B27A29">
            <w:pPr>
              <w:spacing w:before="29" w:line="360" w:lineRule="auto"/>
              <w:ind w:left="17"/>
              <w:jc w:val="center"/>
              <w:rPr>
                <w:rFonts w:eastAsiaTheme="minorEastAsia"/>
                <w:color w:themeColor="text1" w:val="000000"/>
                <w:szCs w:val="21"/>
              </w:rPr>
            </w:pPr>
          </w:p>
        </w:tc>
        <w:tc>
          <w:tcPr>
            <w:tcW w:type="dxa" w:w="3357"/>
            <w:vAlign w:val="center"/>
          </w:tcPr>
          <w:p w14:paraId="45D0A351" w14:textId="77777777" w:rsidR="005E6DF3" w:rsidRDefault="005C671B" w:rsidRPr="00B27A29">
            <w:pPr>
              <w:spacing w:before="29" w:line="360" w:lineRule="auto"/>
              <w:ind w:left="17"/>
              <w:jc w:val="left"/>
              <w:rPr>
                <w:rFonts w:eastAsiaTheme="minorEastAsia"/>
                <w:color w:themeColor="text1" w:val="000000"/>
                <w:szCs w:val="21"/>
              </w:rPr>
            </w:pPr>
            <w:r w:rsidRPr="00B27A29">
              <w:rPr>
                <w:rFonts w:eastAsiaTheme="minorEastAsia"/>
                <w:color w:themeColor="text1" w:val="000000"/>
                <w:szCs w:val="21"/>
              </w:rPr>
              <w:t>其中：股票</w:t>
            </w:r>
          </w:p>
        </w:tc>
        <w:tc>
          <w:tcPr>
            <w:tcW w:type="dxa" w:w="2977"/>
            <w:vAlign w:val="center"/>
          </w:tcPr>
          <w:p w14:paraId="70162F9E" w14:textId="77777777" w:rsidR="005E6DF3" w:rsidRDefault="005C671B" w:rsidRPr="00B27A29">
            <w:pPr>
              <w:spacing w:before="29" w:line="360" w:lineRule="auto"/>
              <w:ind w:left="17"/>
              <w:jc w:val="right"/>
              <w:rPr>
                <w:rFonts w:eastAsiaTheme="minorEastAsia"/>
                <w:color w:themeColor="text1" w:val="000000"/>
                <w:szCs w:val="21"/>
              </w:rPr>
            </w:pPr>
            <w:r w:rsidRPr="00B27A29">
              <w:rPr>
                <w:rFonts w:eastAsiaTheme="minorEastAsia"/>
                <w:color w:themeColor="text1" w:val="000000"/>
                <w:szCs w:val="21"/>
              </w:rPr>
              <w:t/>
            </w:r>
            <w:proofErr w:type="spellStart"/>
            <w:r w:rsidRPr="00B27A29">
              <w:rPr>
                <w:rFonts w:eastAsiaTheme="minorEastAsia"/>
                <w:color w:themeColor="text1" w:val="000000"/>
                <w:szCs w:val="21"/>
              </w:rPr>
              <w:t/>
            </w:r>
            <w:proofErr w:type="spellEnd"/>
            <w:r w:rsidRPr="00B27A29">
              <w:rPr>
                <w:rFonts w:eastAsiaTheme="minorEastAsia"/>
                <w:color w:themeColor="text1" w:val="000000"/>
                <w:szCs w:val="21"/>
              </w:rPr>
              <w:t>-</w:t>
            </w:r>
          </w:p>
        </w:tc>
        <w:tc>
          <w:tcPr>
            <w:tcW w:type="dxa" w:w="1843"/>
            <w:vAlign w:val="center"/>
          </w:tcPr>
          <w:p w14:paraId="1E2DAE65" w14:textId="77777777" w:rsidR="005E6DF3" w:rsidRDefault="005C671B" w:rsidRPr="00B27A29">
            <w:pPr>
              <w:spacing w:before="29" w:line="360" w:lineRule="auto"/>
              <w:ind w:left="17"/>
              <w:jc w:val="right"/>
              <w:rPr>
                <w:rFonts w:eastAsiaTheme="minorEastAsia"/>
                <w:color w:themeColor="text1" w:val="000000"/>
                <w:szCs w:val="21"/>
              </w:rPr>
            </w:pPr>
            <w:r w:rsidRPr="00B27A29">
              <w:rPr>
                <w:rFonts w:eastAsiaTheme="minorEastAsia"/>
                <w:color w:themeColor="text1" w:val="000000"/>
                <w:szCs w:val="21"/>
              </w:rPr>
              <w:t/>
            </w:r>
            <w:proofErr w:type="spellStart"/>
            <w:r w:rsidRPr="00B27A29">
              <w:rPr>
                <w:rFonts w:eastAsiaTheme="minorEastAsia"/>
                <w:color w:themeColor="text1" w:val="000000"/>
                <w:szCs w:val="21"/>
              </w:rPr>
              <w:t/>
            </w:r>
            <w:proofErr w:type="spellEnd"/>
            <w:r w:rsidRPr="00B27A29">
              <w:rPr>
                <w:rFonts w:eastAsiaTheme="minorEastAsia"/>
                <w:color w:themeColor="text1" w:val="000000"/>
                <w:szCs w:val="21"/>
              </w:rPr>
              <w:t>-</w:t>
            </w:r>
          </w:p>
        </w:tc>
      </w:tr>
      <w:tr w14:paraId="3E179D41" w14:textId="77777777" w:rsidR="005E6DF3" w:rsidRPr="00B27A29">
        <w:tc>
          <w:tcPr>
            <w:tcW w:type="dxa" w:w="720"/>
            <w:vAlign w:val="center"/>
          </w:tcPr>
          <w:p w14:paraId="5701F45B" w14:textId="77777777" w:rsidR="005E6DF3" w:rsidRDefault="005C671B" w:rsidRPr="00B27A29">
            <w:pPr>
              <w:spacing w:before="29" w:line="360" w:lineRule="auto"/>
              <w:ind w:left="17"/>
              <w:jc w:val="center"/>
              <w:rPr>
                <w:rFonts w:eastAsiaTheme="minorEastAsia"/>
                <w:color w:themeColor="text1" w:val="000000"/>
                <w:szCs w:val="21"/>
              </w:rPr>
            </w:pPr>
            <w:r w:rsidRPr="00B27A29">
              <w:rPr>
                <w:rFonts w:eastAsiaTheme="minorEastAsia"/>
                <w:color w:themeColor="text1" w:val="000000"/>
                <w:szCs w:val="21"/>
              </w:rPr>
              <w:t>2</w:t>
            </w:r>
          </w:p>
        </w:tc>
        <w:tc>
          <w:tcPr>
            <w:tcW w:type="dxa" w:w="3357"/>
            <w:vAlign w:val="center"/>
          </w:tcPr>
          <w:p w14:paraId="01082D57" w14:textId="77777777" w:rsidR="005E6DF3" w:rsidRDefault="005C671B" w:rsidRPr="00B27A29">
            <w:pPr>
              <w:spacing w:before="29" w:line="360" w:lineRule="auto"/>
              <w:ind w:left="17"/>
              <w:jc w:val="left"/>
              <w:rPr>
                <w:rFonts w:eastAsiaTheme="minorEastAsia"/>
                <w:color w:themeColor="text1" w:val="000000"/>
                <w:szCs w:val="21"/>
              </w:rPr>
            </w:pPr>
            <w:r w:rsidRPr="00B27A29">
              <w:rPr>
                <w:rFonts w:eastAsiaTheme="minorEastAsia"/>
                <w:color w:themeColor="text1" w:val="000000"/>
                <w:szCs w:val="21"/>
              </w:rPr>
              <w:t>固定收益投资</w:t>
            </w:r>
          </w:p>
        </w:tc>
        <w:tc>
          <w:tcPr>
            <w:tcW w:type="dxa" w:w="2977"/>
            <w:vAlign w:val="center"/>
          </w:tcPr>
          <w:p w14:paraId="31C013C2" w14:textId="77777777" w:rsidR="005E6DF3" w:rsidRDefault="005C671B" w:rsidRPr="00B27A29">
            <w:pPr>
              <w:spacing w:before="29" w:line="360" w:lineRule="auto"/>
              <w:ind w:left="17"/>
              <w:jc w:val="right"/>
              <w:rPr>
                <w:rFonts w:eastAsiaTheme="minorEastAsia"/>
                <w:color w:themeColor="text1" w:val="000000"/>
                <w:szCs w:val="21"/>
              </w:rPr>
            </w:pPr>
            <w:r w:rsidRPr="00B27A29">
              <w:rPr>
                <w:rFonts w:eastAsiaTheme="minorEastAsia"/>
                <w:color w:themeColor="text1" w:val="000000"/>
                <w:szCs w:val="21"/>
              </w:rPr>
              <w:t/>
            </w:r>
            <w:proofErr w:type="spellStart"/>
            <w:r w:rsidRPr="00B27A29">
              <w:rPr>
                <w:rFonts w:eastAsiaTheme="minorEastAsia"/>
                <w:color w:themeColor="text1" w:val="000000"/>
                <w:szCs w:val="21"/>
              </w:rPr>
              <w:t/>
            </w:r>
            <w:proofErr w:type="spellEnd"/>
            <w:r w:rsidRPr="00B27A29">
              <w:rPr>
                <w:rFonts w:eastAsiaTheme="minorEastAsia"/>
                <w:color w:themeColor="text1" w:val="000000"/>
                <w:szCs w:val="21"/>
              </w:rPr>
              <w:t>226,474,600.00</w:t>
            </w:r>
          </w:p>
        </w:tc>
        <w:tc>
          <w:tcPr>
            <w:tcW w:type="dxa" w:w="1843"/>
            <w:vAlign w:val="center"/>
          </w:tcPr>
          <w:p w14:paraId="30C2D950" w14:textId="77777777" w:rsidR="005E6DF3" w:rsidRDefault="005C671B" w:rsidRPr="00B27A29">
            <w:pPr>
              <w:spacing w:before="29" w:line="360" w:lineRule="auto"/>
              <w:ind w:left="17"/>
              <w:jc w:val="right"/>
              <w:rPr>
                <w:rFonts w:eastAsiaTheme="minorEastAsia"/>
                <w:color w:themeColor="text1" w:val="000000"/>
                <w:szCs w:val="21"/>
              </w:rPr>
            </w:pPr>
            <w:r w:rsidRPr="00B27A29">
              <w:rPr>
                <w:rFonts w:eastAsiaTheme="minorEastAsia"/>
                <w:color w:themeColor="text1" w:val="000000"/>
                <w:szCs w:val="21"/>
              </w:rPr>
              <w:t>96.99</w:t>
            </w:r>
          </w:p>
        </w:tc>
      </w:tr>
      <w:tr w14:paraId="3113CDC1" w14:textId="77777777" w:rsidR="005E6DF3" w:rsidRPr="00B27A29">
        <w:tc>
          <w:tcPr>
            <w:tcW w:type="dxa" w:w="720"/>
            <w:vAlign w:val="center"/>
          </w:tcPr>
          <w:p w14:paraId="2AF897E0" w14:textId="77777777" w:rsidR="005E6DF3" w:rsidRDefault="005E6DF3" w:rsidRPr="00B27A29">
            <w:pPr>
              <w:spacing w:before="29" w:line="360" w:lineRule="auto"/>
              <w:ind w:left="17"/>
              <w:jc w:val="center"/>
              <w:rPr>
                <w:rFonts w:eastAsiaTheme="minorEastAsia"/>
                <w:color w:themeColor="text1" w:val="000000"/>
                <w:szCs w:val="21"/>
              </w:rPr>
            </w:pPr>
          </w:p>
        </w:tc>
        <w:tc>
          <w:tcPr>
            <w:tcW w:type="dxa" w:w="3357"/>
            <w:vAlign w:val="center"/>
          </w:tcPr>
          <w:p w14:paraId="1DE732A9" w14:textId="77777777" w:rsidR="005E6DF3" w:rsidRDefault="005C671B" w:rsidRPr="00B27A29">
            <w:pPr>
              <w:spacing w:before="29" w:line="360" w:lineRule="auto"/>
              <w:ind w:left="17"/>
              <w:jc w:val="left"/>
              <w:rPr>
                <w:rFonts w:eastAsiaTheme="minorEastAsia"/>
                <w:color w:themeColor="text1" w:val="000000"/>
                <w:szCs w:val="21"/>
              </w:rPr>
            </w:pPr>
            <w:r w:rsidRPr="00B27A29">
              <w:rPr>
                <w:rFonts w:eastAsiaTheme="minorEastAsia"/>
                <w:color w:themeColor="text1" w:val="000000"/>
                <w:szCs w:val="21"/>
              </w:rPr>
              <w:t>其中：债券</w:t>
            </w:r>
          </w:p>
        </w:tc>
        <w:tc>
          <w:tcPr>
            <w:tcW w:type="dxa" w:w="2977"/>
            <w:vAlign w:val="center"/>
          </w:tcPr>
          <w:p w14:paraId="498F3F68" w14:textId="77777777" w:rsidR="005E6DF3" w:rsidRDefault="005C671B" w:rsidRPr="00B27A29">
            <w:pPr>
              <w:spacing w:before="29" w:line="360" w:lineRule="auto"/>
              <w:ind w:left="17"/>
              <w:jc w:val="right"/>
              <w:rPr>
                <w:rFonts w:eastAsiaTheme="minorEastAsia"/>
                <w:color w:themeColor="text1" w:val="000000"/>
                <w:szCs w:val="21"/>
              </w:rPr>
            </w:pPr>
            <w:r w:rsidRPr="00B27A29">
              <w:rPr>
                <w:rFonts w:eastAsiaTheme="minorEastAsia"/>
                <w:color w:themeColor="text1" w:val="000000"/>
                <w:szCs w:val="21"/>
              </w:rPr>
              <w:t/>
            </w:r>
            <w:proofErr w:type="spellStart"/>
            <w:r w:rsidRPr="00B27A29">
              <w:rPr>
                <w:rFonts w:eastAsiaTheme="minorEastAsia"/>
                <w:color w:themeColor="text1" w:val="000000"/>
                <w:szCs w:val="21"/>
              </w:rPr>
              <w:t/>
            </w:r>
            <w:proofErr w:type="spellEnd"/>
            <w:r w:rsidRPr="00B27A29">
              <w:rPr>
                <w:rFonts w:eastAsiaTheme="minorEastAsia"/>
                <w:color w:themeColor="text1" w:val="000000"/>
                <w:szCs w:val="21"/>
              </w:rPr>
              <w:t>226,474,600.00</w:t>
            </w:r>
          </w:p>
        </w:tc>
        <w:tc>
          <w:tcPr>
            <w:tcW w:type="dxa" w:w="1843"/>
            <w:vAlign w:val="center"/>
          </w:tcPr>
          <w:p w14:paraId="17805399" w14:textId="77777777" w:rsidR="005E6DF3" w:rsidRDefault="005C671B" w:rsidRPr="00B27A29">
            <w:pPr>
              <w:spacing w:before="29" w:line="360" w:lineRule="auto"/>
              <w:ind w:left="17"/>
              <w:jc w:val="right"/>
              <w:rPr>
                <w:rFonts w:eastAsiaTheme="minorEastAsia"/>
                <w:color w:themeColor="text1" w:val="000000"/>
                <w:szCs w:val="21"/>
              </w:rPr>
            </w:pPr>
            <w:r w:rsidRPr="00B27A29">
              <w:rPr>
                <w:rFonts w:eastAsiaTheme="minorEastAsia"/>
                <w:color w:themeColor="text1" w:val="000000"/>
                <w:szCs w:val="21"/>
              </w:rPr>
              <w:t>96.99</w:t>
            </w:r>
          </w:p>
        </w:tc>
      </w:tr>
      <w:tr w14:paraId="1B250BC9" w14:textId="77777777" w:rsidR="005E6DF3" w:rsidRPr="00B27A29">
        <w:tc>
          <w:tcPr>
            <w:tcW w:type="dxa" w:w="720"/>
            <w:vAlign w:val="center"/>
          </w:tcPr>
          <w:p w14:paraId="5FC92F4A" w14:textId="77777777" w:rsidR="005E6DF3" w:rsidRDefault="005E6DF3" w:rsidRPr="00B27A29">
            <w:pPr>
              <w:spacing w:before="29" w:line="360" w:lineRule="auto"/>
              <w:ind w:left="17"/>
              <w:jc w:val="center"/>
              <w:rPr>
                <w:rFonts w:eastAsiaTheme="minorEastAsia"/>
                <w:color w:themeColor="text1" w:val="000000"/>
                <w:szCs w:val="21"/>
              </w:rPr>
            </w:pPr>
          </w:p>
        </w:tc>
        <w:tc>
          <w:tcPr>
            <w:tcW w:type="dxa" w:w="3357"/>
            <w:vAlign w:val="center"/>
          </w:tcPr>
          <w:p w14:paraId="44282357" w14:textId="77777777" w:rsidR="005E6DF3" w:rsidRDefault="005C671B" w:rsidRPr="00B27A29">
            <w:pPr>
              <w:autoSpaceDE w:val="0"/>
              <w:autoSpaceDN w:val="0"/>
              <w:adjustRightInd w:val="0"/>
              <w:spacing w:before="29" w:line="360" w:lineRule="auto"/>
              <w:ind w:firstLine="630" w:firstLineChars="300" w:left="17"/>
              <w:jc w:val="left"/>
              <w:rPr>
                <w:rFonts w:eastAsiaTheme="minorEastAsia"/>
                <w:color w:themeColor="text1" w:val="000000"/>
                <w:szCs w:val="21"/>
              </w:rPr>
            </w:pPr>
            <w:r w:rsidRPr="00B27A29">
              <w:rPr>
                <w:rFonts w:eastAsiaTheme="minorEastAsia"/>
                <w:color w:themeColor="text1" w:val="000000"/>
                <w:szCs w:val="21"/>
              </w:rPr>
              <w:t>资产支持证券</w:t>
            </w:r>
          </w:p>
        </w:tc>
        <w:tc>
          <w:tcPr>
            <w:tcW w:type="dxa" w:w="2977"/>
            <w:vAlign w:val="center"/>
          </w:tcPr>
          <w:p w14:paraId="52E0AB4D" w14:textId="77777777" w:rsidR="005E6DF3" w:rsidRDefault="005C671B" w:rsidRPr="00B27A29">
            <w:pPr>
              <w:spacing w:before="29" w:line="360" w:lineRule="auto"/>
              <w:ind w:left="17"/>
              <w:jc w:val="right"/>
              <w:rPr>
                <w:rFonts w:eastAsiaTheme="minorEastAsia"/>
                <w:color w:themeColor="text1" w:val="000000"/>
                <w:szCs w:val="21"/>
              </w:rPr>
            </w:pPr>
            <w:r w:rsidRPr="00B27A29">
              <w:rPr>
                <w:rFonts w:eastAsiaTheme="minorEastAsia"/>
                <w:color w:themeColor="text1" w:val="000000"/>
                <w:szCs w:val="21"/>
              </w:rPr>
              <w:t/>
            </w:r>
            <w:proofErr w:type="spellStart"/>
            <w:r w:rsidRPr="00B27A29">
              <w:rPr>
                <w:rFonts w:eastAsiaTheme="minorEastAsia"/>
                <w:color w:themeColor="text1" w:val="000000"/>
                <w:szCs w:val="21"/>
              </w:rPr>
              <w:t/>
            </w:r>
            <w:proofErr w:type="spellEnd"/>
            <w:r w:rsidRPr="00B27A29">
              <w:rPr>
                <w:rFonts w:eastAsiaTheme="minorEastAsia"/>
                <w:color w:themeColor="text1" w:val="000000"/>
                <w:szCs w:val="21"/>
              </w:rPr>
              <w:t>-</w:t>
            </w:r>
          </w:p>
        </w:tc>
        <w:tc>
          <w:tcPr>
            <w:tcW w:type="dxa" w:w="1843"/>
            <w:vAlign w:val="center"/>
          </w:tcPr>
          <w:p w14:paraId="10189BFE" w14:textId="77777777" w:rsidR="005E6DF3" w:rsidRDefault="005C671B" w:rsidRPr="00B27A29">
            <w:pPr>
              <w:spacing w:before="29" w:line="360" w:lineRule="auto"/>
              <w:ind w:left="17"/>
              <w:jc w:val="right"/>
              <w:rPr>
                <w:rFonts w:eastAsiaTheme="minorEastAsia"/>
                <w:color w:themeColor="text1" w:val="000000"/>
                <w:szCs w:val="21"/>
              </w:rPr>
            </w:pPr>
            <w:r w:rsidRPr="00B27A29">
              <w:rPr>
                <w:rFonts w:eastAsiaTheme="minorEastAsia"/>
                <w:color w:themeColor="text1" w:val="000000"/>
                <w:szCs w:val="21"/>
              </w:rPr>
              <w:t>-</w:t>
            </w:r>
          </w:p>
        </w:tc>
      </w:tr>
      <w:tr w14:paraId="69CD0274" w14:textId="77777777" w:rsidR="005E6DF3" w:rsidRPr="00B27A29">
        <w:tc>
          <w:tcPr>
            <w:tcW w:type="dxa" w:w="720"/>
          </w:tcPr>
          <w:p w14:paraId="7741CD72" w14:textId="77777777" w:rsidR="005E6DF3" w:rsidRDefault="005C671B" w:rsidRPr="00B27A29">
            <w:pPr>
              <w:spacing w:before="29" w:line="360" w:lineRule="auto"/>
              <w:ind w:left="17"/>
              <w:jc w:val="center"/>
              <w:rPr>
                <w:rFonts w:eastAsiaTheme="minorEastAsia"/>
                <w:color w:themeColor="text1" w:val="000000"/>
                <w:szCs w:val="21"/>
              </w:rPr>
            </w:pPr>
            <w:r w:rsidRPr="00B27A29">
              <w:rPr>
                <w:rFonts w:eastAsiaTheme="minorEastAsia"/>
                <w:color w:themeColor="text1" w:val="000000"/>
                <w:szCs w:val="21"/>
              </w:rPr>
              <w:t>3</w:t>
            </w:r>
          </w:p>
        </w:tc>
        <w:tc>
          <w:tcPr>
            <w:tcW w:type="dxa" w:w="3357"/>
          </w:tcPr>
          <w:p w14:paraId="32738DCB" w14:textId="77777777" w:rsidR="005E6DF3" w:rsidRDefault="005C671B" w:rsidRPr="00B27A29">
            <w:pPr>
              <w:spacing w:before="29" w:line="360" w:lineRule="auto"/>
              <w:ind w:left="105" w:leftChars="50"/>
              <w:rPr>
                <w:rFonts w:eastAsiaTheme="minorEastAsia"/>
                <w:color w:themeColor="text1" w:val="000000"/>
                <w:szCs w:val="21"/>
              </w:rPr>
            </w:pPr>
            <w:r w:rsidRPr="00B27A29">
              <w:rPr>
                <w:rFonts w:eastAsiaTheme="minorEastAsia"/>
                <w:color w:themeColor="text1" w:val="000000"/>
                <w:szCs w:val="21"/>
              </w:rPr>
              <w:t>贵金属投资</w:t>
            </w:r>
          </w:p>
        </w:tc>
        <w:tc>
          <w:tcPr>
            <w:tcW w:type="dxa" w:w="2977"/>
            <w:vAlign w:val="center"/>
          </w:tcPr>
          <w:p w14:paraId="1613767F" w14:textId="77777777" w:rsidR="005E6DF3" w:rsidRDefault="005C671B" w:rsidRPr="00B27A29">
            <w:pPr>
              <w:spacing w:before="29" w:line="360" w:lineRule="auto"/>
              <w:ind w:left="17"/>
              <w:jc w:val="right"/>
              <w:rPr>
                <w:rFonts w:eastAsiaTheme="minorEastAsia"/>
                <w:color w:themeColor="text1" w:val="000000"/>
                <w:szCs w:val="21"/>
              </w:rPr>
            </w:pPr>
            <w:r w:rsidRPr="00B27A29">
              <w:rPr>
                <w:rFonts w:eastAsiaTheme="minorEastAsia"/>
                <w:color w:themeColor="text1" w:val="000000"/>
                <w:szCs w:val="21"/>
              </w:rPr>
              <w:t/>
            </w:r>
            <w:proofErr w:type="spellStart"/>
            <w:r w:rsidRPr="00B27A29">
              <w:rPr>
                <w:rFonts w:eastAsiaTheme="minorEastAsia"/>
                <w:color w:themeColor="text1" w:val="000000"/>
                <w:szCs w:val="21"/>
              </w:rPr>
              <w:t/>
            </w:r>
            <w:proofErr w:type="spellEnd"/>
            <w:r w:rsidRPr="00B27A29">
              <w:rPr>
                <w:rFonts w:eastAsiaTheme="minorEastAsia"/>
                <w:color w:themeColor="text1" w:val="000000"/>
                <w:szCs w:val="21"/>
              </w:rPr>
              <w:t>-</w:t>
            </w:r>
          </w:p>
        </w:tc>
        <w:tc>
          <w:tcPr>
            <w:tcW w:type="dxa" w:w="1843"/>
            <w:vAlign w:val="center"/>
          </w:tcPr>
          <w:p w14:paraId="03B5A023" w14:textId="77777777" w:rsidR="005E6DF3" w:rsidRDefault="005C671B" w:rsidRPr="00B27A29">
            <w:pPr>
              <w:spacing w:before="29" w:line="360" w:lineRule="auto"/>
              <w:ind w:left="17"/>
              <w:jc w:val="right"/>
              <w:rPr>
                <w:rFonts w:eastAsiaTheme="minorEastAsia"/>
                <w:color w:themeColor="text1" w:val="000000"/>
                <w:szCs w:val="21"/>
              </w:rPr>
            </w:pPr>
            <w:r w:rsidRPr="00B27A29">
              <w:rPr>
                <w:rFonts w:eastAsiaTheme="minorEastAsia"/>
                <w:color w:themeColor="text1" w:val="000000"/>
                <w:szCs w:val="21"/>
              </w:rPr>
              <w:t/>
            </w:r>
            <w:proofErr w:type="spellStart"/>
            <w:r w:rsidRPr="00B27A29">
              <w:rPr>
                <w:rFonts w:eastAsiaTheme="minorEastAsia"/>
                <w:color w:themeColor="text1" w:val="000000"/>
                <w:szCs w:val="21"/>
              </w:rPr>
              <w:t/>
            </w:r>
            <w:proofErr w:type="spellEnd"/>
            <w:r w:rsidRPr="00B27A29">
              <w:rPr>
                <w:rFonts w:eastAsiaTheme="minorEastAsia"/>
                <w:color w:themeColor="text1" w:val="000000"/>
                <w:szCs w:val="21"/>
              </w:rPr>
              <w:t>-</w:t>
            </w:r>
          </w:p>
        </w:tc>
      </w:tr>
      <w:tr w14:paraId="42434FE8" w14:textId="77777777" w:rsidR="005E6DF3" w:rsidRPr="00B27A29">
        <w:tc>
          <w:tcPr>
            <w:tcW w:type="dxa" w:w="720"/>
            <w:vAlign w:val="center"/>
          </w:tcPr>
          <w:p w14:paraId="78E40EA1" w14:textId="77777777" w:rsidR="005E6DF3" w:rsidRDefault="005C671B" w:rsidRPr="00B27A29">
            <w:pPr>
              <w:spacing w:before="29" w:line="360" w:lineRule="auto"/>
              <w:ind w:left="17"/>
              <w:jc w:val="center"/>
              <w:rPr>
                <w:rFonts w:eastAsiaTheme="minorEastAsia"/>
                <w:color w:themeColor="text1" w:val="000000"/>
                <w:szCs w:val="21"/>
              </w:rPr>
            </w:pPr>
            <w:r w:rsidRPr="00B27A29">
              <w:rPr>
                <w:rFonts w:eastAsiaTheme="minorEastAsia"/>
                <w:color w:themeColor="text1" w:val="000000"/>
                <w:szCs w:val="21"/>
              </w:rPr>
              <w:t>4</w:t>
            </w:r>
          </w:p>
        </w:tc>
        <w:tc>
          <w:tcPr>
            <w:tcW w:type="dxa" w:w="3357"/>
            <w:vAlign w:val="center"/>
          </w:tcPr>
          <w:p w14:paraId="6012254E" w14:textId="77777777" w:rsidR="005E6DF3" w:rsidRDefault="005C671B" w:rsidRPr="00B27A29">
            <w:pPr>
              <w:spacing w:before="29" w:line="360" w:lineRule="auto"/>
              <w:ind w:left="17"/>
              <w:jc w:val="left"/>
              <w:rPr>
                <w:rFonts w:eastAsiaTheme="minorEastAsia"/>
                <w:color w:themeColor="text1" w:val="000000"/>
                <w:szCs w:val="21"/>
              </w:rPr>
            </w:pPr>
            <w:r w:rsidRPr="00B27A29">
              <w:rPr>
                <w:rFonts w:eastAsiaTheme="minorEastAsia"/>
                <w:color w:themeColor="text1" w:val="000000"/>
                <w:szCs w:val="21"/>
              </w:rPr>
              <w:t>金融衍生</w:t>
            </w:r>
            <w:proofErr w:type="gramStart"/>
            <w:r w:rsidRPr="00B27A29">
              <w:rPr>
                <w:rFonts w:eastAsiaTheme="minorEastAsia"/>
                <w:color w:themeColor="text1" w:val="000000"/>
                <w:szCs w:val="21"/>
              </w:rPr>
              <w:t>品投资</w:t>
            </w:r>
            <w:proofErr w:type="gramEnd"/>
          </w:p>
        </w:tc>
        <w:tc>
          <w:tcPr>
            <w:tcW w:type="dxa" w:w="2977"/>
            <w:vAlign w:val="center"/>
          </w:tcPr>
          <w:p w14:paraId="332E140D" w14:textId="77777777" w:rsidR="005E6DF3" w:rsidRDefault="005C671B" w:rsidRPr="00B27A29">
            <w:pPr>
              <w:spacing w:before="29" w:line="360" w:lineRule="auto"/>
              <w:ind w:left="17"/>
              <w:jc w:val="right"/>
              <w:rPr>
                <w:rFonts w:eastAsiaTheme="minorEastAsia"/>
                <w:color w:themeColor="text1" w:val="000000"/>
                <w:szCs w:val="21"/>
              </w:rPr>
            </w:pPr>
            <w:r w:rsidRPr="00B27A29">
              <w:rPr>
                <w:rFonts w:eastAsiaTheme="minorEastAsia"/>
                <w:color w:themeColor="text1" w:val="000000"/>
                <w:szCs w:val="21"/>
              </w:rPr>
              <w:t/>
            </w:r>
            <w:proofErr w:type="spellStart"/>
            <w:r w:rsidRPr="00B27A29">
              <w:rPr>
                <w:rFonts w:eastAsiaTheme="minorEastAsia"/>
                <w:color w:themeColor="text1" w:val="000000"/>
                <w:szCs w:val="21"/>
              </w:rPr>
              <w:t/>
            </w:r>
            <w:r w:rsidRPr="00B27A29">
              <w:rPr>
                <w:rFonts w:eastAsiaTheme="minorEastAsia"/>
                <w:color w:themeColor="text1" w:val="000000"/>
                <w:szCs w:val="21"/>
              </w:rPr>
              <w:lastRenderedPageBreak/>
              <w:t/>
            </w:r>
            <w:proofErr w:type="spellEnd"/>
            <w:r w:rsidRPr="00B27A29">
              <w:rPr>
                <w:rFonts w:eastAsiaTheme="minorEastAsia"/>
                <w:color w:themeColor="text1" w:val="000000"/>
                <w:szCs w:val="21"/>
              </w:rPr>
              <w:t>-</w:t>
            </w:r>
          </w:p>
        </w:tc>
        <w:tc>
          <w:tcPr>
            <w:tcW w:type="dxa" w:w="1843"/>
            <w:vAlign w:val="center"/>
          </w:tcPr>
          <w:p w14:paraId="09C41416" w14:textId="77777777" w:rsidR="005E6DF3" w:rsidRDefault="005C671B" w:rsidRPr="00B27A29">
            <w:pPr>
              <w:spacing w:before="29" w:line="360" w:lineRule="auto"/>
              <w:ind w:left="17"/>
              <w:jc w:val="right"/>
              <w:rPr>
                <w:rFonts w:eastAsiaTheme="minorEastAsia"/>
                <w:color w:themeColor="text1" w:val="000000"/>
                <w:szCs w:val="21"/>
              </w:rPr>
            </w:pPr>
            <w:r w:rsidRPr="00B27A29">
              <w:rPr>
                <w:rFonts w:eastAsiaTheme="minorEastAsia"/>
                <w:color w:themeColor="text1" w:val="000000"/>
                <w:szCs w:val="21"/>
              </w:rPr>
              <w:lastRenderedPageBreak/>
              <w:t/>
            </w:r>
            <w:r w:rsidRPr="00B27A29">
              <w:rPr>
                <w:rFonts w:eastAsiaTheme="minorEastAsia"/>
                <w:color w:themeColor="text1" w:val="000000"/>
                <w:szCs w:val="21"/>
              </w:rPr>
              <w:lastRenderedPageBreak/>
              <w:t>-</w:t>
            </w:r>
          </w:p>
        </w:tc>
      </w:tr>
      <w:tr w14:paraId="610CED91" w14:textId="77777777" w:rsidR="005E6DF3" w:rsidRPr="00B27A29">
        <w:tc>
          <w:tcPr>
            <w:tcW w:type="dxa" w:w="720"/>
            <w:vAlign w:val="center"/>
          </w:tcPr>
          <w:p w14:paraId="2B5D4ECD" w14:textId="77777777" w:rsidR="005E6DF3" w:rsidRDefault="005C671B" w:rsidRPr="00B27A29">
            <w:pPr>
              <w:spacing w:before="29" w:line="360" w:lineRule="auto"/>
              <w:ind w:left="17"/>
              <w:jc w:val="center"/>
              <w:rPr>
                <w:rFonts w:eastAsiaTheme="minorEastAsia"/>
                <w:color w:themeColor="text1" w:val="000000"/>
                <w:szCs w:val="21"/>
              </w:rPr>
            </w:pPr>
            <w:r w:rsidRPr="00B27A29">
              <w:rPr>
                <w:rFonts w:eastAsiaTheme="minorEastAsia"/>
                <w:color w:themeColor="text1" w:val="000000"/>
                <w:szCs w:val="21"/>
              </w:rPr>
              <w:lastRenderedPageBreak/>
              <w:t>5</w:t>
            </w:r>
          </w:p>
        </w:tc>
        <w:tc>
          <w:tcPr>
            <w:tcW w:type="dxa" w:w="3357"/>
            <w:vAlign w:val="center"/>
          </w:tcPr>
          <w:p w14:paraId="35A4C7F2" w14:textId="77777777" w:rsidR="005E6DF3" w:rsidRDefault="005C671B" w:rsidRPr="00B27A29">
            <w:pPr>
              <w:spacing w:before="29" w:line="360" w:lineRule="auto"/>
              <w:ind w:left="17"/>
              <w:jc w:val="left"/>
              <w:rPr>
                <w:rFonts w:eastAsiaTheme="minorEastAsia"/>
                <w:color w:themeColor="text1" w:val="000000"/>
                <w:szCs w:val="21"/>
              </w:rPr>
            </w:pPr>
            <w:r w:rsidRPr="00B27A29">
              <w:rPr>
                <w:rFonts w:eastAsiaTheme="minorEastAsia"/>
                <w:color w:themeColor="text1" w:val="000000"/>
                <w:szCs w:val="21"/>
              </w:rPr>
              <w:t>买入返售金融资产</w:t>
            </w:r>
          </w:p>
        </w:tc>
        <w:tc>
          <w:tcPr>
            <w:tcW w:type="dxa" w:w="2977"/>
            <w:vAlign w:val="center"/>
          </w:tcPr>
          <w:p w14:paraId="0D974E9B" w14:textId="77777777" w:rsidR="005E6DF3" w:rsidRDefault="005C671B" w:rsidRPr="00B27A29">
            <w:pPr>
              <w:spacing w:before="29" w:line="360" w:lineRule="auto"/>
              <w:ind w:left="17"/>
              <w:jc w:val="right"/>
              <w:rPr>
                <w:rFonts w:eastAsiaTheme="minorEastAsia"/>
                <w:color w:themeColor="text1" w:val="000000"/>
                <w:szCs w:val="21"/>
              </w:rPr>
            </w:pPr>
            <w:r w:rsidRPr="00B27A29">
              <w:rPr>
                <w:rFonts w:eastAsiaTheme="minorEastAsia"/>
                <w:color w:themeColor="text1" w:val="000000"/>
                <w:szCs w:val="21"/>
              </w:rPr>
              <w:t/>
            </w:r>
            <w:proofErr w:type="spellStart"/>
            <w:r w:rsidRPr="00B27A29">
              <w:rPr>
                <w:rFonts w:eastAsiaTheme="minorEastAsia"/>
                <w:color w:themeColor="text1" w:val="000000"/>
                <w:szCs w:val="21"/>
              </w:rPr>
              <w:t/>
            </w:r>
            <w:proofErr w:type="spellEnd"/>
            <w:r w:rsidRPr="00B27A29">
              <w:rPr>
                <w:rFonts w:eastAsiaTheme="minorEastAsia"/>
                <w:color w:themeColor="text1" w:val="000000"/>
                <w:szCs w:val="21"/>
              </w:rPr>
              <w:t>-</w:t>
            </w:r>
          </w:p>
        </w:tc>
        <w:tc>
          <w:tcPr>
            <w:tcW w:type="dxa" w:w="1843"/>
            <w:vAlign w:val="center"/>
          </w:tcPr>
          <w:p w14:paraId="00AF52ED" w14:textId="77777777" w:rsidR="005E6DF3" w:rsidRDefault="005C671B" w:rsidRPr="00B27A29">
            <w:pPr>
              <w:spacing w:before="29" w:line="360" w:lineRule="auto"/>
              <w:ind w:left="17"/>
              <w:jc w:val="right"/>
              <w:rPr>
                <w:rFonts w:eastAsiaTheme="minorEastAsia"/>
                <w:color w:themeColor="text1" w:val="000000"/>
                <w:szCs w:val="21"/>
              </w:rPr>
            </w:pPr>
            <w:r w:rsidRPr="00B27A29">
              <w:rPr>
                <w:rFonts w:eastAsiaTheme="minorEastAsia"/>
                <w:color w:themeColor="text1" w:val="000000"/>
                <w:szCs w:val="21"/>
              </w:rPr>
              <w:t>-</w:t>
            </w:r>
          </w:p>
        </w:tc>
      </w:tr>
      <w:tr w14:paraId="1E6C851A" w14:textId="77777777" w:rsidR="005E6DF3" w:rsidRPr="00B27A29">
        <w:tc>
          <w:tcPr>
            <w:tcW w:type="dxa" w:w="720"/>
            <w:vAlign w:val="center"/>
          </w:tcPr>
          <w:p w14:paraId="4802B89B" w14:textId="77777777" w:rsidR="005E6DF3" w:rsidRDefault="005E6DF3" w:rsidRPr="00B27A29">
            <w:pPr>
              <w:spacing w:before="29" w:line="360" w:lineRule="auto"/>
              <w:ind w:left="17"/>
              <w:jc w:val="center"/>
              <w:rPr>
                <w:rFonts w:eastAsiaTheme="minorEastAsia"/>
                <w:color w:themeColor="text1" w:val="000000"/>
                <w:szCs w:val="21"/>
              </w:rPr>
            </w:pPr>
          </w:p>
        </w:tc>
        <w:tc>
          <w:tcPr>
            <w:tcW w:type="dxa" w:w="3357"/>
            <w:vAlign w:val="center"/>
          </w:tcPr>
          <w:p w14:paraId="2B70EAF3" w14:textId="77777777" w:rsidR="005E6DF3" w:rsidRDefault="005C671B" w:rsidRPr="00B27A29">
            <w:pPr>
              <w:spacing w:before="29" w:line="360" w:lineRule="auto"/>
              <w:ind w:left="17"/>
              <w:jc w:val="left"/>
              <w:rPr>
                <w:rFonts w:eastAsiaTheme="minorEastAsia"/>
                <w:color w:themeColor="text1" w:val="000000"/>
                <w:szCs w:val="21"/>
              </w:rPr>
            </w:pPr>
            <w:r w:rsidRPr="00B27A29">
              <w:rPr>
                <w:rFonts w:eastAsiaTheme="minorEastAsia"/>
                <w:color w:themeColor="text1" w:val="000000"/>
                <w:szCs w:val="21"/>
              </w:rPr>
              <w:t>其中：买断式回购的买入返售金融资产</w:t>
            </w:r>
          </w:p>
        </w:tc>
        <w:tc>
          <w:tcPr>
            <w:tcW w:type="dxa" w:w="2977"/>
            <w:vAlign w:val="center"/>
          </w:tcPr>
          <w:p w14:paraId="25F2418C" w14:textId="77777777" w:rsidR="005E6DF3" w:rsidRDefault="005C671B" w:rsidRPr="00B27A29">
            <w:pPr>
              <w:spacing w:before="29" w:line="360" w:lineRule="auto"/>
              <w:ind w:left="17"/>
              <w:jc w:val="right"/>
              <w:rPr>
                <w:rFonts w:eastAsiaTheme="minorEastAsia"/>
                <w:color w:themeColor="text1" w:val="000000"/>
                <w:szCs w:val="21"/>
              </w:rPr>
            </w:pPr>
            <w:r w:rsidRPr="00B27A29">
              <w:rPr>
                <w:rFonts w:eastAsiaTheme="minorEastAsia"/>
                <w:color w:themeColor="text1" w:val="000000"/>
                <w:szCs w:val="21"/>
              </w:rPr>
              <w:t>-</w:t>
            </w:r>
          </w:p>
        </w:tc>
        <w:tc>
          <w:tcPr>
            <w:tcW w:type="dxa" w:w="1843"/>
            <w:vAlign w:val="center"/>
          </w:tcPr>
          <w:p w14:paraId="59C96675" w14:textId="77777777" w:rsidR="005E6DF3" w:rsidRDefault="005C671B" w:rsidRPr="00B27A29">
            <w:pPr>
              <w:spacing w:before="29" w:line="360" w:lineRule="auto"/>
              <w:ind w:left="17"/>
              <w:jc w:val="right"/>
              <w:rPr>
                <w:rFonts w:eastAsiaTheme="minorEastAsia"/>
                <w:color w:themeColor="text1" w:val="000000"/>
                <w:szCs w:val="21"/>
              </w:rPr>
            </w:pPr>
            <w:r w:rsidRPr="00B27A29">
              <w:rPr>
                <w:rFonts w:eastAsiaTheme="minorEastAsia"/>
                <w:color w:themeColor="text1" w:val="000000"/>
                <w:szCs w:val="21"/>
              </w:rPr>
              <w:t>-</w:t>
            </w:r>
          </w:p>
        </w:tc>
      </w:tr>
      <w:tr w14:paraId="34B6FB8F" w14:textId="77777777" w:rsidR="005E6DF3" w:rsidRPr="00B27A29">
        <w:tc>
          <w:tcPr>
            <w:tcW w:type="dxa" w:w="720"/>
            <w:vAlign w:val="center"/>
          </w:tcPr>
          <w:p w14:paraId="443AEDD1" w14:textId="77777777" w:rsidR="005E6DF3" w:rsidRDefault="005C671B" w:rsidRPr="00B27A29">
            <w:pPr>
              <w:spacing w:before="29" w:line="360" w:lineRule="auto"/>
              <w:ind w:left="17"/>
              <w:jc w:val="center"/>
              <w:rPr>
                <w:rFonts w:eastAsiaTheme="minorEastAsia"/>
                <w:color w:themeColor="text1" w:val="000000"/>
                <w:szCs w:val="21"/>
              </w:rPr>
            </w:pPr>
            <w:r w:rsidRPr="00B27A29">
              <w:rPr>
                <w:rFonts w:eastAsiaTheme="minorEastAsia"/>
                <w:color w:themeColor="text1" w:val="000000"/>
                <w:szCs w:val="21"/>
              </w:rPr>
              <w:t>6</w:t>
            </w:r>
          </w:p>
        </w:tc>
        <w:tc>
          <w:tcPr>
            <w:tcW w:type="dxa" w:w="3357"/>
            <w:vAlign w:val="center"/>
          </w:tcPr>
          <w:p w14:paraId="23C24DAF" w14:textId="77777777" w:rsidR="005E6DF3" w:rsidRDefault="005C671B" w:rsidRPr="00B27A29">
            <w:pPr>
              <w:spacing w:before="29" w:line="360" w:lineRule="auto"/>
              <w:ind w:left="17"/>
              <w:jc w:val="left"/>
              <w:rPr>
                <w:rFonts w:eastAsiaTheme="minorEastAsia"/>
                <w:color w:themeColor="text1" w:val="000000"/>
                <w:szCs w:val="21"/>
              </w:rPr>
            </w:pPr>
            <w:r w:rsidRPr="00B27A29">
              <w:rPr>
                <w:rFonts w:eastAsiaTheme="minorEastAsia"/>
                <w:color w:themeColor="text1" w:val="000000"/>
                <w:szCs w:val="21"/>
              </w:rPr>
              <w:t>银行存款和结算备付金合计</w:t>
            </w:r>
          </w:p>
        </w:tc>
        <w:tc>
          <w:tcPr>
            <w:tcW w:type="dxa" w:w="2977"/>
            <w:vAlign w:val="center"/>
          </w:tcPr>
          <w:p w14:paraId="702AF57C" w14:textId="77777777" w:rsidR="005E6DF3" w:rsidRDefault="005C671B" w:rsidRPr="00B27A29">
            <w:pPr>
              <w:spacing w:before="29" w:line="360" w:lineRule="auto"/>
              <w:ind w:left="17"/>
              <w:jc w:val="right"/>
              <w:rPr>
                <w:rFonts w:eastAsiaTheme="minorEastAsia"/>
                <w:color w:themeColor="text1" w:val="000000"/>
                <w:szCs w:val="21"/>
              </w:rPr>
            </w:pPr>
            <w:r w:rsidRPr="00B27A29">
              <w:rPr>
                <w:rFonts w:eastAsiaTheme="minorEastAsia"/>
                <w:color w:themeColor="text1" w:val="000000"/>
                <w:szCs w:val="21"/>
              </w:rPr>
              <w:t/>
            </w:r>
            <w:proofErr w:type="spellStart"/>
            <w:r w:rsidRPr="00B27A29">
              <w:rPr>
                <w:rFonts w:eastAsiaTheme="minorEastAsia"/>
                <w:color w:themeColor="text1" w:val="000000"/>
                <w:szCs w:val="21"/>
              </w:rPr>
              <w:t/>
            </w:r>
            <w:proofErr w:type="spellEnd"/>
            <w:r w:rsidRPr="00B27A29">
              <w:rPr>
                <w:rFonts w:eastAsiaTheme="minorEastAsia"/>
                <w:color w:themeColor="text1" w:val="000000"/>
                <w:szCs w:val="21"/>
              </w:rPr>
              <w:t>2,937,252.17</w:t>
            </w:r>
          </w:p>
        </w:tc>
        <w:tc>
          <w:tcPr>
            <w:tcW w:type="dxa" w:w="1843"/>
            <w:vAlign w:val="center"/>
          </w:tcPr>
          <w:p w14:paraId="3B1877C1" w14:textId="77777777" w:rsidR="005E6DF3" w:rsidRDefault="005C671B" w:rsidRPr="00B27A29">
            <w:pPr>
              <w:spacing w:before="29" w:line="360" w:lineRule="auto"/>
              <w:ind w:left="17"/>
              <w:jc w:val="right"/>
              <w:rPr>
                <w:rFonts w:eastAsiaTheme="minorEastAsia"/>
                <w:color w:themeColor="text1" w:val="000000"/>
                <w:szCs w:val="21"/>
              </w:rPr>
            </w:pPr>
            <w:r w:rsidRPr="00B27A29">
              <w:rPr>
                <w:rFonts w:eastAsiaTheme="minorEastAsia"/>
                <w:color w:themeColor="text1" w:val="000000"/>
                <w:szCs w:val="21"/>
              </w:rPr>
              <w:t>1.26</w:t>
            </w:r>
          </w:p>
        </w:tc>
      </w:tr>
      <w:tr w14:paraId="0EC9E9BF" w14:textId="77777777" w:rsidR="005E6DF3" w:rsidRPr="00B27A29">
        <w:tc>
          <w:tcPr>
            <w:tcW w:type="dxa" w:w="720"/>
            <w:vAlign w:val="center"/>
          </w:tcPr>
          <w:p w14:paraId="3AD69F86" w14:textId="77777777" w:rsidR="005E6DF3" w:rsidRDefault="005C671B" w:rsidRPr="00B27A29">
            <w:pPr>
              <w:spacing w:before="29" w:line="360" w:lineRule="auto"/>
              <w:ind w:left="17"/>
              <w:jc w:val="center"/>
              <w:rPr>
                <w:rFonts w:eastAsiaTheme="minorEastAsia"/>
                <w:color w:themeColor="text1" w:val="000000"/>
                <w:szCs w:val="21"/>
              </w:rPr>
            </w:pPr>
            <w:r w:rsidRPr="00B27A29">
              <w:rPr>
                <w:rFonts w:eastAsiaTheme="minorEastAsia"/>
                <w:color w:themeColor="text1" w:val="000000"/>
                <w:szCs w:val="21"/>
              </w:rPr>
              <w:t>7</w:t>
            </w:r>
          </w:p>
        </w:tc>
        <w:tc>
          <w:tcPr>
            <w:tcW w:type="dxa" w:w="3357"/>
            <w:vAlign w:val="center"/>
          </w:tcPr>
          <w:p w14:paraId="56B2A528" w14:textId="77777777" w:rsidR="005E6DF3" w:rsidRDefault="005C671B" w:rsidRPr="00B27A29">
            <w:pPr>
              <w:rPr>
                <w:rFonts w:eastAsiaTheme="minorEastAsia"/>
                <w:color w:themeColor="text1" w:val="000000"/>
                <w:szCs w:val="21"/>
              </w:rPr>
            </w:pPr>
            <w:r w:rsidRPr="00B27A29">
              <w:rPr>
                <w:rFonts w:eastAsiaTheme="minorEastAsia"/>
                <w:color w:themeColor="text1" w:val="000000"/>
                <w:szCs w:val="21"/>
              </w:rPr>
              <w:t>其他各项资产</w:t>
            </w:r>
          </w:p>
        </w:tc>
        <w:tc>
          <w:tcPr>
            <w:tcW w:type="dxa" w:w="2977"/>
            <w:vAlign w:val="center"/>
          </w:tcPr>
          <w:p w14:paraId="1E76C254" w14:textId="77777777" w:rsidR="005E6DF3" w:rsidRDefault="005C671B" w:rsidRPr="00B27A29">
            <w:pPr>
              <w:jc w:val="right"/>
              <w:rPr>
                <w:rFonts w:eastAsiaTheme="minorEastAsia"/>
                <w:color w:themeColor="text1" w:val="000000"/>
                <w:szCs w:val="21"/>
              </w:rPr>
            </w:pPr>
            <w:r w:rsidRPr="00B27A29">
              <w:rPr>
                <w:rFonts w:eastAsiaTheme="minorEastAsia"/>
                <w:color w:themeColor="text1" w:val="000000"/>
                <w:szCs w:val="21"/>
              </w:rPr>
              <w:t/>
            </w:r>
            <w:proofErr w:type="spellStart"/>
            <w:r w:rsidRPr="00B27A29">
              <w:rPr>
                <w:rFonts w:eastAsiaTheme="minorEastAsia"/>
                <w:color w:themeColor="text1" w:val="000000"/>
                <w:szCs w:val="21"/>
              </w:rPr>
              <w:t/>
            </w:r>
            <w:proofErr w:type="spellEnd"/>
            <w:r w:rsidRPr="00B27A29">
              <w:rPr>
                <w:rFonts w:eastAsiaTheme="minorEastAsia"/>
                <w:color w:themeColor="text1" w:val="000000"/>
                <w:szCs w:val="21"/>
              </w:rPr>
              <w:t>4,091,203.00</w:t>
            </w:r>
          </w:p>
        </w:tc>
        <w:tc>
          <w:tcPr>
            <w:tcW w:type="dxa" w:w="1843"/>
            <w:vAlign w:val="center"/>
          </w:tcPr>
          <w:p w14:paraId="4D09DF57" w14:textId="77777777" w:rsidR="005E6DF3" w:rsidRDefault="005C671B" w:rsidRPr="00B27A29">
            <w:pPr>
              <w:jc w:val="right"/>
              <w:rPr>
                <w:rFonts w:eastAsiaTheme="minorEastAsia"/>
                <w:color w:themeColor="text1" w:val="000000"/>
                <w:szCs w:val="21"/>
              </w:rPr>
            </w:pPr>
            <w:r w:rsidRPr="00B27A29">
              <w:rPr>
                <w:rFonts w:eastAsiaTheme="minorEastAsia"/>
                <w:color w:themeColor="text1" w:val="000000"/>
                <w:szCs w:val="21"/>
              </w:rPr>
              <w:t/>
            </w:r>
            <w:proofErr w:type="spellStart"/>
            <w:r w:rsidRPr="00B27A29">
              <w:rPr>
                <w:rFonts w:eastAsiaTheme="minorEastAsia"/>
                <w:color w:themeColor="text1" w:val="000000"/>
                <w:szCs w:val="21"/>
              </w:rPr>
              <w:t/>
            </w:r>
            <w:proofErr w:type="spellEnd"/>
            <w:r w:rsidRPr="00B27A29">
              <w:rPr>
                <w:rFonts w:eastAsiaTheme="minorEastAsia"/>
                <w:color w:themeColor="text1" w:val="000000"/>
                <w:szCs w:val="21"/>
              </w:rPr>
              <w:t>1.75</w:t>
            </w:r>
          </w:p>
        </w:tc>
      </w:tr>
      <w:tr w14:paraId="46D7EE51" w14:textId="77777777" w:rsidR="005E6DF3" w:rsidRPr="00B27A29">
        <w:tc>
          <w:tcPr>
            <w:tcW w:type="dxa" w:w="720"/>
            <w:vAlign w:val="center"/>
          </w:tcPr>
          <w:p w14:paraId="7318EF65" w14:textId="77777777" w:rsidR="005E6DF3" w:rsidRDefault="005C671B" w:rsidRPr="00B27A29">
            <w:pPr>
              <w:spacing w:before="29" w:line="360" w:lineRule="auto"/>
              <w:ind w:left="17"/>
              <w:jc w:val="center"/>
              <w:rPr>
                <w:rFonts w:eastAsiaTheme="minorEastAsia"/>
                <w:color w:themeColor="text1" w:val="000000"/>
                <w:szCs w:val="21"/>
              </w:rPr>
            </w:pPr>
            <w:r w:rsidRPr="00B27A29">
              <w:rPr>
                <w:rFonts w:eastAsiaTheme="minorEastAsia"/>
                <w:color w:themeColor="text1" w:val="000000"/>
                <w:szCs w:val="21"/>
              </w:rPr>
              <w:t/>
            </w:r>
            <w:r w:rsidRPr="00B27A29">
              <w:rPr>
                <w:rFonts w:eastAsiaTheme="minorEastAsia"/>
                <w:color w:themeColor="text1" w:val="000000"/>
                <w:szCs w:val="21"/>
              </w:rPr>
              <w:lastRenderedPageBreak/>
              <w:t>8</w:t>
            </w:r>
          </w:p>
        </w:tc>
        <w:tc>
          <w:tcPr>
            <w:tcW w:type="dxa" w:w="3357"/>
            <w:vAlign w:val="center"/>
          </w:tcPr>
          <w:p w14:paraId="1EA4D993" w14:textId="77777777" w:rsidR="005E6DF3" w:rsidRDefault="005C671B" w:rsidRPr="00B27A29">
            <w:pPr>
              <w:rPr>
                <w:rFonts w:eastAsiaTheme="minorEastAsia"/>
                <w:color w:themeColor="text1" w:val="000000"/>
                <w:szCs w:val="21"/>
              </w:rPr>
            </w:pPr>
            <w:r w:rsidRPr="00B27A29">
              <w:rPr>
                <w:rFonts w:eastAsiaTheme="minorEastAsia"/>
                <w:color w:themeColor="text1" w:val="000000"/>
                <w:szCs w:val="21"/>
              </w:rPr>
              <w:lastRenderedPageBreak/>
              <w:t>合计</w:t>
            </w:r>
          </w:p>
        </w:tc>
        <w:tc>
          <w:tcPr>
            <w:tcW w:type="dxa" w:w="2977"/>
            <w:vAlign w:val="center"/>
          </w:tcPr>
          <w:p w14:paraId="353B94D3" w14:textId="77777777" w:rsidR="005E6DF3" w:rsidRDefault="005C671B" w:rsidRPr="00B27A29">
            <w:pPr>
              <w:jc w:val="right"/>
              <w:rPr>
                <w:rFonts w:eastAsiaTheme="minorEastAsia"/>
                <w:color w:themeColor="text1" w:val="000000"/>
                <w:szCs w:val="21"/>
              </w:rPr>
            </w:pPr>
            <w:r w:rsidRPr="00B27A29">
              <w:rPr>
                <w:rFonts w:eastAsiaTheme="minorEastAsia"/>
                <w:color w:themeColor="text1" w:val="000000"/>
                <w:szCs w:val="21"/>
              </w:rPr>
              <w:t/>
            </w:r>
            <w:proofErr w:type="spellStart"/>
            <w:r w:rsidRPr="00B27A29">
              <w:rPr>
                <w:rFonts w:eastAsiaTheme="minorEastAsia"/>
                <w:color w:themeColor="text1" w:val="000000"/>
                <w:szCs w:val="21"/>
              </w:rPr>
              <w:t/>
            </w:r>
            <w:proofErr w:type="spellEnd"/>
            <w:r w:rsidRPr="00B27A29">
              <w:rPr>
                <w:rFonts w:eastAsiaTheme="minorEastAsia"/>
                <w:color w:themeColor="text1" w:val="000000"/>
                <w:szCs w:val="21"/>
              </w:rPr>
              <w:t>233,503,055.17</w:t>
            </w:r>
          </w:p>
        </w:tc>
        <w:tc>
          <w:tcPr>
            <w:tcW w:type="dxa" w:w="1843"/>
            <w:vAlign w:val="center"/>
          </w:tcPr>
          <w:p w14:paraId="49C933E0" w14:textId="77777777" w:rsidR="005E6DF3" w:rsidRDefault="005C671B" w:rsidRPr="00B27A29">
            <w:pPr>
              <w:jc w:val="right"/>
              <w:rPr>
                <w:rFonts w:eastAsiaTheme="minorEastAsia"/>
                <w:color w:themeColor="text1" w:val="000000"/>
                <w:szCs w:val="21"/>
              </w:rPr>
            </w:pPr>
            <w:r w:rsidRPr="00B27A29">
              <w:rPr>
                <w:rFonts w:eastAsiaTheme="minorEastAsia"/>
                <w:color w:themeColor="text1" w:val="000000"/>
                <w:szCs w:val="21"/>
              </w:rPr>
              <w:t/>
            </w:r>
            <w:proofErr w:type="spellStart"/>
            <w:r w:rsidRPr="00B27A29">
              <w:rPr>
                <w:rFonts w:eastAsiaTheme="minorEastAsia"/>
                <w:color w:themeColor="text1" w:val="000000"/>
                <w:szCs w:val="21"/>
              </w:rPr>
              <w:t/>
            </w:r>
            <w:r w:rsidRPr="00B27A29">
              <w:rPr>
                <w:rFonts w:eastAsiaTheme="minorEastAsia"/>
                <w:color w:themeColor="text1" w:val="000000"/>
                <w:szCs w:val="21"/>
              </w:rPr>
              <w:lastRenderedPageBreak/>
              <w:t/>
            </w:r>
            <w:proofErr w:type="spellEnd"/>
            <w:r w:rsidRPr="00B27A29">
              <w:rPr>
                <w:rFonts w:eastAsiaTheme="minorEastAsia"/>
                <w:color w:themeColor="text1" w:val="000000"/>
                <w:szCs w:val="21"/>
              </w:rPr>
              <w:t>100.00</w:t>
            </w:r>
          </w:p>
        </w:tc>
      </w:tr>
    </w:tbl>
    <w:p w14:paraId="46EFD2BE" w14:textId="77777777" w:rsidR="005E6DF3" w:rsidRDefault="005C671B" w:rsidRPr="00B27A29">
      <w:pPr>
        <w:autoSpaceDE w:val="0"/>
        <w:autoSpaceDN w:val="0"/>
        <w:adjustRightInd w:val="0"/>
        <w:spacing w:before="312" w:beforeLines="100" w:line="360" w:lineRule="auto"/>
        <w:jc w:val="left"/>
        <w:rPr>
          <w:rFonts w:eastAsiaTheme="minorEastAsia"/>
          <w:b/>
          <w:color w:themeColor="text1" w:val="000000"/>
          <w:kern w:val="0"/>
          <w:szCs w:val="21"/>
        </w:rPr>
      </w:pPr>
      <w:r w:rsidRPr="00B27A29">
        <w:rPr>
          <w:rFonts w:eastAsiaTheme="minorEastAsia"/>
          <w:b/>
          <w:color w:themeColor="text1" w:val="000000"/>
          <w:kern w:val="0"/>
          <w:szCs w:val="21"/>
        </w:rPr>
        <w:t xml:space="preserve">5.2 </w:t>
      </w:r>
      <w:r w:rsidRPr="00B27A29">
        <w:rPr>
          <w:rFonts w:eastAsiaTheme="minorEastAsia"/>
          <w:b/>
          <w:color w:themeColor="text1" w:val="000000"/>
          <w:kern w:val="0"/>
          <w:szCs w:val="21"/>
        </w:rPr>
        <w:t>报告期末按行业分类的股票投资组合</w:t>
      </w:r>
    </w:p>
    <w:p w14:paraId="7974A421" w14:textId="77777777" w:rsidR="005E6DF3" w:rsidRDefault="005C671B" w:rsidRPr="00B27A29">
      <w:pPr>
        <w:rPr>
          <w:b/>
        </w:rPr>
      </w:pPr>
      <w:r w:rsidRPr="00B27A29">
        <w:rPr>
          <w:b/>
        </w:rPr>
        <w:t xml:space="preserve"> </w:t>
      </w:r>
      <w:r w:rsidRPr="00B27A29">
        <w:rPr>
          <w:b/>
          <w:color w:themeColor="text1" w:val="000000"/>
          <w:szCs w:val="21"/>
        </w:rPr>
        <w:t/>
      </w:r>
      <w:proofErr w:type="spellStart"/>
      <w:r w:rsidRPr="00B27A29">
        <w:rPr>
          <w:b/>
          <w:color w:themeColor="text1" w:val="000000"/>
          <w:szCs w:val="21"/>
        </w:rPr>
        <w:t/>
      </w:r>
      <w:proofErr w:type="spellEnd"/>
      <w:r w:rsidRPr="00B27A29">
        <w:rPr>
          <w:b/>
          <w:color w:themeColor="text1" w:val="000000"/>
          <w:szCs w:val="21"/>
        </w:rPr>
        <w:t/>
      </w:r>
      <w:r w:rsidRPr="00B27A29">
        <w:rPr>
          <w:rFonts w:eastAsiaTheme="minorEastAsia"/>
          <w:b/>
          <w:color w:themeColor="text1" w:val="000000"/>
          <w:kern w:val="0"/>
          <w:szCs w:val="21"/>
        </w:rPr>
        <w:t>5.2.1</w:t>
      </w:r>
      <w:r w:rsidRPr="00B27A29">
        <w:rPr>
          <w:rFonts w:eastAsiaTheme="minorEastAsia"/>
          <w:b/>
          <w:color w:themeColor="text1" w:val="000000"/>
          <w:kern w:val="0"/>
          <w:szCs w:val="21"/>
        </w:rPr>
        <w:t>报告期末按行业分类的境内股票投资组合</w:t>
      </w:r>
    </w:p>
    <w:p w14:paraId="030C4638" w14:textId="77777777" w:rsidR="005E6DF3" w:rsidRDefault="005C671B" w:rsidRPr="00B27A29">
      <w:pPr>
        <w:autoSpaceDE w:val="0"/>
        <w:autoSpaceDN w:val="0"/>
        <w:adjustRightInd w:val="0"/>
        <w:spacing w:line="360" w:lineRule="auto"/>
        <w:ind w:firstLine="420" w:firstLineChars="200"/>
        <w:jc w:val="left"/>
        <w:rPr>
          <w:rFonts w:eastAsiaTheme="minorEastAsia"/>
          <w:color w:themeColor="text1" w:val="000000"/>
          <w:szCs w:val="21"/>
        </w:rPr>
      </w:pPr>
      <w:r w:rsidRPr="00B27A29">
        <w:rPr>
          <w:rFonts w:eastAsiaTheme="minorEastAsia"/>
          <w:color w:themeColor="text1" w:val="000000"/>
          <w:szCs w:val="21"/>
        </w:rPr>
        <w:t/>
      </w:r>
      <w:proofErr w:type="spellStart"/>
      <w:r w:rsidRPr="00B27A29">
        <w:rPr>
          <w:rFonts w:eastAsiaTheme="minorEastAsia"/>
          <w:color w:themeColor="text1" w:val="000000"/>
          <w:szCs w:val="21"/>
        </w:rPr>
        <w:t/>
      </w:r>
      <w:proofErr w:type="gramStart"/>
      <w:r w:rsidRPr="00B27A29">
        <w:rPr>
          <w:rFonts w:eastAsiaTheme="minorEastAsia"/>
          <w:color w:themeColor="text1" w:val="000000"/>
          <w:szCs w:val="21"/>
        </w:rPr>
        <w:t/>
      </w:r>
      <w:proofErr w:type="spellEnd"/>
      <w:r w:rsidRPr="00B27A29">
        <w:rPr>
          <w:rFonts w:eastAsiaTheme="minorEastAsia"/>
          <w:color w:themeColor="text1" w:val="000000"/>
          <w:szCs w:val="21"/>
        </w:rPr>
        <w:t/>
      </w:r>
      <w:proofErr w:type="spellStart"/>
      <w:proofErr w:type="gramEnd"/>
      <w:r w:rsidRPr="00B27A29">
        <w:rPr>
          <w:rFonts w:eastAsiaTheme="minorEastAsia"/>
          <w:color w:themeColor="text1" w:val="000000"/>
          <w:szCs w:val="21"/>
        </w:rPr>
        <w:t/>
      </w:r>
      <w:proofErr w:type="spellEnd"/>
      <w:r w:rsidRPr="00B27A29">
        <w:rPr>
          <w:rFonts w:eastAsiaTheme="minorEastAsia"/>
          <w:color w:themeColor="text1" w:val="000000"/>
          <w:szCs w:val="21"/>
        </w:rPr>
        <w:t>本基金本报告期末未持有股票。</w:t>
      </w:r>
    </w:p>
    <w:p w14:paraId="380ED18E" w14:textId="77777777" w:rsidP="00B27A29" w:rsidR="00B27A29" w:rsidRDefault="00B27A29" w:rsidRPr="00B27A29">
      <w:pPr>
        <w:spacing w:line="360" w:lineRule="auto"/>
        <w:rPr>
          <w:rFonts w:eastAsiaTheme="minorEastAsia"/>
          <w:szCs w:val="21"/>
        </w:rPr>
      </w:pPr>
      <w:bookmarkStart w:id="3"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14:paraId="58CF7387" w14:textId="77777777" w:rsidP="00B27A29" w:rsidR="00B27A29" w:rsidRDefault="00B27A29" w:rsidRPr="00B27A29">
      <w:pPr>
        <w:spacing w:line="360" w:lineRule="auto"/>
        <w:ind w:firstLine="420" w:firstLineChars="200"/>
        <w:rPr>
          <w:rFonts w:eastAsiaTheme="minorEastAsia"/>
          <w:szCs w:val="21"/>
        </w:rPr>
      </w:pPr>
      <w:r w:rsidRPr="00B27A29">
        <w:rPr>
          <w:rFonts w:eastAsiaTheme="minorEastAsia" w:hint="eastAsia"/>
          <w:szCs w:val="21"/>
        </w:rPr>
        <w:t/>
      </w:r>
      <w:proofErr w:type="spellStart"/>
      <w:r w:rsidRPr="00B27A29">
        <w:rPr>
          <w:rFonts w:eastAsiaTheme="minorEastAsia" w:hint="eastAsia"/>
          <w:szCs w:val="21"/>
        </w:rPr>
        <w:t/>
      </w:r>
      <w:proofErr w:type="gramStart"/>
      <w:r w:rsidRPr="00B27A29">
        <w:rPr>
          <w:rFonts w:eastAsiaTheme="minorEastAsia" w:hint="eastAsia"/>
          <w:szCs w:val="21"/>
        </w:rPr>
        <w:t/>
      </w:r>
      <w:proofErr w:type="spellEnd"/>
      <w:r w:rsidRPr="00B27A29">
        <w:rPr>
          <w:rFonts w:eastAsiaTheme="minorEastAsia" w:hint="eastAsia"/>
          <w:szCs w:val="21"/>
        </w:rPr>
        <w:t/>
      </w:r>
      <w:r w:rsidRPr="00B27A29">
        <w:rPr>
          <w:rFonts w:eastAsiaTheme="minorEastAsia"/>
          <w:szCs w:val="21"/>
        </w:rPr>
        <w:t/>
      </w:r>
      <w:proofErr w:type="spellStart"/>
      <w:proofErr w:type="gramEnd"/>
      <w:r w:rsidRPr="00B27A29">
        <w:rPr>
          <w:rFonts w:eastAsiaTheme="minorEastAsia"/>
          <w:szCs w:val="21"/>
        </w:rPr>
        <w:t/>
      </w:r>
      <w:proofErr w:type="spellEnd"/>
      <w:r w:rsidRPr="00B27A29">
        <w:rPr>
          <w:rFonts w:eastAsiaTheme="minorEastAsia"/>
          <w:szCs w:val="21"/>
        </w:rPr>
        <w:t>本基金本报告期末未持有股票。</w:t>
      </w:r>
    </w:p>
    <w:bookmarkEnd w:id="3"/>
    <w:p w14:paraId="4957BED8" w14:textId="77777777" w:rsidR="005E6DF3" w:rsidRDefault="005C671B" w:rsidRPr="00B27A29">
      <w:pPr>
        <w:autoSpaceDE w:val="0"/>
        <w:autoSpaceDN w:val="0"/>
        <w:adjustRightInd w:val="0"/>
        <w:spacing w:before="312" w:beforeLines="100" w:line="360" w:lineRule="auto"/>
        <w:jc w:val="left"/>
        <w:rPr>
          <w:rFonts w:eastAsiaTheme="minorEastAsia"/>
          <w:b/>
          <w:color w:themeColor="text1" w:val="000000"/>
          <w:kern w:val="0"/>
          <w:szCs w:val="21"/>
        </w:rPr>
      </w:pPr>
      <w:r w:rsidRPr="00B27A29">
        <w:rPr>
          <w:rFonts w:eastAsiaTheme="minorEastAsia"/>
          <w:b/>
          <w:color w:themeColor="text1" w:val="000000"/>
          <w:kern w:val="0"/>
          <w:szCs w:val="21"/>
        </w:rPr>
        <w:t xml:space="preserve">5.4 </w:t>
      </w:r>
      <w:r w:rsidRPr="00B27A29">
        <w:rPr>
          <w:rFonts w:eastAsiaTheme="minorEastAsia"/>
          <w:b/>
          <w:color w:themeColor="text1" w:val="000000"/>
          <w:kern w:val="0"/>
          <w:szCs w:val="21"/>
        </w:rPr>
        <w:t>报告期末按债券品种分类的债券投资组合</w:t>
      </w:r>
    </w:p>
    <w:tbl>
      <w:tblPr>
        <w:tblW w:type="dxa" w:w="852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17"/>
        <w:gridCol w:w="3260"/>
        <w:gridCol w:w="2835"/>
        <w:gridCol w:w="1616"/>
      </w:tblGrid>
      <w:tr w14:paraId="4BAFE9CF" w14:textId="77777777" w:rsidR="005E6DF3" w:rsidRPr="00B27A29">
        <w:tc>
          <w:tcPr>
            <w:tcW w:type="dxa" w:w="817"/>
            <w:vAlign w:val="center"/>
          </w:tcPr>
          <w:p w14:paraId="46413923" w14:textId="77777777" w:rsidR="005E6DF3" w:rsidRDefault="005C671B" w:rsidRPr="00B27A29">
            <w:pPr>
              <w:spacing w:before="29" w:line="360" w:lineRule="auto"/>
              <w:ind w:left="17"/>
              <w:jc w:val="center"/>
              <w:rPr>
                <w:rFonts w:eastAsiaTheme="minorEastAsia"/>
                <w:color w:themeColor="text1" w:val="000000"/>
                <w:szCs w:val="21"/>
              </w:rPr>
            </w:pPr>
            <w:r w:rsidRPr="00B27A29">
              <w:rPr>
                <w:rFonts w:eastAsiaTheme="minorEastAsia"/>
                <w:color w:themeColor="text1" w:val="000000"/>
                <w:szCs w:val="21"/>
              </w:rPr>
              <w:t>序号</w:t>
            </w:r>
          </w:p>
        </w:tc>
        <w:tc>
          <w:tcPr>
            <w:tcW w:type="dxa" w:w="3260"/>
            <w:vAlign w:val="center"/>
          </w:tcPr>
          <w:p w14:paraId="4F39D74B" w14:textId="77777777" w:rsidR="005E6DF3" w:rsidRDefault="005C671B" w:rsidRPr="00B27A29">
            <w:pPr>
              <w:spacing w:before="29" w:line="360" w:lineRule="auto"/>
              <w:ind w:left="17"/>
              <w:jc w:val="center"/>
              <w:rPr>
                <w:rFonts w:eastAsiaTheme="minorEastAsia"/>
                <w:color w:themeColor="text1" w:val="000000"/>
                <w:szCs w:val="21"/>
              </w:rPr>
            </w:pPr>
            <w:r w:rsidRPr="00B27A29">
              <w:rPr>
                <w:rFonts w:eastAsiaTheme="minorEastAsia"/>
                <w:color w:themeColor="text1" w:val="000000"/>
                <w:szCs w:val="21"/>
              </w:rPr>
              <w:t>债券品种</w:t>
            </w:r>
            <w:r w:rsidRPr="00B27A29">
              <w:rPr>
                <w:rFonts w:eastAsiaTheme="minorEastAsia"/>
                <w:color w:themeColor="text1" w:val="000000"/>
                <w:szCs w:val="21"/>
              </w:rPr>
              <w:t/>
            </w:r>
            <w:proofErr w:type="spellStart"/>
            <w:r w:rsidRPr="00B27A29">
              <w:rPr>
                <w:rFonts w:eastAsiaTheme="minorEastAsia"/>
                <w:color w:themeColor="text1" w:val="000000"/>
                <w:szCs w:val="21"/>
              </w:rPr>
              <w:t/>
            </w:r>
            <w:proofErr w:type="spellEnd"/>
            <w:r w:rsidRPr="00B27A29">
              <w:rPr>
                <w:rFonts w:eastAsiaTheme="minorEastAsia"/>
                <w:color w:themeColor="text1" w:val="000000"/>
                <w:szCs w:val="21"/>
              </w:rPr>
              <w:t/>
            </w:r>
          </w:p>
        </w:tc>
        <w:tc>
          <w:tcPr>
            <w:tcW w:type="dxa" w:w="2835"/>
            <w:vAlign w:val="center"/>
          </w:tcPr>
          <w:p w14:paraId="79054171" w14:textId="77777777" w:rsidR="005E6DF3" w:rsidRDefault="005C671B" w:rsidRPr="00B27A29">
            <w:pPr>
              <w:spacing w:before="29" w:line="360" w:lineRule="auto"/>
              <w:ind w:left="17"/>
              <w:jc w:val="center"/>
              <w:rPr>
                <w:rFonts w:eastAsiaTheme="minorEastAsia"/>
                <w:color w:themeColor="text1" w:val="000000"/>
                <w:szCs w:val="21"/>
              </w:rPr>
            </w:pPr>
            <w:r w:rsidRPr="00B27A29">
              <w:rPr>
                <w:rFonts w:eastAsiaTheme="minorEastAsia"/>
                <w:color w:themeColor="text1" w:val="000000"/>
                <w:szCs w:val="21"/>
              </w:rPr>
              <w:t>公允价值</w:t>
            </w:r>
            <w:r w:rsidRPr="00B27A29">
              <w:rPr>
                <w:rFonts w:eastAsiaTheme="minorEastAsia"/>
                <w:color w:themeColor="text1" w:val="000000"/>
                <w:szCs w:val="21"/>
              </w:rPr>
              <w:t>(</w:t>
            </w:r>
            <w:r w:rsidRPr="00B27A29">
              <w:rPr>
                <w:rFonts w:eastAsiaTheme="minorEastAsia"/>
                <w:color w:themeColor="text1" w:val="000000"/>
                <w:szCs w:val="21"/>
              </w:rPr>
              <w:t>元</w:t>
            </w:r>
            <w:r w:rsidRPr="00B27A29">
              <w:rPr>
                <w:rFonts w:eastAsiaTheme="minorEastAsia"/>
                <w:color w:themeColor="text1" w:val="000000"/>
                <w:szCs w:val="21"/>
              </w:rPr>
              <w:t>)</w:t>
            </w:r>
          </w:p>
        </w:tc>
        <w:tc>
          <w:tcPr>
            <w:tcW w:type="dxa" w:w="1616"/>
            <w:vAlign w:val="center"/>
          </w:tcPr>
          <w:p w14:paraId="59AC8D27" w14:textId="77777777" w:rsidR="005E6DF3" w:rsidRDefault="005C671B" w:rsidRPr="00B27A29">
            <w:pPr>
              <w:spacing w:before="29" w:line="360" w:lineRule="auto"/>
              <w:ind w:left="17"/>
              <w:jc w:val="center"/>
              <w:rPr>
                <w:rFonts w:eastAsiaTheme="minorEastAsia"/>
                <w:color w:themeColor="text1" w:val="000000"/>
                <w:szCs w:val="21"/>
              </w:rPr>
            </w:pPr>
            <w:r w:rsidRPr="00B27A29">
              <w:rPr>
                <w:rFonts w:eastAsiaTheme="minorEastAsia"/>
                <w:color w:themeColor="text1" w:val="000000"/>
                <w:szCs w:val="21"/>
              </w:rPr>
              <w:t>占基金资产净值比例</w:t>
            </w:r>
            <w:r w:rsidRPr="00B27A29">
              <w:rPr>
                <w:rFonts w:eastAsiaTheme="minorEastAsia"/>
                <w:color w:themeColor="text1" w:val="000000"/>
                <w:szCs w:val="21"/>
              </w:rPr>
              <w:t>(</w:t>
            </w:r>
            <w:r w:rsidRPr="00B27A29">
              <w:rPr>
                <w:rFonts w:eastAsiaTheme="minorEastAsia"/>
                <w:color w:themeColor="text1" w:val="000000"/>
                <w:szCs w:val="21"/>
              </w:rPr>
              <w:t>％</w:t>
            </w:r>
            <w:r w:rsidRPr="00B27A29">
              <w:rPr>
                <w:rFonts w:eastAsiaTheme="minorEastAsia"/>
                <w:color w:themeColor="text1" w:val="000000"/>
                <w:szCs w:val="21"/>
              </w:rPr>
              <w:t>)</w:t>
            </w:r>
          </w:p>
        </w:tc>
      </w:tr>
      <w:tr w14:paraId="56C5CF5A" w14:textId="77777777" w:rsidR="005E6DF3" w:rsidRPr="00B27A29">
        <w:tc>
          <w:tcPr>
            <w:tcW w:type="dxa" w:w="817"/>
            <w:vAlign w:val="center"/>
          </w:tcPr>
          <w:p w14:paraId="36A97F78" w14:textId="77777777" w:rsidR="005E6DF3" w:rsidRDefault="005C671B" w:rsidRPr="00B27A29">
            <w:pPr>
              <w:spacing w:before="29" w:line="360" w:lineRule="auto"/>
              <w:ind w:left="17"/>
              <w:jc w:val="center"/>
              <w:rPr>
                <w:rFonts w:eastAsiaTheme="minorEastAsia"/>
                <w:color w:themeColor="text1" w:val="000000"/>
                <w:szCs w:val="21"/>
              </w:rPr>
            </w:pPr>
            <w:r w:rsidRPr="00B27A29">
              <w:rPr>
                <w:rFonts w:eastAsiaTheme="minorEastAsia"/>
                <w:color w:themeColor="text1" w:val="000000"/>
                <w:szCs w:val="21"/>
              </w:rPr>
              <w:t>1</w:t>
            </w:r>
          </w:p>
        </w:tc>
        <w:tc>
          <w:tcPr>
            <w:tcW w:type="dxa" w:w="3260"/>
            <w:vAlign w:val="center"/>
          </w:tcPr>
          <w:p w14:paraId="1F8BED32" w14:textId="77777777" w:rsidR="005E6DF3" w:rsidRDefault="005C671B" w:rsidRPr="00B27A29">
            <w:pPr>
              <w:spacing w:before="29" w:line="360" w:lineRule="auto"/>
              <w:ind w:left="17"/>
              <w:jc w:val="left"/>
              <w:rPr>
                <w:rFonts w:eastAsiaTheme="minorEastAsia"/>
                <w:color w:themeColor="text1" w:val="000000"/>
                <w:szCs w:val="21"/>
              </w:rPr>
            </w:pPr>
            <w:r w:rsidRPr="00B27A29">
              <w:rPr>
                <w:rFonts w:eastAsiaTheme="minorEastAsia"/>
                <w:color w:themeColor="text1" w:val="000000"/>
                <w:szCs w:val="21"/>
              </w:rPr>
              <w:t>国家债券</w:t>
            </w:r>
          </w:p>
        </w:tc>
        <w:tc>
          <w:tcPr>
            <w:tcW w:type="dxa" w:w="2835"/>
            <w:vAlign w:val="center"/>
          </w:tcPr>
          <w:p w14:paraId="56175F65" w14:textId="77777777" w:rsidR="005E6DF3" w:rsidRDefault="005C671B" w:rsidRPr="00B27A29">
            <w:pPr>
              <w:spacing w:before="29" w:line="360" w:lineRule="auto"/>
              <w:ind w:left="17"/>
              <w:jc w:val="right"/>
              <w:rPr>
                <w:rFonts w:eastAsiaTheme="minorEastAsia"/>
                <w:color w:themeColor="text1" w:val="000000"/>
                <w:szCs w:val="21"/>
              </w:rPr>
            </w:pPr>
            <w:r w:rsidRPr="00B27A29">
              <w:rPr>
                <w:rFonts w:eastAsiaTheme="minorEastAsia"/>
                <w:color w:themeColor="text1" w:val="000000"/>
                <w:szCs w:val="21"/>
              </w:rPr>
              <w:t/>
            </w:r>
            <w:proofErr w:type="spellStart"/>
            <w:r w:rsidRPr="00B27A29">
              <w:rPr>
                <w:rFonts w:eastAsiaTheme="minorEastAsia"/>
                <w:color w:themeColor="text1" w:val="000000"/>
                <w:szCs w:val="21"/>
              </w:rPr>
              <w:t/>
            </w:r>
            <w:proofErr w:type="spellEnd"/>
            <w:r w:rsidRPr="00B27A29">
              <w:rPr>
                <w:rFonts w:eastAsiaTheme="minorEastAsia"/>
                <w:color w:themeColor="text1" w:val="000000"/>
                <w:szCs w:val="21"/>
              </w:rPr>
              <w:t>10,634,200.00</w:t>
            </w:r>
          </w:p>
        </w:tc>
        <w:tc>
          <w:tcPr>
            <w:tcW w:type="dxa" w:w="1616"/>
            <w:vAlign w:val="center"/>
          </w:tcPr>
          <w:p w14:paraId="59B3836D" w14:textId="77777777" w:rsidR="005E6DF3" w:rsidRDefault="005C671B" w:rsidRPr="00B27A29">
            <w:pPr>
              <w:spacing w:before="29" w:line="360" w:lineRule="auto"/>
              <w:ind w:left="17"/>
              <w:jc w:val="right"/>
              <w:rPr>
                <w:rFonts w:eastAsiaTheme="minorEastAsia"/>
                <w:color w:themeColor="text1" w:val="000000"/>
                <w:szCs w:val="21"/>
              </w:rPr>
            </w:pPr>
            <w:r w:rsidRPr="00B27A29">
              <w:rPr>
                <w:rFonts w:eastAsiaTheme="minorEastAsia"/>
                <w:color w:themeColor="text1" w:val="000000"/>
                <w:szCs w:val="21"/>
              </w:rPr>
              <w:t>6.18</w:t>
            </w:r>
          </w:p>
        </w:tc>
      </w:tr>
      <w:tr w14:paraId="67DAE46D" w14:textId="77777777" w:rsidR="005E6DF3" w:rsidRPr="00B27A29">
        <w:tc>
          <w:tcPr>
            <w:tcW w:type="dxa" w:w="817"/>
            <w:vAlign w:val="center"/>
          </w:tcPr>
          <w:p w14:paraId="7DB098F7" w14:textId="77777777" w:rsidR="005E6DF3" w:rsidRDefault="005C671B" w:rsidRPr="00B27A29">
            <w:pPr>
              <w:spacing w:before="29" w:line="360" w:lineRule="auto"/>
              <w:ind w:left="17"/>
              <w:jc w:val="center"/>
              <w:rPr>
                <w:rFonts w:eastAsiaTheme="minorEastAsia"/>
                <w:color w:themeColor="text1" w:val="000000"/>
                <w:szCs w:val="21"/>
              </w:rPr>
            </w:pPr>
            <w:r w:rsidRPr="00B27A29">
              <w:rPr>
                <w:rFonts w:eastAsiaTheme="minorEastAsia"/>
                <w:color w:themeColor="text1" w:val="000000"/>
                <w:szCs w:val="21"/>
              </w:rPr>
              <w:t>2</w:t>
            </w:r>
          </w:p>
        </w:tc>
        <w:tc>
          <w:tcPr>
            <w:tcW w:type="dxa" w:w="3260"/>
            <w:vAlign w:val="center"/>
          </w:tcPr>
          <w:p w14:paraId="7AE943CC" w14:textId="77777777" w:rsidR="005E6DF3" w:rsidRDefault="005C671B" w:rsidRPr="00B27A29">
            <w:pPr>
              <w:spacing w:before="29" w:line="360" w:lineRule="auto"/>
              <w:ind w:left="17"/>
              <w:jc w:val="left"/>
              <w:rPr>
                <w:rFonts w:eastAsiaTheme="minorEastAsia"/>
                <w:color w:themeColor="text1" w:val="000000"/>
                <w:szCs w:val="21"/>
              </w:rPr>
            </w:pPr>
            <w:r w:rsidRPr="00B27A29">
              <w:rPr>
                <w:rFonts w:eastAsiaTheme="minorEastAsia"/>
                <w:color w:themeColor="text1" w:val="000000"/>
                <w:szCs w:val="21"/>
              </w:rPr>
              <w:t>央行票据</w:t>
            </w:r>
          </w:p>
        </w:tc>
        <w:tc>
          <w:tcPr>
            <w:tcW w:type="dxa" w:w="2835"/>
            <w:vAlign w:val="center"/>
          </w:tcPr>
          <w:p w14:paraId="61DAE3EA" w14:textId="77777777" w:rsidR="005E6DF3" w:rsidRDefault="005C671B" w:rsidRPr="00B27A29">
            <w:pPr>
              <w:spacing w:before="29" w:line="360" w:lineRule="auto"/>
              <w:ind w:left="17"/>
              <w:jc w:val="right"/>
              <w:rPr>
                <w:rFonts w:eastAsiaTheme="minorEastAsia"/>
                <w:color w:themeColor="text1" w:val="000000"/>
                <w:szCs w:val="21"/>
              </w:rPr>
            </w:pPr>
            <w:r w:rsidRPr="00B27A29">
              <w:rPr>
                <w:rFonts w:eastAsiaTheme="minorEastAsia"/>
                <w:color w:themeColor="text1" w:val="000000"/>
                <w:szCs w:val="21"/>
              </w:rPr>
              <w:t/>
            </w:r>
            <w:proofErr w:type="spellStart"/>
            <w:r w:rsidRPr="00B27A29">
              <w:rPr>
                <w:rFonts w:eastAsiaTheme="minorEastAsia"/>
                <w:color w:themeColor="text1" w:val="000000"/>
                <w:szCs w:val="21"/>
              </w:rPr>
              <w:t/>
            </w:r>
            <w:proofErr w:type="spellEnd"/>
            <w:r w:rsidRPr="00B27A29">
              <w:rPr>
                <w:rFonts w:eastAsiaTheme="minorEastAsia"/>
                <w:color w:themeColor="text1" w:val="000000"/>
                <w:szCs w:val="21"/>
              </w:rPr>
              <w:t>-</w:t>
            </w:r>
          </w:p>
        </w:tc>
        <w:tc>
          <w:tcPr>
            <w:tcW w:type="dxa" w:w="1616"/>
            <w:vAlign w:val="center"/>
          </w:tcPr>
          <w:p w14:paraId="25667D1F" w14:textId="77777777" w:rsidR="005E6DF3" w:rsidRDefault="005C671B" w:rsidRPr="00B27A29">
            <w:pPr>
              <w:spacing w:before="29" w:line="360" w:lineRule="auto"/>
              <w:ind w:left="17"/>
              <w:jc w:val="right"/>
              <w:rPr>
                <w:rFonts w:eastAsiaTheme="minorEastAsia"/>
                <w:color w:themeColor="text1" w:val="000000"/>
                <w:szCs w:val="21"/>
              </w:rPr>
            </w:pPr>
            <w:r w:rsidRPr="00B27A29">
              <w:rPr>
                <w:rFonts w:eastAsiaTheme="minorEastAsia"/>
                <w:color w:themeColor="text1" w:val="000000"/>
                <w:szCs w:val="21"/>
              </w:rPr>
              <w:t/>
            </w:r>
            <w:r w:rsidRPr="00B27A29">
              <w:rPr>
                <w:rFonts w:eastAsiaTheme="minorEastAsia"/>
                <w:color w:themeColor="text1" w:val="000000"/>
                <w:szCs w:val="21"/>
              </w:rPr>
              <w:lastRenderedPageBreak/>
              <w:t>-</w:t>
            </w:r>
          </w:p>
        </w:tc>
      </w:tr>
      <w:tr w14:paraId="45911EA9" w14:textId="77777777" w:rsidR="005E6DF3" w:rsidRPr="00B27A29">
        <w:tc>
          <w:tcPr>
            <w:tcW w:type="dxa" w:w="817"/>
            <w:vAlign w:val="center"/>
          </w:tcPr>
          <w:p w14:paraId="537A2574" w14:textId="77777777" w:rsidR="005E6DF3" w:rsidRDefault="005C671B" w:rsidRPr="00B27A29">
            <w:pPr>
              <w:spacing w:before="29" w:line="360" w:lineRule="auto"/>
              <w:ind w:left="17"/>
              <w:jc w:val="center"/>
              <w:rPr>
                <w:rFonts w:eastAsiaTheme="minorEastAsia"/>
                <w:color w:themeColor="text1" w:val="000000"/>
                <w:szCs w:val="21"/>
              </w:rPr>
            </w:pPr>
            <w:r w:rsidRPr="00B27A29">
              <w:rPr>
                <w:rFonts w:eastAsiaTheme="minorEastAsia"/>
                <w:color w:themeColor="text1" w:val="000000"/>
                <w:szCs w:val="21"/>
              </w:rPr>
              <w:lastRenderedPageBreak/>
              <w:t>3</w:t>
            </w:r>
          </w:p>
        </w:tc>
        <w:tc>
          <w:tcPr>
            <w:tcW w:type="dxa" w:w="3260"/>
            <w:vAlign w:val="center"/>
          </w:tcPr>
          <w:p w14:paraId="0FFBB6A6" w14:textId="77777777" w:rsidR="005E6DF3" w:rsidRDefault="005C671B" w:rsidRPr="00B27A29">
            <w:pPr>
              <w:spacing w:before="29" w:line="360" w:lineRule="auto"/>
              <w:ind w:left="17"/>
              <w:jc w:val="left"/>
              <w:rPr>
                <w:rFonts w:eastAsiaTheme="minorEastAsia"/>
                <w:color w:themeColor="text1" w:val="000000"/>
                <w:szCs w:val="21"/>
              </w:rPr>
            </w:pPr>
            <w:r w:rsidRPr="00B27A29">
              <w:rPr>
                <w:rFonts w:eastAsiaTheme="minorEastAsia"/>
                <w:color w:themeColor="text1" w:val="000000"/>
                <w:szCs w:val="21"/>
              </w:rPr>
              <w:t>金融债券</w:t>
            </w:r>
          </w:p>
        </w:tc>
        <w:tc>
          <w:tcPr>
            <w:tcW w:type="dxa" w:w="2835"/>
            <w:vAlign w:val="center"/>
          </w:tcPr>
          <w:p w14:paraId="469ABA2C" w14:textId="77777777" w:rsidR="005E6DF3" w:rsidRDefault="005C671B" w:rsidRPr="00B27A29">
            <w:pPr>
              <w:spacing w:before="29" w:line="360" w:lineRule="auto"/>
              <w:ind w:left="17"/>
              <w:jc w:val="right"/>
              <w:rPr>
                <w:rFonts w:eastAsiaTheme="minorEastAsia"/>
                <w:color w:themeColor="text1" w:val="000000"/>
                <w:szCs w:val="21"/>
              </w:rPr>
            </w:pPr>
            <w:r w:rsidRPr="00B27A29">
              <w:rPr>
                <w:rFonts w:eastAsiaTheme="minorEastAsia"/>
                <w:color w:themeColor="text1" w:val="000000"/>
                <w:szCs w:val="21"/>
              </w:rPr>
              <w:t/>
            </w:r>
            <w:proofErr w:type="spellStart"/>
            <w:r w:rsidRPr="00B27A29">
              <w:rPr>
                <w:rFonts w:eastAsiaTheme="minorEastAsia"/>
                <w:color w:themeColor="text1" w:val="000000"/>
                <w:szCs w:val="21"/>
              </w:rPr>
              <w:t/>
            </w:r>
            <w:proofErr w:type="spellEnd"/>
            <w:r w:rsidRPr="00B27A29">
              <w:rPr>
                <w:rFonts w:eastAsiaTheme="minorEastAsia"/>
                <w:color w:themeColor="text1" w:val="000000"/>
                <w:szCs w:val="21"/>
              </w:rPr>
              <w:t>30,362,000.00</w:t>
            </w:r>
          </w:p>
        </w:tc>
        <w:tc>
          <w:tcPr>
            <w:tcW w:type="dxa" w:w="1616"/>
            <w:vAlign w:val="center"/>
          </w:tcPr>
          <w:p w14:paraId="38E508D8" w14:textId="77777777" w:rsidR="005E6DF3" w:rsidRDefault="005C671B" w:rsidRPr="00B27A29">
            <w:pPr>
              <w:spacing w:before="29" w:line="360" w:lineRule="auto"/>
              <w:ind w:left="17"/>
              <w:jc w:val="right"/>
              <w:rPr>
                <w:rFonts w:eastAsiaTheme="minorEastAsia"/>
                <w:color w:themeColor="text1" w:val="000000"/>
                <w:szCs w:val="21"/>
              </w:rPr>
            </w:pPr>
            <w:r w:rsidRPr="00B27A29">
              <w:rPr>
                <w:rFonts w:eastAsiaTheme="minorEastAsia"/>
                <w:color w:themeColor="text1" w:val="000000"/>
                <w:szCs w:val="21"/>
              </w:rPr>
              <w:t>17.65</w:t>
            </w:r>
          </w:p>
        </w:tc>
      </w:tr>
      <w:tr w14:paraId="129F8C18" w14:textId="77777777" w:rsidR="005E6DF3" w:rsidRPr="00B27A29">
        <w:tc>
          <w:tcPr>
            <w:tcW w:type="dxa" w:w="817"/>
            <w:vAlign w:val="center"/>
          </w:tcPr>
          <w:p w14:paraId="6B520B37" w14:textId="77777777" w:rsidR="005E6DF3" w:rsidRDefault="005E6DF3" w:rsidRPr="00B27A29">
            <w:pPr>
              <w:spacing w:before="29" w:line="360" w:lineRule="auto"/>
              <w:ind w:left="17"/>
              <w:jc w:val="center"/>
              <w:rPr>
                <w:rFonts w:eastAsiaTheme="minorEastAsia"/>
                <w:color w:themeColor="text1" w:val="000000"/>
                <w:szCs w:val="21"/>
              </w:rPr>
            </w:pPr>
          </w:p>
        </w:tc>
        <w:tc>
          <w:tcPr>
            <w:tcW w:type="dxa" w:w="3260"/>
            <w:vAlign w:val="center"/>
          </w:tcPr>
          <w:p w14:paraId="4585244E" w14:textId="77777777" w:rsidR="005E6DF3" w:rsidRDefault="005C671B" w:rsidRPr="00B27A29">
            <w:pPr>
              <w:spacing w:before="29" w:line="360" w:lineRule="auto"/>
              <w:ind w:left="17"/>
              <w:jc w:val="left"/>
              <w:rPr>
                <w:rFonts w:eastAsiaTheme="minorEastAsia"/>
                <w:color w:themeColor="text1" w:val="000000"/>
                <w:szCs w:val="21"/>
              </w:rPr>
            </w:pPr>
            <w:r w:rsidRPr="00B27A29">
              <w:rPr>
                <w:rFonts w:eastAsiaTheme="minorEastAsia"/>
                <w:color w:themeColor="text1" w:val="000000"/>
                <w:szCs w:val="21"/>
              </w:rPr>
              <w:t>其中：政策性金融债</w:t>
            </w:r>
          </w:p>
        </w:tc>
        <w:tc>
          <w:tcPr>
            <w:tcW w:type="dxa" w:w="2835"/>
            <w:vAlign w:val="center"/>
          </w:tcPr>
          <w:p w14:paraId="1FCEB0C2" w14:textId="77777777" w:rsidR="005E6DF3" w:rsidRDefault="005C671B" w:rsidRPr="00B27A29">
            <w:pPr>
              <w:spacing w:before="29" w:line="360" w:lineRule="auto"/>
              <w:ind w:left="17"/>
              <w:jc w:val="right"/>
              <w:rPr>
                <w:rFonts w:eastAsiaTheme="minorEastAsia"/>
                <w:color w:themeColor="text1" w:val="000000"/>
                <w:szCs w:val="21"/>
              </w:rPr>
            </w:pPr>
            <w:r w:rsidRPr="00B27A29">
              <w:rPr>
                <w:rFonts w:eastAsiaTheme="minorEastAsia"/>
                <w:color w:themeColor="text1" w:val="000000"/>
                <w:szCs w:val="21"/>
              </w:rPr>
              <w:t/>
            </w:r>
            <w:proofErr w:type="spellStart"/>
            <w:r w:rsidRPr="00B27A29">
              <w:rPr>
                <w:rFonts w:eastAsiaTheme="minorEastAsia"/>
                <w:color w:themeColor="text1" w:val="000000"/>
                <w:szCs w:val="21"/>
              </w:rPr>
              <w:t/>
            </w:r>
            <w:proofErr w:type="spellEnd"/>
            <w:r w:rsidRPr="00B27A29">
              <w:rPr>
                <w:rFonts w:eastAsiaTheme="minorEastAsia"/>
                <w:color w:themeColor="text1" w:val="000000"/>
                <w:szCs w:val="21"/>
              </w:rPr>
              <w:t>20,187,000.00</w:t>
            </w:r>
          </w:p>
        </w:tc>
        <w:tc>
          <w:tcPr>
            <w:tcW w:type="dxa" w:w="1616"/>
            <w:vAlign w:val="center"/>
          </w:tcPr>
          <w:p w14:paraId="575FD5F2" w14:textId="77777777" w:rsidR="005E6DF3" w:rsidRDefault="005C671B" w:rsidRPr="00B27A29">
            <w:pPr>
              <w:spacing w:before="29" w:line="360" w:lineRule="auto"/>
              <w:ind w:left="17"/>
              <w:jc w:val="right"/>
              <w:rPr>
                <w:rFonts w:eastAsiaTheme="minorEastAsia"/>
                <w:color w:themeColor="text1" w:val="000000"/>
                <w:szCs w:val="21"/>
              </w:rPr>
            </w:pPr>
            <w:r w:rsidRPr="00B27A29">
              <w:rPr>
                <w:rFonts w:eastAsiaTheme="minorEastAsia"/>
                <w:color w:themeColor="text1" w:val="000000"/>
                <w:szCs w:val="21"/>
              </w:rPr>
              <w:t>11.74</w:t>
            </w:r>
          </w:p>
        </w:tc>
      </w:tr>
      <w:tr w14:paraId="3B628F07" w14:textId="77777777" w:rsidR="005E6DF3" w:rsidRPr="00B27A29">
        <w:tc>
          <w:tcPr>
            <w:tcW w:type="dxa" w:w="817"/>
            <w:vAlign w:val="center"/>
          </w:tcPr>
          <w:p w14:paraId="0DCE2CC5" w14:textId="77777777" w:rsidR="005E6DF3" w:rsidRDefault="005C671B" w:rsidRPr="00B27A29">
            <w:pPr>
              <w:spacing w:before="29" w:line="360" w:lineRule="auto"/>
              <w:ind w:left="17"/>
              <w:jc w:val="center"/>
              <w:rPr>
                <w:rFonts w:eastAsiaTheme="minorEastAsia"/>
                <w:color w:themeColor="text1" w:val="000000"/>
                <w:szCs w:val="21"/>
              </w:rPr>
            </w:pPr>
            <w:r w:rsidRPr="00B27A29">
              <w:rPr>
                <w:rFonts w:eastAsiaTheme="minorEastAsia"/>
                <w:color w:themeColor="text1" w:val="000000"/>
                <w:szCs w:val="21"/>
              </w:rPr>
              <w:t>4</w:t>
            </w:r>
          </w:p>
        </w:tc>
        <w:tc>
          <w:tcPr>
            <w:tcW w:type="dxa" w:w="3260"/>
            <w:vAlign w:val="center"/>
          </w:tcPr>
          <w:p w14:paraId="39982FF3" w14:textId="77777777" w:rsidR="005E6DF3" w:rsidRDefault="005C671B" w:rsidRPr="00B27A29">
            <w:pPr>
              <w:spacing w:before="29" w:line="360" w:lineRule="auto"/>
              <w:ind w:left="17"/>
              <w:jc w:val="left"/>
              <w:rPr>
                <w:rFonts w:eastAsiaTheme="minorEastAsia"/>
                <w:color w:themeColor="text1" w:val="000000"/>
                <w:szCs w:val="21"/>
              </w:rPr>
            </w:pPr>
            <w:r w:rsidRPr="00B27A29">
              <w:rPr>
                <w:rFonts w:eastAsiaTheme="minorEastAsia"/>
                <w:color w:themeColor="text1" w:val="000000"/>
                <w:szCs w:val="21"/>
              </w:rPr>
              <w:t>企业债券</w:t>
            </w:r>
          </w:p>
        </w:tc>
        <w:tc>
          <w:tcPr>
            <w:tcW w:type="dxa" w:w="2835"/>
            <w:vAlign w:val="center"/>
          </w:tcPr>
          <w:p w14:paraId="1E744177" w14:textId="77777777" w:rsidR="005E6DF3" w:rsidRDefault="005C671B" w:rsidRPr="00B27A29">
            <w:pPr>
              <w:spacing w:before="29" w:line="360" w:lineRule="auto"/>
              <w:ind w:left="17"/>
              <w:jc w:val="right"/>
              <w:rPr>
                <w:rFonts w:eastAsiaTheme="minorEastAsia"/>
                <w:color w:themeColor="text1" w:val="000000"/>
                <w:szCs w:val="21"/>
              </w:rPr>
            </w:pPr>
            <w:r w:rsidRPr="00B27A29">
              <w:rPr>
                <w:rFonts w:eastAsiaTheme="minorEastAsia"/>
                <w:color w:themeColor="text1" w:val="000000"/>
                <w:szCs w:val="21"/>
              </w:rPr>
              <w:t/>
            </w:r>
            <w:proofErr w:type="spellStart"/>
            <w:r w:rsidRPr="00B27A29">
              <w:rPr>
                <w:rFonts w:eastAsiaTheme="minorEastAsia"/>
                <w:color w:themeColor="text1" w:val="000000"/>
                <w:szCs w:val="21"/>
              </w:rPr>
              <w:t/>
            </w:r>
            <w:proofErr w:type="spellEnd"/>
            <w:r w:rsidRPr="00B27A29">
              <w:rPr>
                <w:rFonts w:eastAsiaTheme="minorEastAsia"/>
                <w:color w:themeColor="text1" w:val="000000"/>
                <w:szCs w:val="21"/>
              </w:rPr>
              <w:t>115,342,400.00</w:t>
            </w:r>
          </w:p>
        </w:tc>
        <w:tc>
          <w:tcPr>
            <w:tcW w:type="dxa" w:w="1616"/>
            <w:vAlign w:val="center"/>
          </w:tcPr>
          <w:p w14:paraId="6D0030F1" w14:textId="77777777" w:rsidR="005E6DF3" w:rsidRDefault="005C671B" w:rsidRPr="00B27A29">
            <w:pPr>
              <w:spacing w:before="29" w:line="360" w:lineRule="auto"/>
              <w:ind w:left="17"/>
              <w:jc w:val="right"/>
              <w:rPr>
                <w:rFonts w:eastAsiaTheme="minorEastAsia"/>
                <w:color w:themeColor="text1" w:val="000000"/>
                <w:szCs w:val="21"/>
              </w:rPr>
            </w:pPr>
            <w:r w:rsidRPr="00B27A29">
              <w:rPr>
                <w:rFonts w:eastAsiaTheme="minorEastAsia"/>
                <w:color w:themeColor="text1" w:val="000000"/>
                <w:szCs w:val="21"/>
              </w:rPr>
              <w:t/>
            </w:r>
            <w:proofErr w:type="spellStart"/>
            <w:r w:rsidRPr="00B27A29">
              <w:rPr>
                <w:rFonts w:eastAsiaTheme="minorEastAsia"/>
                <w:color w:themeColor="text1" w:val="000000"/>
                <w:szCs w:val="21"/>
              </w:rPr>
              <w:t/>
            </w:r>
            <w:proofErr w:type="spellEnd"/>
            <w:r w:rsidRPr="00B27A29">
              <w:rPr>
                <w:rFonts w:eastAsiaTheme="minorEastAsia"/>
                <w:color w:themeColor="text1" w:val="000000"/>
                <w:szCs w:val="21"/>
              </w:rPr>
              <w:t>67.06</w:t>
            </w:r>
          </w:p>
        </w:tc>
      </w:tr>
      <w:tr w14:paraId="60AB5E17" w14:textId="77777777" w:rsidR="005E6DF3" w:rsidRPr="00B27A29">
        <w:tc>
          <w:tcPr>
            <w:tcW w:type="dxa" w:w="817"/>
            <w:vAlign w:val="center"/>
          </w:tcPr>
          <w:p w14:paraId="4F15D496" w14:textId="77777777" w:rsidR="005E6DF3" w:rsidRDefault="005C671B" w:rsidRPr="00B27A29">
            <w:pPr>
              <w:spacing w:before="29" w:line="360" w:lineRule="auto"/>
              <w:ind w:left="17"/>
              <w:jc w:val="center"/>
              <w:rPr>
                <w:rFonts w:eastAsiaTheme="minorEastAsia"/>
                <w:color w:themeColor="text1" w:val="000000"/>
                <w:szCs w:val="21"/>
              </w:rPr>
            </w:pPr>
            <w:r w:rsidRPr="00B27A29">
              <w:rPr>
                <w:rFonts w:eastAsiaTheme="minorEastAsia"/>
                <w:color w:themeColor="text1" w:val="000000"/>
                <w:szCs w:val="21"/>
              </w:rPr>
              <w:t>5</w:t>
            </w:r>
          </w:p>
        </w:tc>
        <w:tc>
          <w:tcPr>
            <w:tcW w:type="dxa" w:w="3260"/>
            <w:vAlign w:val="center"/>
          </w:tcPr>
          <w:p w14:paraId="13895E8E" w14:textId="77777777" w:rsidR="005E6DF3" w:rsidRDefault="005C671B" w:rsidRPr="00B27A29">
            <w:pPr>
              <w:spacing w:before="29" w:line="360" w:lineRule="auto"/>
              <w:ind w:left="17"/>
              <w:jc w:val="left"/>
              <w:rPr>
                <w:rFonts w:eastAsiaTheme="minorEastAsia"/>
                <w:color w:themeColor="text1" w:val="000000"/>
                <w:szCs w:val="21"/>
              </w:rPr>
            </w:pPr>
            <w:r w:rsidRPr="00B27A29">
              <w:rPr>
                <w:rFonts w:eastAsiaTheme="minorEastAsia"/>
                <w:color w:themeColor="text1" w:val="000000"/>
                <w:szCs w:val="21"/>
              </w:rPr>
              <w:t>企业短期融资</w:t>
            </w:r>
            <w:proofErr w:type="gramStart"/>
            <w:r w:rsidRPr="00B27A29">
              <w:rPr>
                <w:rFonts w:eastAsiaTheme="minorEastAsia"/>
                <w:color w:themeColor="text1" w:val="000000"/>
                <w:szCs w:val="21"/>
              </w:rPr>
              <w:t>券</w:t>
            </w:r>
            <w:proofErr w:type="gramEnd"/>
          </w:p>
        </w:tc>
        <w:tc>
          <w:tcPr>
            <w:tcW w:type="dxa" w:w="2835"/>
            <w:vAlign w:val="center"/>
          </w:tcPr>
          <w:p w14:paraId="17FD1BD2" w14:textId="77777777" w:rsidR="005E6DF3" w:rsidRDefault="005C671B" w:rsidRPr="00B27A29">
            <w:pPr>
              <w:spacing w:before="29" w:line="360" w:lineRule="auto"/>
              <w:ind w:left="17"/>
              <w:jc w:val="right"/>
              <w:rPr>
                <w:rFonts w:eastAsiaTheme="minorEastAsia"/>
                <w:color w:themeColor="text1" w:val="000000"/>
                <w:szCs w:val="21"/>
              </w:rPr>
            </w:pPr>
            <w:r w:rsidRPr="00B27A29">
              <w:rPr>
                <w:rFonts w:eastAsiaTheme="minorEastAsia"/>
                <w:color w:themeColor="text1" w:val="000000"/>
                <w:szCs w:val="21"/>
              </w:rPr>
              <w:t/>
            </w:r>
            <w:proofErr w:type="spellStart"/>
            <w:r w:rsidRPr="00B27A29">
              <w:rPr>
                <w:rFonts w:eastAsiaTheme="minorEastAsia"/>
                <w:color w:themeColor="text1" w:val="000000"/>
                <w:szCs w:val="21"/>
              </w:rPr>
              <w:t/>
            </w:r>
            <w:proofErr w:type="spellEnd"/>
            <w:r w:rsidRPr="00B27A29">
              <w:rPr>
                <w:rFonts w:eastAsiaTheme="minorEastAsia"/>
                <w:color w:themeColor="text1" w:val="000000"/>
                <w:szCs w:val="21"/>
              </w:rPr>
              <w:t>-</w:t>
            </w:r>
          </w:p>
        </w:tc>
        <w:tc>
          <w:tcPr>
            <w:tcW w:type="dxa" w:w="1616"/>
            <w:vAlign w:val="center"/>
          </w:tcPr>
          <w:p w14:paraId="6420FD89" w14:textId="77777777" w:rsidR="005E6DF3" w:rsidRDefault="005C671B" w:rsidRPr="00B27A29">
            <w:pPr>
              <w:spacing w:before="29" w:line="360" w:lineRule="auto"/>
              <w:ind w:left="17"/>
              <w:jc w:val="right"/>
              <w:rPr>
                <w:rFonts w:eastAsiaTheme="minorEastAsia"/>
                <w:color w:themeColor="text1" w:val="000000"/>
                <w:szCs w:val="21"/>
              </w:rPr>
            </w:pPr>
            <w:r w:rsidRPr="00B27A29">
              <w:rPr>
                <w:rFonts w:eastAsiaTheme="minorEastAsia"/>
                <w:color w:themeColor="text1" w:val="000000"/>
                <w:szCs w:val="21"/>
              </w:rPr>
              <w:t>-</w:t>
            </w:r>
          </w:p>
        </w:tc>
      </w:tr>
      <w:tr w14:paraId="009E8B1B" w14:textId="77777777" w:rsidR="005E6DF3" w:rsidRPr="00B27A29">
        <w:tc>
          <w:tcPr>
            <w:tcW w:type="dxa" w:w="817"/>
            <w:vAlign w:val="center"/>
          </w:tcPr>
          <w:p w14:paraId="294572B8" w14:textId="77777777" w:rsidR="005E6DF3" w:rsidRDefault="005C671B" w:rsidRPr="00B27A29">
            <w:pPr>
              <w:spacing w:before="29" w:line="360" w:lineRule="auto"/>
              <w:ind w:left="17"/>
              <w:jc w:val="center"/>
              <w:rPr>
                <w:rFonts w:eastAsiaTheme="minorEastAsia"/>
                <w:color w:themeColor="text1" w:val="000000"/>
                <w:szCs w:val="21"/>
              </w:rPr>
            </w:pPr>
            <w:r w:rsidRPr="00B27A29">
              <w:rPr>
                <w:rFonts w:eastAsiaTheme="minorEastAsia"/>
                <w:color w:themeColor="text1" w:val="000000"/>
                <w:szCs w:val="21"/>
              </w:rPr>
              <w:t>6</w:t>
            </w:r>
          </w:p>
        </w:tc>
        <w:tc>
          <w:tcPr>
            <w:tcW w:type="dxa" w:w="3260"/>
            <w:vAlign w:val="center"/>
          </w:tcPr>
          <w:p w14:paraId="684ED8EE" w14:textId="77777777" w:rsidR="005E6DF3" w:rsidRDefault="005C671B" w:rsidRPr="00B27A29">
            <w:pPr>
              <w:spacing w:before="29" w:line="360" w:lineRule="auto"/>
              <w:ind w:left="17"/>
              <w:jc w:val="left"/>
              <w:rPr>
                <w:rFonts w:eastAsiaTheme="minorEastAsia"/>
                <w:color w:themeColor="text1" w:val="000000"/>
                <w:szCs w:val="21"/>
              </w:rPr>
            </w:pPr>
            <w:r w:rsidRPr="00B27A29">
              <w:rPr>
                <w:rFonts w:eastAsiaTheme="minorEastAsia"/>
                <w:color w:themeColor="text1" w:val="000000"/>
                <w:szCs w:val="21"/>
              </w:rPr>
              <w:t>中期票据</w:t>
            </w:r>
          </w:p>
        </w:tc>
        <w:tc>
          <w:tcPr>
            <w:tcW w:type="dxa" w:w="2835"/>
            <w:vAlign w:val="center"/>
          </w:tcPr>
          <w:p w14:paraId="33E5055E" w14:textId="77777777" w:rsidR="005E6DF3" w:rsidRDefault="005C671B" w:rsidRPr="00B27A29">
            <w:pPr>
              <w:spacing w:before="29" w:line="360" w:lineRule="auto"/>
              <w:ind w:left="17"/>
              <w:jc w:val="right"/>
              <w:rPr>
                <w:rFonts w:eastAsiaTheme="minorEastAsia"/>
                <w:color w:themeColor="text1" w:val="000000"/>
                <w:szCs w:val="21"/>
              </w:rPr>
            </w:pPr>
            <w:r w:rsidRPr="00B27A29">
              <w:rPr>
                <w:rFonts w:eastAsiaTheme="minorEastAsia"/>
                <w:color w:themeColor="text1" w:val="000000"/>
                <w:szCs w:val="21"/>
              </w:rPr>
              <w:t/>
            </w:r>
            <w:proofErr w:type="spellStart"/>
            <w:r w:rsidRPr="00B27A29">
              <w:rPr>
                <w:rFonts w:eastAsiaTheme="minorEastAsia"/>
                <w:color w:themeColor="text1" w:val="000000"/>
                <w:szCs w:val="21"/>
              </w:rPr>
              <w:t/>
            </w:r>
            <w:proofErr w:type="spellEnd"/>
            <w:r w:rsidRPr="00B27A29">
              <w:rPr>
                <w:rFonts w:eastAsiaTheme="minorEastAsia"/>
                <w:color w:themeColor="text1" w:val="000000"/>
                <w:szCs w:val="21"/>
              </w:rPr>
              <w:t>60,413,000.00</w:t>
            </w:r>
          </w:p>
        </w:tc>
        <w:tc>
          <w:tcPr>
            <w:tcW w:type="dxa" w:w="1616"/>
            <w:vAlign w:val="center"/>
          </w:tcPr>
          <w:p w14:paraId="740BB7FE" w14:textId="77777777" w:rsidR="005E6DF3" w:rsidRDefault="005C671B" w:rsidRPr="00B27A29">
            <w:pPr>
              <w:spacing w:before="29" w:line="360" w:lineRule="auto"/>
              <w:ind w:left="17"/>
              <w:jc w:val="right"/>
              <w:rPr>
                <w:rFonts w:eastAsiaTheme="minorEastAsia"/>
                <w:color w:themeColor="text1" w:val="000000"/>
                <w:szCs w:val="21"/>
              </w:rPr>
            </w:pPr>
            <w:r w:rsidRPr="00B27A29">
              <w:rPr>
                <w:rFonts w:eastAsiaTheme="minorEastAsia"/>
                <w:color w:themeColor="text1" w:val="000000"/>
                <w:szCs w:val="21"/>
              </w:rPr>
              <w:t/>
            </w:r>
            <w:r w:rsidRPr="00B27A29">
              <w:rPr>
                <w:rFonts w:eastAsiaTheme="minorEastAsia"/>
                <w:color w:themeColor="text1" w:val="000000"/>
                <w:szCs w:val="21"/>
              </w:rPr>
              <w:lastRenderedPageBreak/>
              <w:t>35.12</w:t>
            </w:r>
          </w:p>
        </w:tc>
      </w:tr>
      <w:tr w14:paraId="30D4566E" w14:textId="77777777" w:rsidR="005E6DF3" w:rsidRPr="00B27A29">
        <w:tc>
          <w:tcPr>
            <w:tcW w:type="dxa" w:w="817"/>
            <w:vAlign w:val="center"/>
          </w:tcPr>
          <w:p w14:paraId="5D4B39CA" w14:textId="77777777" w:rsidR="005E6DF3" w:rsidRDefault="005C671B" w:rsidRPr="00B27A29">
            <w:pPr>
              <w:spacing w:before="29" w:line="360" w:lineRule="auto"/>
              <w:ind w:left="17"/>
              <w:jc w:val="center"/>
              <w:rPr>
                <w:rFonts w:eastAsiaTheme="minorEastAsia"/>
                <w:color w:themeColor="text1" w:val="000000"/>
                <w:szCs w:val="21"/>
              </w:rPr>
            </w:pPr>
            <w:r w:rsidRPr="00B27A29">
              <w:rPr>
                <w:rFonts w:eastAsiaTheme="minorEastAsia"/>
                <w:color w:themeColor="text1" w:val="000000"/>
                <w:szCs w:val="21"/>
              </w:rPr>
              <w:lastRenderedPageBreak/>
              <w:t>7</w:t>
            </w:r>
          </w:p>
        </w:tc>
        <w:tc>
          <w:tcPr>
            <w:tcW w:type="dxa" w:w="3260"/>
            <w:vAlign w:val="center"/>
          </w:tcPr>
          <w:p w14:paraId="29F4CFF4" w14:textId="77777777" w:rsidR="005E6DF3" w:rsidRDefault="005C671B" w:rsidRPr="00B27A29">
            <w:pPr>
              <w:spacing w:before="29" w:line="360" w:lineRule="auto"/>
              <w:ind w:left="17"/>
              <w:jc w:val="left"/>
              <w:rPr>
                <w:rFonts w:eastAsiaTheme="minorEastAsia"/>
                <w:color w:themeColor="text1" w:val="000000"/>
                <w:szCs w:val="21"/>
              </w:rPr>
            </w:pPr>
            <w:r w:rsidRPr="00B27A29">
              <w:rPr>
                <w:rFonts w:eastAsiaTheme="minorEastAsia"/>
                <w:color w:themeColor="text1" w:val="000000"/>
                <w:szCs w:val="21"/>
              </w:rPr>
              <w:t>可转债（可交换债）</w:t>
            </w:r>
          </w:p>
        </w:tc>
        <w:tc>
          <w:tcPr>
            <w:tcW w:type="dxa" w:w="2835"/>
            <w:vAlign w:val="center"/>
          </w:tcPr>
          <w:p w14:paraId="2FDA9337" w14:textId="77777777" w:rsidR="005E6DF3" w:rsidRDefault="005C671B" w:rsidRPr="00B27A29">
            <w:pPr>
              <w:spacing w:before="29" w:line="360" w:lineRule="auto"/>
              <w:ind w:left="17"/>
              <w:jc w:val="right"/>
              <w:rPr>
                <w:rFonts w:eastAsiaTheme="minorEastAsia"/>
                <w:color w:themeColor="text1" w:val="000000"/>
                <w:szCs w:val="21"/>
              </w:rPr>
            </w:pPr>
            <w:r w:rsidRPr="00B27A29">
              <w:rPr>
                <w:rFonts w:eastAsiaTheme="minorEastAsia"/>
                <w:color w:themeColor="text1" w:val="000000"/>
                <w:szCs w:val="21"/>
              </w:rPr>
              <w:t/>
            </w:r>
            <w:proofErr w:type="spellStart"/>
            <w:r w:rsidRPr="00B27A29">
              <w:rPr>
                <w:rFonts w:eastAsiaTheme="minorEastAsia"/>
                <w:color w:themeColor="text1" w:val="000000"/>
                <w:szCs w:val="21"/>
              </w:rPr>
              <w:t/>
            </w:r>
            <w:proofErr w:type="spellEnd"/>
            <w:r w:rsidRPr="00B27A29">
              <w:rPr>
                <w:rFonts w:eastAsiaTheme="minorEastAsia"/>
                <w:color w:themeColor="text1" w:val="000000"/>
                <w:szCs w:val="21"/>
              </w:rPr>
              <w:t>-</w:t>
            </w:r>
          </w:p>
        </w:tc>
        <w:tc>
          <w:tcPr>
            <w:tcW w:type="dxa" w:w="1616"/>
            <w:vAlign w:val="center"/>
          </w:tcPr>
          <w:p w14:paraId="6F4E7B12" w14:textId="77777777" w:rsidR="005E6DF3" w:rsidRDefault="005C671B" w:rsidRPr="00B27A29">
            <w:pPr>
              <w:spacing w:before="29" w:line="360" w:lineRule="auto"/>
              <w:ind w:left="17"/>
              <w:jc w:val="right"/>
              <w:rPr>
                <w:rFonts w:eastAsiaTheme="minorEastAsia"/>
                <w:color w:themeColor="text1" w:val="000000"/>
                <w:szCs w:val="21"/>
              </w:rPr>
            </w:pPr>
            <w:r w:rsidRPr="00B27A29">
              <w:rPr>
                <w:rFonts w:eastAsiaTheme="minorEastAsia"/>
                <w:color w:themeColor="text1" w:val="000000"/>
                <w:szCs w:val="21"/>
              </w:rPr>
              <w:t/>
            </w:r>
            <w:proofErr w:type="spellStart"/>
            <w:r w:rsidRPr="00B27A29">
              <w:rPr>
                <w:rFonts w:eastAsiaTheme="minorEastAsia"/>
                <w:color w:themeColor="text1" w:val="000000"/>
                <w:szCs w:val="21"/>
              </w:rPr>
              <w:t/>
            </w:r>
            <w:proofErr w:type="spellEnd"/>
            <w:r w:rsidRPr="00B27A29">
              <w:rPr>
                <w:rFonts w:eastAsiaTheme="minorEastAsia"/>
                <w:color w:themeColor="text1" w:val="000000"/>
                <w:szCs w:val="21"/>
              </w:rPr>
              <w:t>-</w:t>
            </w:r>
          </w:p>
        </w:tc>
      </w:tr>
      <w:tr w14:paraId="02948309" w14:textId="77777777" w:rsidR="005E6DF3" w:rsidRPr="00B27A29">
        <w:tc>
          <w:tcPr>
            <w:tcW w:type="dxa" w:w="817"/>
            <w:vAlign w:val="center"/>
          </w:tcPr>
          <w:p w14:paraId="5D047B39" w14:textId="77777777" w:rsidR="005E6DF3" w:rsidRDefault="005C671B" w:rsidRPr="00B27A29">
            <w:pPr>
              <w:spacing w:before="29" w:line="360" w:lineRule="auto"/>
              <w:ind w:left="17"/>
              <w:jc w:val="center"/>
              <w:rPr>
                <w:rFonts w:eastAsiaTheme="minorEastAsia"/>
                <w:color w:themeColor="text1" w:val="000000"/>
                <w:szCs w:val="21"/>
              </w:rPr>
            </w:pPr>
            <w:r w:rsidRPr="00B27A29">
              <w:rPr>
                <w:rFonts w:eastAsiaTheme="minorEastAsia"/>
                <w:color w:themeColor="text1" w:val="000000"/>
                <w:szCs w:val="21"/>
              </w:rPr>
              <w:t>8</w:t>
            </w:r>
          </w:p>
        </w:tc>
        <w:tc>
          <w:tcPr>
            <w:tcW w:type="dxa" w:w="3260"/>
            <w:vAlign w:val="center"/>
          </w:tcPr>
          <w:p w14:paraId="0FF81B91" w14:textId="77777777" w:rsidR="005E6DF3" w:rsidRDefault="005C671B" w:rsidRPr="00B27A29">
            <w:pPr>
              <w:spacing w:before="29" w:line="360" w:lineRule="auto"/>
              <w:ind w:left="17"/>
              <w:jc w:val="left"/>
              <w:rPr>
                <w:rFonts w:eastAsiaTheme="minorEastAsia"/>
                <w:color w:themeColor="text1" w:val="000000"/>
                <w:szCs w:val="21"/>
              </w:rPr>
            </w:pPr>
            <w:r w:rsidRPr="00B27A29">
              <w:rPr>
                <w:rFonts w:eastAsiaTheme="minorEastAsia"/>
                <w:color w:themeColor="text1" w:val="000000"/>
                <w:szCs w:val="21"/>
              </w:rPr>
              <w:t>同业存单</w:t>
            </w:r>
          </w:p>
        </w:tc>
        <w:tc>
          <w:tcPr>
            <w:tcW w:type="dxa" w:w="2835"/>
            <w:vAlign w:val="center"/>
          </w:tcPr>
          <w:p w14:paraId="3C4645B2" w14:textId="77777777" w:rsidR="005E6DF3" w:rsidRDefault="005C671B" w:rsidRPr="00B27A29">
            <w:pPr>
              <w:spacing w:before="29" w:line="360" w:lineRule="auto"/>
              <w:ind w:left="17"/>
              <w:jc w:val="right"/>
              <w:rPr>
                <w:rFonts w:eastAsiaTheme="minorEastAsia"/>
                <w:color w:themeColor="text1" w:val="000000"/>
                <w:szCs w:val="21"/>
              </w:rPr>
            </w:pPr>
            <w:r w:rsidRPr="00B27A29">
              <w:rPr>
                <w:rFonts w:eastAsiaTheme="minorEastAsia"/>
                <w:color w:themeColor="text1" w:val="000000"/>
                <w:szCs w:val="21"/>
              </w:rPr>
              <w:t/>
            </w:r>
            <w:proofErr w:type="spellStart"/>
            <w:r w:rsidRPr="00B27A29">
              <w:rPr>
                <w:rFonts w:eastAsiaTheme="minorEastAsia"/>
                <w:color w:themeColor="text1" w:val="000000"/>
                <w:szCs w:val="21"/>
              </w:rPr>
              <w:t/>
            </w:r>
            <w:proofErr w:type="spellEnd"/>
            <w:r w:rsidRPr="00B27A29">
              <w:rPr>
                <w:rFonts w:eastAsiaTheme="minorEastAsia"/>
                <w:color w:themeColor="text1" w:val="000000"/>
                <w:szCs w:val="21"/>
              </w:rPr>
              <w:t>9,723,000.00</w:t>
            </w:r>
          </w:p>
        </w:tc>
        <w:tc>
          <w:tcPr>
            <w:tcW w:type="dxa" w:w="1616"/>
            <w:vAlign w:val="center"/>
          </w:tcPr>
          <w:p w14:paraId="6EEC8418" w14:textId="77777777" w:rsidR="005E6DF3" w:rsidRDefault="005C671B" w:rsidRPr="00B27A29">
            <w:pPr>
              <w:spacing w:before="29" w:line="360" w:lineRule="auto"/>
              <w:ind w:left="17"/>
              <w:jc w:val="right"/>
              <w:rPr>
                <w:rFonts w:eastAsiaTheme="minorEastAsia"/>
                <w:color w:themeColor="text1" w:val="000000"/>
                <w:szCs w:val="21"/>
              </w:rPr>
            </w:pPr>
            <w:r w:rsidRPr="00B27A29">
              <w:rPr>
                <w:rFonts w:eastAsiaTheme="minorEastAsia"/>
                <w:color w:themeColor="text1" w:val="000000"/>
                <w:szCs w:val="21"/>
              </w:rPr>
              <w:t/>
            </w:r>
            <w:proofErr w:type="spellStart"/>
            <w:r w:rsidRPr="00B27A29">
              <w:rPr>
                <w:rFonts w:eastAsiaTheme="minorEastAsia"/>
                <w:color w:themeColor="text1" w:val="000000"/>
                <w:szCs w:val="21"/>
              </w:rPr>
              <w:t/>
            </w:r>
            <w:proofErr w:type="spellEnd"/>
            <w:r w:rsidRPr="00B27A29">
              <w:rPr>
                <w:rFonts w:eastAsiaTheme="minorEastAsia"/>
                <w:color w:themeColor="text1" w:val="000000"/>
                <w:szCs w:val="21"/>
              </w:rPr>
              <w:t>5.65</w:t>
            </w:r>
          </w:p>
        </w:tc>
      </w:tr>
      <w:tr w14:paraId="12A79444" w14:textId="77777777" w:rsidR="005E6DF3" w:rsidRPr="00B27A29">
        <w:tc>
          <w:tcPr>
            <w:tcW w:type="dxa" w:w="817"/>
            <w:vAlign w:val="center"/>
          </w:tcPr>
          <w:p w14:paraId="7D1F0FA3" w14:textId="77777777" w:rsidR="005E6DF3" w:rsidRDefault="005C671B" w:rsidRPr="00B27A29">
            <w:pPr>
              <w:spacing w:before="29" w:line="360" w:lineRule="auto"/>
              <w:ind w:left="17"/>
              <w:jc w:val="center"/>
              <w:rPr>
                <w:rFonts w:eastAsiaTheme="minorEastAsia"/>
                <w:color w:themeColor="text1" w:val="000000"/>
                <w:szCs w:val="21"/>
              </w:rPr>
            </w:pPr>
            <w:r w:rsidRPr="00B27A29">
              <w:rPr>
                <w:rFonts w:eastAsiaTheme="minorEastAsia"/>
                <w:color w:themeColor="text1" w:val="000000"/>
                <w:szCs w:val="21"/>
              </w:rPr>
              <w:t>9</w:t>
            </w:r>
          </w:p>
        </w:tc>
        <w:tc>
          <w:tcPr>
            <w:tcW w:type="dxa" w:w="3260"/>
            <w:vAlign w:val="center"/>
          </w:tcPr>
          <w:p w14:paraId="2BA7E810" w14:textId="77777777" w:rsidR="005E6DF3" w:rsidRDefault="005C671B" w:rsidRPr="00B27A29">
            <w:pPr>
              <w:spacing w:before="29" w:line="360" w:lineRule="auto"/>
              <w:ind w:left="17"/>
              <w:jc w:val="left"/>
              <w:rPr>
                <w:rFonts w:eastAsiaTheme="minorEastAsia"/>
                <w:color w:themeColor="text1" w:val="000000"/>
                <w:szCs w:val="21"/>
              </w:rPr>
            </w:pPr>
            <w:r w:rsidRPr="00B27A29">
              <w:rPr>
                <w:rFonts w:eastAsiaTheme="minorEastAsia"/>
                <w:color w:themeColor="text1" w:val="000000"/>
                <w:szCs w:val="21"/>
              </w:rPr>
              <w:t>其他</w:t>
            </w:r>
          </w:p>
        </w:tc>
        <w:tc>
          <w:tcPr>
            <w:tcW w:type="dxa" w:w="2835"/>
            <w:vAlign w:val="center"/>
          </w:tcPr>
          <w:p w14:paraId="637E6D6D" w14:textId="77777777" w:rsidR="005E6DF3" w:rsidRDefault="005C671B" w:rsidRPr="00B27A29">
            <w:pPr>
              <w:spacing w:before="29" w:line="360" w:lineRule="auto"/>
              <w:ind w:left="17"/>
              <w:jc w:val="right"/>
              <w:rPr>
                <w:rFonts w:eastAsiaTheme="minorEastAsia"/>
                <w:color w:themeColor="text1" w:val="000000"/>
                <w:szCs w:val="21"/>
              </w:rPr>
            </w:pPr>
            <w:r w:rsidRPr="00B27A29">
              <w:rPr>
                <w:rFonts w:eastAsiaTheme="minorEastAsia"/>
                <w:color w:themeColor="text1" w:val="000000"/>
                <w:szCs w:val="21"/>
              </w:rPr>
              <w:t/>
            </w:r>
            <w:proofErr w:type="spellStart"/>
            <w:r w:rsidRPr="00B27A29">
              <w:rPr>
                <w:rFonts w:eastAsiaTheme="minorEastAsia"/>
                <w:color w:themeColor="text1" w:val="000000"/>
                <w:szCs w:val="21"/>
              </w:rPr>
              <w:t/>
            </w:r>
            <w:proofErr w:type="spellEnd"/>
            <w:r w:rsidRPr="00B27A29">
              <w:rPr>
                <w:rFonts w:eastAsiaTheme="minorEastAsia"/>
                <w:color w:themeColor="text1" w:val="000000"/>
                <w:szCs w:val="21"/>
              </w:rPr>
              <w:t>-</w:t>
            </w:r>
          </w:p>
        </w:tc>
        <w:tc>
          <w:tcPr>
            <w:tcW w:type="dxa" w:w="1616"/>
            <w:vAlign w:val="center"/>
          </w:tcPr>
          <w:p w14:paraId="0438D09C" w14:textId="77777777" w:rsidR="005E6DF3" w:rsidRDefault="005C671B" w:rsidRPr="00B27A29">
            <w:pPr>
              <w:spacing w:before="29" w:line="360" w:lineRule="auto"/>
              <w:ind w:left="17"/>
              <w:jc w:val="right"/>
              <w:rPr>
                <w:rFonts w:eastAsiaTheme="minorEastAsia"/>
                <w:color w:themeColor="text1" w:val="000000"/>
                <w:szCs w:val="21"/>
              </w:rPr>
            </w:pPr>
            <w:r w:rsidRPr="00B27A29">
              <w:rPr>
                <w:rFonts w:eastAsiaTheme="minorEastAsia"/>
                <w:color w:themeColor="text1" w:val="000000"/>
                <w:szCs w:val="21"/>
              </w:rPr>
              <w:t/>
            </w:r>
            <w:proofErr w:type="spellStart"/>
            <w:r w:rsidRPr="00B27A29">
              <w:rPr>
                <w:rFonts w:eastAsiaTheme="minorEastAsia"/>
                <w:color w:themeColor="text1" w:val="000000"/>
                <w:szCs w:val="21"/>
              </w:rPr>
              <w:t/>
            </w:r>
            <w:proofErr w:type="spellEnd"/>
            <w:r w:rsidRPr="00B27A29">
              <w:rPr>
                <w:rFonts w:eastAsiaTheme="minorEastAsia"/>
                <w:color w:themeColor="text1" w:val="000000"/>
                <w:szCs w:val="21"/>
              </w:rPr>
              <w:t>-</w:t>
            </w:r>
          </w:p>
        </w:tc>
      </w:tr>
      <w:tr w14:paraId="023F6C06" w14:textId="77777777" w:rsidR="005E6DF3" w:rsidRPr="00B27A29">
        <w:tc>
          <w:tcPr>
            <w:tcW w:type="dxa" w:w="817"/>
            <w:vAlign w:val="center"/>
          </w:tcPr>
          <w:p w14:paraId="41EFB2E5" w14:textId="77777777" w:rsidR="005E6DF3" w:rsidRDefault="005C671B" w:rsidRPr="00B27A29">
            <w:pPr>
              <w:spacing w:before="29" w:line="360" w:lineRule="auto"/>
              <w:ind w:left="17"/>
              <w:jc w:val="center"/>
              <w:rPr>
                <w:rFonts w:eastAsiaTheme="minorEastAsia"/>
                <w:color w:themeColor="text1" w:val="000000"/>
                <w:szCs w:val="21"/>
              </w:rPr>
            </w:pPr>
            <w:r w:rsidRPr="00B27A29">
              <w:rPr>
                <w:rFonts w:eastAsiaTheme="minorEastAsia"/>
                <w:color w:themeColor="text1" w:val="000000"/>
                <w:szCs w:val="21"/>
              </w:rPr>
              <w:t>10</w:t>
            </w:r>
          </w:p>
        </w:tc>
        <w:tc>
          <w:tcPr>
            <w:tcW w:type="dxa" w:w="3260"/>
            <w:vAlign w:val="center"/>
          </w:tcPr>
          <w:p w14:paraId="23AECBE4" w14:textId="77777777" w:rsidR="005E6DF3" w:rsidRDefault="005C671B" w:rsidRPr="00B27A29">
            <w:pPr>
              <w:spacing w:before="29" w:line="360" w:lineRule="auto"/>
              <w:ind w:left="17"/>
              <w:jc w:val="left"/>
              <w:rPr>
                <w:rFonts w:eastAsiaTheme="minorEastAsia"/>
                <w:color w:themeColor="text1" w:val="000000"/>
                <w:szCs w:val="21"/>
              </w:rPr>
            </w:pPr>
            <w:r w:rsidRPr="00B27A29">
              <w:rPr>
                <w:rFonts w:eastAsiaTheme="minorEastAsia"/>
                <w:color w:themeColor="text1" w:val="000000"/>
                <w:szCs w:val="21"/>
              </w:rPr>
              <w:t>合计</w:t>
            </w:r>
          </w:p>
        </w:tc>
        <w:tc>
          <w:tcPr>
            <w:tcW w:type="dxa" w:w="2835"/>
            <w:vAlign w:val="center"/>
          </w:tcPr>
          <w:p w14:paraId="03D0B55C" w14:textId="77777777" w:rsidR="005E6DF3" w:rsidRDefault="005C671B" w:rsidRPr="00B27A29">
            <w:pPr>
              <w:spacing w:before="29" w:line="360" w:lineRule="auto"/>
              <w:ind w:left="17"/>
              <w:jc w:val="right"/>
              <w:rPr>
                <w:rFonts w:eastAsiaTheme="minorEastAsia"/>
                <w:color w:themeColor="text1" w:val="000000"/>
                <w:szCs w:val="21"/>
              </w:rPr>
            </w:pPr>
            <w:r w:rsidRPr="00B27A29">
              <w:rPr>
                <w:rFonts w:eastAsiaTheme="minorEastAsia"/>
                <w:color w:themeColor="text1" w:val="000000"/>
                <w:szCs w:val="21"/>
              </w:rPr>
              <w:t/>
            </w:r>
            <w:proofErr w:type="spellStart"/>
            <w:r w:rsidRPr="00B27A29">
              <w:rPr>
                <w:rFonts w:eastAsiaTheme="minorEastAsia"/>
                <w:color w:themeColor="text1" w:val="000000"/>
                <w:szCs w:val="21"/>
              </w:rPr>
              <w:t/>
            </w:r>
            <w:proofErr w:type="spellEnd"/>
            <w:r w:rsidRPr="00B27A29">
              <w:rPr>
                <w:rFonts w:eastAsiaTheme="minorEastAsia"/>
                <w:color w:themeColor="text1" w:val="000000"/>
                <w:szCs w:val="21"/>
              </w:rPr>
              <w:t>226,474,600.00</w:t>
            </w:r>
          </w:p>
        </w:tc>
        <w:tc>
          <w:tcPr>
            <w:tcW w:type="dxa" w:w="1616"/>
            <w:vAlign w:val="center"/>
          </w:tcPr>
          <w:p w14:paraId="78CA417E" w14:textId="77777777" w:rsidR="005E6DF3" w:rsidRDefault="005C671B" w:rsidRPr="00B27A29">
            <w:pPr>
              <w:spacing w:before="29" w:line="360" w:lineRule="auto"/>
              <w:ind w:left="17"/>
              <w:jc w:val="right"/>
              <w:rPr>
                <w:rFonts w:eastAsiaTheme="minorEastAsia"/>
                <w:color w:themeColor="text1" w:val="000000"/>
                <w:szCs w:val="21"/>
              </w:rPr>
            </w:pPr>
            <w:r w:rsidRPr="00B27A29">
              <w:rPr>
                <w:rFonts w:eastAsiaTheme="minorEastAsia"/>
                <w:color w:themeColor="text1" w:val="000000"/>
                <w:szCs w:val="21"/>
              </w:rPr>
              <w:t/>
            </w:r>
            <w:proofErr w:type="spellStart"/>
            <w:r w:rsidRPr="00B27A29">
              <w:rPr>
                <w:rFonts w:eastAsiaTheme="minorEastAsia"/>
                <w:color w:themeColor="text1" w:val="000000"/>
                <w:szCs w:val="21"/>
              </w:rPr>
              <w:t/>
            </w:r>
            <w:r w:rsidRPr="00B27A29">
              <w:rPr>
                <w:rFonts w:eastAsiaTheme="minorEastAsia"/>
                <w:color w:themeColor="text1" w:val="000000"/>
                <w:szCs w:val="21"/>
              </w:rPr>
              <w:lastRenderedPageBreak/>
              <w:t/>
            </w:r>
            <w:proofErr w:type="spellEnd"/>
            <w:r w:rsidRPr="00B27A29">
              <w:rPr>
                <w:rFonts w:eastAsiaTheme="minorEastAsia"/>
                <w:color w:themeColor="text1" w:val="000000"/>
                <w:szCs w:val="21"/>
              </w:rPr>
              <w:t>131.66</w:t>
            </w:r>
          </w:p>
        </w:tc>
      </w:tr>
    </w:tbl>
    <w:p w14:paraId="1D62EA92" w14:textId="77777777" w:rsidR="005E6DF3" w:rsidRDefault="005C671B" w:rsidRPr="00B27A29">
      <w:pPr>
        <w:autoSpaceDE w:val="0"/>
        <w:autoSpaceDN w:val="0"/>
        <w:adjustRightInd w:val="0"/>
        <w:spacing w:before="312" w:beforeLines="100" w:line="360" w:lineRule="auto"/>
        <w:jc w:val="left"/>
        <w:rPr>
          <w:rFonts w:eastAsiaTheme="minorEastAsia"/>
          <w:b/>
          <w:color w:themeColor="text1" w:val="000000"/>
          <w:kern w:val="0"/>
          <w:szCs w:val="21"/>
        </w:rPr>
      </w:pPr>
      <w:r w:rsidRPr="00B27A29">
        <w:rPr>
          <w:rFonts w:eastAsiaTheme="minorEastAsia"/>
          <w:b/>
          <w:color w:themeColor="text1" w:val="000000"/>
          <w:kern w:val="0"/>
          <w:szCs w:val="21"/>
        </w:rPr>
        <w:t xml:space="preserve">5.5 </w:t>
      </w:r>
      <w:r w:rsidRPr="00B27A29">
        <w:rPr>
          <w:rFonts w:eastAsiaTheme="minorEastAsia"/>
          <w:b/>
          <w:color w:themeColor="text1" w:val="000000"/>
          <w:kern w:val="0"/>
          <w:szCs w:val="21"/>
        </w:rPr>
        <w:t>报告期末按公允价值占基金资产净值比例大小排序的前五名债券投资明细</w:t>
      </w:r>
    </w:p>
    <w:tbl>
      <w:tblPr>
        <w:tblStyle w:val="afa"/>
        <w:tblW w:type="dxa" w:w="9021"/>
        <w:tblInd w:type="dxa" w:w="108"/>
        <w:tblLayout w:type="fixed"/>
        <w:tblLook w:firstColumn="1" w:firstRow="1" w:lastColumn="0" w:lastRow="0" w:noHBand="0" w:noVBand="1" w:val="04A0"/>
      </w:tblPr>
      <w:tblGrid>
        <w:gridCol w:w="1504"/>
        <w:gridCol w:w="1504"/>
        <w:gridCol w:w="1504"/>
        <w:gridCol w:w="1503"/>
        <w:gridCol w:w="1503"/>
        <w:gridCol w:w="1503"/>
      </w:tblGrid>
      <w:tr w14:paraId="35C5C2DA" w14:textId="77777777" w:rsidR="005E6DF3" w:rsidRPr="00B27A29">
        <w:tc>
          <w:tcPr>
            <w:tcW w:type="dxa" w:w="1504"/>
            <w:vAlign w:val="center"/>
          </w:tcPr>
          <w:p w14:paraId="76CDADF7" w14:textId="77777777" w:rsidR="005E6DF3" w:rsidRDefault="005C671B" w:rsidRPr="00B27A29">
            <w:pPr>
              <w:autoSpaceDE w:val="0"/>
              <w:autoSpaceDN w:val="0"/>
              <w:adjustRightInd w:val="0"/>
              <w:spacing w:before="29" w:line="288" w:lineRule="auto"/>
              <w:ind w:left="15"/>
              <w:jc w:val="center"/>
              <w:rPr>
                <w:rFonts w:eastAsiaTheme="minorEastAsia"/>
                <w:color w:themeColor="text1" w:val="000000"/>
                <w:kern w:val="0"/>
                <w:szCs w:val="21"/>
              </w:rPr>
            </w:pPr>
            <w:r w:rsidRPr="00B27A29">
              <w:rPr>
                <w:rFonts w:eastAsiaTheme="minorEastAsia"/>
                <w:color w:themeColor="text1" w:val="000000"/>
                <w:kern w:val="0"/>
                <w:szCs w:val="21"/>
              </w:rPr>
              <w:t>序号</w:t>
            </w:r>
          </w:p>
        </w:tc>
        <w:tc>
          <w:tcPr>
            <w:tcW w:type="dxa" w:w="1504"/>
            <w:vAlign w:val="center"/>
          </w:tcPr>
          <w:p w14:paraId="4B97CF25" w14:textId="77777777" w:rsidR="005E6DF3" w:rsidRDefault="005C671B" w:rsidRPr="00B27A29">
            <w:pPr>
              <w:autoSpaceDE w:val="0"/>
              <w:autoSpaceDN w:val="0"/>
              <w:adjustRightInd w:val="0"/>
              <w:spacing w:before="29" w:line="288" w:lineRule="auto"/>
              <w:ind w:left="15"/>
              <w:jc w:val="center"/>
              <w:rPr>
                <w:rFonts w:eastAsiaTheme="minorEastAsia"/>
                <w:color w:themeColor="text1" w:val="000000"/>
                <w:kern w:val="0"/>
                <w:szCs w:val="21"/>
              </w:rPr>
            </w:pPr>
            <w:r w:rsidRPr="00B27A29">
              <w:rPr>
                <w:rFonts w:eastAsiaTheme="minorEastAsia"/>
                <w:color w:themeColor="text1" w:val="000000"/>
                <w:kern w:val="0"/>
                <w:szCs w:val="21"/>
              </w:rPr>
              <w:t>债券代码</w:t>
            </w:r>
          </w:p>
        </w:tc>
        <w:tc>
          <w:tcPr>
            <w:tcW w:type="dxa" w:w="1504"/>
            <w:vAlign w:val="center"/>
          </w:tcPr>
          <w:p w14:paraId="19F2A65F" w14:textId="77777777" w:rsidR="005E6DF3" w:rsidRDefault="005C671B" w:rsidRPr="00B27A29">
            <w:pPr>
              <w:autoSpaceDE w:val="0"/>
              <w:autoSpaceDN w:val="0"/>
              <w:adjustRightInd w:val="0"/>
              <w:spacing w:before="29" w:line="288" w:lineRule="auto"/>
              <w:ind w:left="15"/>
              <w:jc w:val="center"/>
              <w:rPr>
                <w:rFonts w:eastAsiaTheme="minorEastAsia"/>
                <w:color w:themeColor="text1" w:val="000000"/>
                <w:kern w:val="0"/>
                <w:szCs w:val="21"/>
              </w:rPr>
            </w:pPr>
            <w:r w:rsidRPr="00B27A29">
              <w:rPr>
                <w:rFonts w:eastAsiaTheme="minorEastAsia"/>
                <w:color w:themeColor="text1" w:val="000000"/>
                <w:kern w:val="0"/>
                <w:szCs w:val="21"/>
              </w:rPr>
              <w:t>债券名称</w:t>
            </w:r>
          </w:p>
        </w:tc>
        <w:tc>
          <w:tcPr>
            <w:tcW w:type="dxa" w:w="1503"/>
            <w:vAlign w:val="center"/>
          </w:tcPr>
          <w:p w14:paraId="0CE53B85" w14:textId="77777777" w:rsidR="005E6DF3" w:rsidRDefault="005C671B" w:rsidRPr="00B27A29">
            <w:pPr>
              <w:autoSpaceDE w:val="0"/>
              <w:autoSpaceDN w:val="0"/>
              <w:adjustRightInd w:val="0"/>
              <w:spacing w:before="29" w:line="288" w:lineRule="auto"/>
              <w:ind w:left="15"/>
              <w:jc w:val="center"/>
              <w:rPr>
                <w:rFonts w:eastAsiaTheme="minorEastAsia"/>
                <w:color w:themeColor="text1" w:val="000000"/>
                <w:kern w:val="0"/>
                <w:szCs w:val="21"/>
              </w:rPr>
            </w:pPr>
            <w:r w:rsidRPr="00B27A29">
              <w:rPr>
                <w:rFonts w:eastAsiaTheme="minorEastAsia"/>
                <w:color w:themeColor="text1" w:val="000000"/>
                <w:kern w:val="0"/>
                <w:szCs w:val="21"/>
              </w:rPr>
              <w:t>数量（张）</w:t>
            </w:r>
          </w:p>
        </w:tc>
        <w:tc>
          <w:tcPr>
            <w:tcW w:type="dxa" w:w="1503"/>
            <w:vAlign w:val="center"/>
          </w:tcPr>
          <w:p w14:paraId="512908D9" w14:textId="77777777" w:rsidR="005E6DF3" w:rsidRDefault="005C671B" w:rsidRPr="00B27A29">
            <w:pPr>
              <w:autoSpaceDE w:val="0"/>
              <w:autoSpaceDN w:val="0"/>
              <w:adjustRightInd w:val="0"/>
              <w:spacing w:before="29" w:line="288" w:lineRule="auto"/>
              <w:ind w:left="15"/>
              <w:jc w:val="center"/>
              <w:rPr>
                <w:rFonts w:eastAsiaTheme="minorEastAsia"/>
                <w:color w:themeColor="text1" w:val="000000"/>
                <w:kern w:val="0"/>
                <w:szCs w:val="21"/>
              </w:rPr>
            </w:pPr>
            <w:r w:rsidRPr="00B27A29">
              <w:rPr>
                <w:rFonts w:eastAsiaTheme="minorEastAsia"/>
                <w:color w:themeColor="text1" w:val="000000"/>
                <w:kern w:val="0"/>
                <w:szCs w:val="21"/>
              </w:rPr>
              <w:t>公允价值</w:t>
            </w:r>
            <w:r w:rsidRPr="00B27A29">
              <w:rPr>
                <w:rFonts w:eastAsiaTheme="minorEastAsia"/>
                <w:color w:themeColor="text1" w:val="000000"/>
                <w:kern w:val="0"/>
                <w:szCs w:val="21"/>
              </w:rPr>
              <w:t>(</w:t>
            </w:r>
            <w:r w:rsidRPr="00B27A29">
              <w:rPr>
                <w:rFonts w:eastAsiaTheme="minorEastAsia"/>
                <w:color w:themeColor="text1" w:val="000000"/>
                <w:kern w:val="0"/>
                <w:szCs w:val="21"/>
              </w:rPr>
              <w:t>元</w:t>
            </w:r>
            <w:r w:rsidRPr="00B27A29">
              <w:rPr>
                <w:rFonts w:eastAsiaTheme="minorEastAsia"/>
                <w:color w:themeColor="text1" w:val="000000"/>
                <w:kern w:val="0"/>
                <w:szCs w:val="21"/>
              </w:rPr>
              <w:t>)</w:t>
            </w:r>
          </w:p>
        </w:tc>
        <w:tc>
          <w:tcPr>
            <w:tcW w:type="dxa" w:w="1503"/>
            <w:vAlign w:val="center"/>
          </w:tcPr>
          <w:p w14:paraId="2E455B21" w14:textId="77777777" w:rsidR="005E6DF3" w:rsidRDefault="005C671B" w:rsidRPr="00B27A29">
            <w:pPr>
              <w:autoSpaceDE w:val="0"/>
              <w:autoSpaceDN w:val="0"/>
              <w:adjustRightInd w:val="0"/>
              <w:spacing w:before="29" w:line="288" w:lineRule="auto"/>
              <w:ind w:left="15"/>
              <w:jc w:val="center"/>
              <w:rPr>
                <w:rFonts w:eastAsiaTheme="minorEastAsia"/>
                <w:color w:themeColor="text1" w:val="000000"/>
                <w:kern w:val="0"/>
                <w:szCs w:val="21"/>
              </w:rPr>
            </w:pPr>
            <w:r w:rsidRPr="00B27A29">
              <w:rPr>
                <w:rFonts w:eastAsiaTheme="minorEastAsia"/>
                <w:color w:themeColor="text1" w:val="000000"/>
                <w:kern w:val="0"/>
                <w:szCs w:val="21"/>
              </w:rPr>
              <w:t>占基金资产净值比例（％）</w:t>
            </w:r>
          </w:p>
        </w:tc>
      </w:tr>
      <w:tr>
        <w:tc>
          <w:tcPr>
            <w:vAlign w:val="center"/>
          </w:tcPr>
          <w:p>
            <w:pPr>
              <w:jc w:val="center"/>
            </w:pPr>
            <w:r>
              <w:rPr>
                <w:rFonts w:eastAsiaTheme="minorEastAsia"/>
                <w:color w:themeColor="text1" w:val="000000"/>
                <w:szCs w:val="21"/>
              </w:rPr>
              <w:t>1</w:t>
            </w:r>
          </w:p>
        </w:tc>
        <w:tc>
          <w:tcPr>
            <w:vAlign w:val="center"/>
          </w:tcPr>
          <w:p>
            <w:pPr>
              <w:jc w:val="center"/>
            </w:pPr>
            <w:r>
              <w:rPr>
                <w:rFonts w:eastAsiaTheme="minorEastAsia"/>
                <w:color w:themeColor="text1" w:val="000000"/>
                <w:szCs w:val="21"/>
              </w:rPr>
              <w:t>143674</w:t>
            </w:r>
          </w:p>
        </w:tc>
        <w:tc>
          <w:tcPr>
            <w:vAlign w:val="center"/>
          </w:tcPr>
          <w:p>
            <w:pPr>
              <w:jc w:val="center"/>
            </w:pPr>
            <w:r>
              <w:rPr>
                <w:rFonts w:eastAsiaTheme="minorEastAsia"/>
                <w:color w:themeColor="text1" w:val="000000"/>
                <w:szCs w:val="21"/>
              </w:rPr>
              <w:t>18临债01</w:t>
            </w:r>
          </w:p>
        </w:tc>
        <w:tc>
          <w:tcPr>
            <w:vAlign w:val="center"/>
          </w:tcPr>
          <w:p>
            <w:pPr>
              <w:jc w:val="right"/>
            </w:pPr>
            <w:r>
              <w:rPr>
                <w:rFonts w:eastAsiaTheme="minorEastAsia"/>
                <w:color w:themeColor="text1" w:val="000000"/>
                <w:szCs w:val="21"/>
              </w:rPr>
              <w:t>105,000</w:t>
            </w:r>
          </w:p>
        </w:tc>
        <w:tc>
          <w:tcPr>
            <w:vAlign w:val="center"/>
          </w:tcPr>
          <w:p>
            <w:pPr>
              <w:jc w:val="right"/>
            </w:pPr>
            <w:r>
              <w:rPr>
                <w:rFonts w:eastAsiaTheme="minorEastAsia"/>
                <w:color w:themeColor="text1" w:val="000000"/>
                <w:szCs w:val="21"/>
              </w:rPr>
              <w:t>10,466,400.00</w:t>
            </w:r>
          </w:p>
        </w:tc>
        <w:tc>
          <w:tcPr>
            <w:vAlign w:val="center"/>
          </w:tcPr>
          <w:p>
            <w:pPr>
              <w:jc w:val="right"/>
            </w:pPr>
            <w:r>
              <w:rPr>
                <w:rFonts w:eastAsiaTheme="minorEastAsia"/>
                <w:color w:themeColor="text1" w:val="000000"/>
                <w:szCs w:val="21"/>
              </w:rPr>
              <w:t>6.08</w:t>
            </w:r>
          </w:p>
        </w:tc>
      </w:tr>
      <w:tr>
        <w:tc>
          <w:tcPr>
            <w:vAlign w:val="center"/>
          </w:tcPr>
          <w:p>
            <w:pPr>
              <w:jc w:val="center"/>
            </w:pPr>
            <w:r>
              <w:rPr>
                <w:rFonts w:eastAsiaTheme="minorEastAsia"/>
                <w:color w:themeColor="text1" w:val="000000"/>
                <w:szCs w:val="21"/>
              </w:rPr>
              <w:t>2</w:t>
            </w:r>
          </w:p>
        </w:tc>
        <w:tc>
          <w:tcPr>
            <w:vAlign w:val="center"/>
          </w:tcPr>
          <w:p>
            <w:pPr>
              <w:jc w:val="center"/>
            </w:pPr>
            <w:r>
              <w:rPr>
                <w:rFonts w:eastAsiaTheme="minorEastAsia"/>
                <w:color w:themeColor="text1" w:val="000000"/>
                <w:szCs w:val="21"/>
              </w:rPr>
              <w:t>2080353</w:t>
            </w:r>
          </w:p>
        </w:tc>
        <w:tc>
          <w:tcPr>
            <w:vAlign w:val="center"/>
          </w:tcPr>
          <w:p>
            <w:pPr>
              <w:jc w:val="center"/>
            </w:pPr>
            <w:r>
              <w:rPr>
                <w:rFonts w:eastAsiaTheme="minorEastAsia"/>
                <w:color w:themeColor="text1" w:val="000000"/>
                <w:szCs w:val="21"/>
              </w:rPr>
              <w:t>20浙国资债01</w:t>
            </w:r>
          </w:p>
        </w:tc>
        <w:tc>
          <w:tcPr>
            <w:vAlign w:val="center"/>
          </w:tcPr>
          <w:p>
            <w:pPr>
              <w:jc w:val="right"/>
            </w:pPr>
            <w:r>
              <w:rPr>
                <w:rFonts w:eastAsiaTheme="minorEastAsia"/>
                <w:color w:themeColor="text1" w:val="000000"/>
                <w:szCs w:val="21"/>
              </w:rPr>
              <w:t>100,000</w:t>
            </w:r>
          </w:p>
        </w:tc>
        <w:tc>
          <w:tcPr>
            <w:vAlign w:val="center"/>
          </w:tcPr>
          <w:p>
            <w:pPr>
              <w:jc w:val="right"/>
            </w:pPr>
            <w:r>
              <w:rPr>
                <w:rFonts w:eastAsiaTheme="minorEastAsia"/>
                <w:color w:themeColor="text1" w:val="000000"/>
                <w:szCs w:val="21"/>
              </w:rPr>
              <w:t>10,215,000.00</w:t>
            </w:r>
          </w:p>
        </w:tc>
        <w:tc>
          <w:tcPr>
            <w:vAlign w:val="center"/>
          </w:tcPr>
          <w:p>
            <w:pPr>
              <w:jc w:val="right"/>
            </w:pPr>
            <w:r>
              <w:rPr>
                <w:rFonts w:eastAsiaTheme="minorEastAsia"/>
                <w:color w:themeColor="text1" w:val="000000"/>
                <w:szCs w:val="21"/>
              </w:rPr>
              <w:t>5.94</w:t>
            </w:r>
          </w:p>
        </w:tc>
      </w:tr>
      <w:tr>
        <w:tc>
          <w:tcPr>
            <w:vAlign w:val="center"/>
          </w:tcPr>
          <w:p>
            <w:pPr>
              <w:jc w:val="center"/>
            </w:pPr>
            <w:r>
              <w:rPr>
                <w:rFonts w:eastAsiaTheme="minorEastAsia"/>
                <w:color w:themeColor="text1" w:val="000000"/>
                <w:szCs w:val="21"/>
              </w:rPr>
              <w:t>3</w:t>
            </w:r>
          </w:p>
        </w:tc>
        <w:tc>
          <w:tcPr>
            <w:vAlign w:val="center"/>
          </w:tcPr>
          <w:p>
            <w:pPr>
              <w:jc w:val="center"/>
            </w:pPr>
            <w:r>
              <w:rPr>
                <w:rFonts w:eastAsiaTheme="minorEastAsia"/>
                <w:color w:themeColor="text1" w:val="000000"/>
                <w:szCs w:val="21"/>
              </w:rPr>
              <w:t>102002044</w:t>
            </w:r>
          </w:p>
        </w:tc>
        <w:tc>
          <w:tcPr>
            <w:vAlign w:val="center"/>
          </w:tcPr>
          <w:p>
            <w:pPr>
              <w:jc w:val="center"/>
            </w:pPr>
            <w:r>
              <w:rPr>
                <w:rFonts w:eastAsiaTheme="minorEastAsia"/>
                <w:color w:themeColor="text1" w:val="000000"/>
                <w:szCs w:val="21"/>
              </w:rPr>
              <w:t>20中航租赁MTN003</w:t>
            </w:r>
          </w:p>
        </w:tc>
        <w:tc>
          <w:tcPr>
            <w:vAlign w:val="center"/>
          </w:tcPr>
          <w:p>
            <w:pPr>
              <w:jc w:val="right"/>
            </w:pPr>
            <w:r>
              <w:rPr>
                <w:rFonts w:eastAsiaTheme="minorEastAsia"/>
                <w:color w:themeColor="text1" w:val="000000"/>
                <w:szCs w:val="21"/>
              </w:rPr>
              <w:t>100,000</w:t>
            </w:r>
          </w:p>
        </w:tc>
        <w:tc>
          <w:tcPr>
            <w:vAlign w:val="center"/>
          </w:tcPr>
          <w:p>
            <w:pPr>
              <w:jc w:val="right"/>
            </w:pPr>
            <w:r>
              <w:rPr>
                <w:rFonts w:eastAsiaTheme="minorEastAsia"/>
                <w:color w:themeColor="text1" w:val="000000"/>
                <w:szCs w:val="21"/>
              </w:rPr>
              <w:t>10,208,000.00</w:t>
            </w:r>
          </w:p>
        </w:tc>
        <w:tc>
          <w:tcPr>
            <w:vAlign w:val="center"/>
          </w:tcPr>
          <w:p>
            <w:pPr>
              <w:jc w:val="right"/>
            </w:pPr>
            <w:r>
              <w:rPr>
                <w:rFonts w:eastAsiaTheme="minorEastAsia"/>
                <w:color w:themeColor="text1" w:val="000000"/>
                <w:szCs w:val="21"/>
              </w:rPr>
              <w:t>5.93</w:t>
            </w:r>
          </w:p>
        </w:tc>
      </w:tr>
      <w:tr>
        <w:tc>
          <w:tcPr>
            <w:vAlign w:val="center"/>
          </w:tcPr>
          <w:p>
            <w:pPr>
              <w:jc w:val="center"/>
            </w:pPr>
            <w:r>
              <w:rPr>
                <w:rFonts w:eastAsiaTheme="minorEastAsia"/>
                <w:color w:themeColor="text1" w:val="000000"/>
                <w:szCs w:val="21"/>
              </w:rPr>
              <w:t>4</w:t>
            </w:r>
          </w:p>
        </w:tc>
        <w:tc>
          <w:tcPr>
            <w:vAlign w:val="center"/>
          </w:tcPr>
          <w:p>
            <w:pPr>
              <w:jc w:val="center"/>
            </w:pPr>
            <w:r>
              <w:rPr>
                <w:rFonts w:eastAsiaTheme="minorEastAsia"/>
                <w:color w:themeColor="text1" w:val="000000"/>
                <w:szCs w:val="21"/>
              </w:rPr>
              <w:t>2022043</w:t>
            </w:r>
          </w:p>
        </w:tc>
        <w:tc>
          <w:tcPr>
            <w:vAlign w:val="center"/>
          </w:tcPr>
          <w:p>
            <w:pPr>
              <w:jc w:val="center"/>
            </w:pPr>
            <w:r>
              <w:rPr>
                <w:rFonts w:eastAsiaTheme="minorEastAsia"/>
                <w:color w:themeColor="text1" w:val="000000"/>
                <w:szCs w:val="21"/>
              </w:rPr>
              <w:t>20交银租赁债01</w:t>
            </w:r>
          </w:p>
        </w:tc>
        <w:tc>
          <w:tcPr>
            <w:vAlign w:val="center"/>
          </w:tcPr>
          <w:p>
            <w:pPr>
              <w:jc w:val="right"/>
            </w:pPr>
            <w:r>
              <w:rPr>
                <w:rFonts w:eastAsiaTheme="minorEastAsia"/>
                <w:color w:themeColor="text1" w:val="000000"/>
                <w:szCs w:val="21"/>
              </w:rPr>
              <w:t>100,000</w:t>
            </w:r>
          </w:p>
        </w:tc>
        <w:tc>
          <w:tcPr>
            <w:vAlign w:val="center"/>
          </w:tcPr>
          <w:p>
            <w:pPr>
              <w:jc w:val="right"/>
            </w:pPr>
            <w:r>
              <w:rPr>
                <w:rFonts w:eastAsiaTheme="minorEastAsia"/>
                <w:color w:themeColor="text1" w:val="000000"/>
                <w:szCs w:val="21"/>
              </w:rPr>
              <w:t>10,175,000.00</w:t>
            </w:r>
          </w:p>
        </w:tc>
        <w:tc>
          <w:tcPr>
            <w:vAlign w:val="center"/>
          </w:tcPr>
          <w:p>
            <w:pPr>
              <w:jc w:val="right"/>
            </w:pPr>
            <w:r>
              <w:rPr>
                <w:rFonts w:eastAsiaTheme="minorEastAsia"/>
                <w:color w:themeColor="text1" w:val="000000"/>
                <w:szCs w:val="21"/>
              </w:rPr>
              <w:t>5.92</w:t>
            </w:r>
          </w:p>
        </w:tc>
      </w:tr>
      <w:tr>
        <w:tc>
          <w:tcPr>
            <w:vAlign w:val="center"/>
          </w:tcPr>
          <w:p>
            <w:pPr>
              <w:jc w:val="center"/>
            </w:pPr>
            <w:r>
              <w:rPr>
                <w:rFonts w:eastAsiaTheme="minorEastAsia"/>
                <w:color w:themeColor="text1" w:val="000000"/>
                <w:szCs w:val="21"/>
              </w:rPr>
              <w:t>5</w:t>
            </w:r>
          </w:p>
        </w:tc>
        <w:tc>
          <w:tcPr>
            <w:vAlign w:val="center"/>
          </w:tcPr>
          <w:p>
            <w:pPr>
              <w:jc w:val="center"/>
            </w:pPr>
            <w:r>
              <w:rPr>
                <w:rFonts w:eastAsiaTheme="minorEastAsia"/>
                <w:color w:themeColor="text1" w:val="000000"/>
                <w:szCs w:val="21"/>
              </w:rPr>
              <w:t>210203</w:t>
            </w:r>
          </w:p>
        </w:tc>
        <w:tc>
          <w:tcPr>
            <w:vAlign w:val="center"/>
          </w:tcPr>
          <w:p>
            <w:pPr>
              <w:jc w:val="center"/>
            </w:pPr>
            <w:r>
              <w:rPr>
                <w:rFonts w:eastAsiaTheme="minorEastAsia"/>
                <w:color w:themeColor="text1" w:val="000000"/>
                <w:szCs w:val="21"/>
              </w:rPr>
              <w:t>21国开03</w:t>
            </w:r>
          </w:p>
        </w:tc>
        <w:tc>
          <w:tcPr>
            <w:vAlign w:val="center"/>
          </w:tcPr>
          <w:p>
            <w:pPr>
              <w:jc w:val="right"/>
            </w:pPr>
            <w:r>
              <w:rPr>
                <w:rFonts w:eastAsiaTheme="minorEastAsia"/>
                <w:color w:themeColor="text1" w:val="000000"/>
                <w:szCs w:val="21"/>
              </w:rPr>
              <w:t>100,000</w:t>
            </w:r>
          </w:p>
        </w:tc>
        <w:tc>
          <w:tcPr>
            <w:vAlign w:val="center"/>
          </w:tcPr>
          <w:p>
            <w:pPr>
              <w:jc w:val="right"/>
            </w:pPr>
            <w:r>
              <w:rPr>
                <w:rFonts w:eastAsiaTheme="minorEastAsia"/>
                <w:color w:themeColor="text1" w:val="000000"/>
                <w:szCs w:val="21"/>
              </w:rPr>
              <w:t>10,134,000.00</w:t>
            </w:r>
          </w:p>
        </w:tc>
        <w:tc>
          <w:tcPr>
            <w:vAlign w:val="center"/>
          </w:tcPr>
          <w:p>
            <w:pPr>
              <w:jc w:val="right"/>
            </w:pPr>
            <w:r>
              <w:rPr>
                <w:rFonts w:eastAsiaTheme="minorEastAsia"/>
                <w:color w:themeColor="text1" w:val="000000"/>
                <w:szCs w:val="21"/>
              </w:rPr>
              <w:t>5.89</w:t>
            </w:r>
          </w:p>
        </w:tc>
      </w:tr>
    </w:tbl>
    <w:p w14:paraId="7771C5CC" w14:textId="77777777" w:rsidR="005E6DF3" w:rsidRDefault="005C671B" w:rsidRPr="00B27A29">
      <w:pPr>
        <w:autoSpaceDE w:val="0"/>
        <w:autoSpaceDN w:val="0"/>
        <w:adjustRightInd w:val="0"/>
        <w:spacing w:before="312" w:beforeLines="100" w:line="360" w:lineRule="auto"/>
        <w:jc w:val="left"/>
        <w:rPr>
          <w:rFonts w:eastAsiaTheme="minorEastAsia"/>
          <w:b/>
          <w:color w:themeColor="text1" w:val="000000"/>
          <w:kern w:val="0"/>
          <w:szCs w:val="21"/>
        </w:rPr>
      </w:pPr>
      <w:r w:rsidRPr="00B27A29">
        <w:rPr>
          <w:rFonts w:eastAsiaTheme="minorEastAsia"/>
          <w:b/>
          <w:color w:themeColor="text1" w:val="000000"/>
          <w:kern w:val="0"/>
          <w:szCs w:val="21"/>
        </w:rPr>
        <w:t>5.6</w:t>
      </w:r>
      <w:r w:rsidRPr="00B27A29">
        <w:rPr>
          <w:rFonts w:eastAsiaTheme="minorEastAsia"/>
          <w:b/>
          <w:color w:themeColor="text1" w:val="000000"/>
          <w:kern w:val="0"/>
          <w:szCs w:val="21"/>
        </w:rPr>
        <w:t xml:space="preserve">　报告期末按公允价值占基金资产净值比例大小排序的前十名资产支持证券投资明细</w:t>
      </w:r>
    </w:p>
    <w:p w14:paraId="28094300" w14:textId="77777777" w:rsidR="005E6DF3" w:rsidRDefault="005C671B" w:rsidRPr="00B27A29">
      <w:pPr>
        <w:autoSpaceDE w:val="0"/>
        <w:autoSpaceDN w:val="0"/>
        <w:adjustRightInd w:val="0"/>
        <w:spacing w:line="360" w:lineRule="auto"/>
        <w:ind w:firstLine="420" w:firstLineChars="200"/>
        <w:jc w:val="left"/>
        <w:rPr>
          <w:rFonts w:eastAsiaTheme="minorEastAsia"/>
          <w:color w:themeColor="text1" w:val="000000"/>
          <w:szCs w:val="21"/>
        </w:rPr>
      </w:pPr>
      <w:r w:rsidRPr="00B27A29">
        <w:rPr>
          <w:rFonts w:eastAsiaTheme="minorEastAsia"/>
          <w:color w:themeColor="text1" w:val="000000"/>
          <w:szCs w:val="21"/>
        </w:rPr>
        <w:t/>
      </w:r>
      <w:proofErr w:type="spellStart"/>
      <w:r w:rsidRPr="00B27A29">
        <w:rPr>
          <w:rFonts w:eastAsiaTheme="minorEastAsia"/>
          <w:color w:themeColor="text1" w:val="000000"/>
          <w:szCs w:val="21"/>
        </w:rPr>
        <w:t/>
      </w:r>
      <w:proofErr w:type="gramStart"/>
      <w:r w:rsidRPr="00B27A29">
        <w:rPr>
          <w:rFonts w:eastAsiaTheme="minorEastAsia"/>
          <w:color w:themeColor="text1" w:val="000000"/>
          <w:szCs w:val="21"/>
        </w:rPr>
        <w:t/>
      </w:r>
      <w:proofErr w:type="spellEnd"/>
      <w:r w:rsidRPr="00B27A29">
        <w:rPr>
          <w:rFonts w:eastAsiaTheme="minorEastAsia"/>
          <w:color w:themeColor="text1" w:val="000000"/>
          <w:szCs w:val="21"/>
        </w:rPr>
        <w:t/>
      </w:r>
      <w:proofErr w:type="spellStart"/>
      <w:proofErr w:type="gramEnd"/>
      <w:r w:rsidRPr="00B27A29">
        <w:rPr>
          <w:rFonts w:eastAsiaTheme="minorEastAsia"/>
          <w:color w:themeColor="text1" w:val="000000"/>
          <w:szCs w:val="21"/>
        </w:rPr>
        <w:t/>
      </w:r>
      <w:proofErr w:type="spellEnd"/>
      <w:r w:rsidRPr="00B27A29">
        <w:rPr>
          <w:rFonts w:eastAsiaTheme="minorEastAsia"/>
          <w:color w:themeColor="text1" w:val="000000"/>
          <w:szCs w:val="21"/>
        </w:rPr>
        <w:t>本基金本报告期末未持有资产支持证券。</w:t>
      </w:r>
    </w:p>
    <w:p w14:paraId="065C2DEC" w14:textId="77777777" w:rsidR="005E6DF3" w:rsidRDefault="005C671B" w:rsidRPr="00B27A29">
      <w:pPr>
        <w:autoSpaceDE w:val="0"/>
        <w:autoSpaceDN w:val="0"/>
        <w:adjustRightInd w:val="0"/>
        <w:spacing w:before="312" w:beforeLines="100" w:line="360" w:lineRule="auto"/>
        <w:jc w:val="left"/>
        <w:rPr>
          <w:rFonts w:eastAsiaTheme="minorEastAsia"/>
          <w:b/>
          <w:bCs/>
          <w:color w:themeColor="text1" w:val="000000"/>
          <w:kern w:val="0"/>
          <w:szCs w:val="21"/>
        </w:rPr>
      </w:pPr>
      <w:r w:rsidRPr="00B27A29">
        <w:rPr>
          <w:rFonts w:eastAsiaTheme="minorEastAsia"/>
          <w:b/>
          <w:bCs/>
          <w:color w:themeColor="text1" w:val="000000"/>
          <w:kern w:val="0"/>
          <w:szCs w:val="21"/>
        </w:rPr>
        <w:t/>
      </w:r>
      <w:proofErr w:type="gramStart"/>
      <w:r w:rsidRPr="00B27A29">
        <w:rPr>
          <w:rFonts w:eastAsiaTheme="minorEastAsia"/>
          <w:b/>
          <w:bCs/>
          <w:color w:themeColor="text1" w:val="000000"/>
          <w:kern w:val="0"/>
          <w:szCs w:val="21"/>
        </w:rPr>
        <w:t>5.</w:t>
      </w:r>
      <w:proofErr w:type="gramEnd"/>
      <w:r w:rsidRPr="00B27A29">
        <w:rPr>
          <w:rFonts w:eastAsiaTheme="minorEastAsia"/>
          <w:b/>
          <w:bCs/>
          <w:color w:themeColor="text1" w:val="000000"/>
          <w:kern w:val="0"/>
          <w:szCs w:val="21"/>
        </w:rPr>
        <w:t xml:space="preserve">7 </w:t>
      </w:r>
      <w:r w:rsidRPr="00B27A29">
        <w:rPr>
          <w:rFonts w:eastAsiaTheme="minorEastAsia"/>
          <w:b/>
          <w:bCs/>
          <w:color w:themeColor="text1" w:val="000000"/>
          <w:kern w:val="0"/>
          <w:szCs w:val="21"/>
        </w:rPr>
        <w:t>报告期末按公允价值占基金资产净值比例大小排序的前五名贵金属投资明细</w:t>
      </w:r>
    </w:p>
    <w:p w14:paraId="72C886EE" w14:textId="77777777" w:rsidR="005E6DF3" w:rsidRDefault="005C671B" w:rsidRPr="00B27A29">
      <w:pPr>
        <w:widowControl/>
        <w:spacing w:line="360" w:lineRule="auto"/>
        <w:ind w:firstLine="420" w:firstLineChars="200"/>
        <w:jc w:val="left"/>
        <w:rPr>
          <w:color w:themeColor="text1" w:val="000000"/>
          <w:szCs w:val="21"/>
        </w:rPr>
      </w:pPr>
      <w:r w:rsidRPr="00B27A29">
        <w:rPr>
          <w:color w:themeColor="text1" w:val="000000"/>
          <w:szCs w:val="21"/>
        </w:rPr>
        <w:lastRenderedPageBreak/>
        <w:t/>
      </w:r>
      <w:proofErr w:type="spellStart"/>
      <w:r w:rsidRPr="00B27A29">
        <w:rPr>
          <w:color w:themeColor="text1" w:val="000000"/>
          <w:szCs w:val="21"/>
        </w:rPr>
        <w:t/>
      </w:r>
      <w:proofErr w:type="gramStart"/>
      <w:r w:rsidRPr="00B27A29">
        <w:rPr>
          <w:color w:themeColor="text1" w:val="000000"/>
          <w:szCs w:val="21"/>
        </w:rPr>
        <w:t/>
      </w:r>
      <w:proofErr w:type="spellEnd"/>
      <w:r w:rsidRPr="00B27A29">
        <w:rPr>
          <w:color w:themeColor="text1" w:val="000000"/>
          <w:szCs w:val="21"/>
        </w:rPr>
        <w:t/>
      </w:r>
      <w:proofErr w:type="spellStart"/>
      <w:proofErr w:type="gramEnd"/>
      <w:r w:rsidRPr="00B27A29">
        <w:rPr>
          <w:color w:themeColor="text1" w:val="000000"/>
          <w:szCs w:val="21"/>
        </w:rPr>
        <w:t/>
      </w:r>
      <w:proofErr w:type="spellEnd"/>
      <w:r w:rsidRPr="00B27A29">
        <w:rPr>
          <w:color w:themeColor="text1" w:val="000000"/>
          <w:szCs w:val="21"/>
        </w:rPr>
        <w:t>本基金本报告期末未持有贵金属。</w:t>
      </w:r>
    </w:p>
    <w:p w14:paraId="11ED3AFF" w14:textId="77777777" w:rsidR="005E6DF3" w:rsidRDefault="005C671B" w:rsidRPr="00B27A29">
      <w:pPr>
        <w:autoSpaceDE w:val="0"/>
        <w:autoSpaceDN w:val="0"/>
        <w:adjustRightInd w:val="0"/>
        <w:spacing w:before="312" w:beforeLines="100" w:line="360" w:lineRule="auto"/>
        <w:jc w:val="left"/>
        <w:rPr>
          <w:rFonts w:eastAsiaTheme="minorEastAsia"/>
          <w:b/>
          <w:color w:themeColor="text1" w:val="000000"/>
          <w:kern w:val="0"/>
          <w:szCs w:val="21"/>
        </w:rPr>
      </w:pPr>
      <w:r w:rsidRPr="00B27A29">
        <w:rPr>
          <w:rFonts w:eastAsiaTheme="minorEastAsia"/>
          <w:b/>
          <w:color w:themeColor="text1" w:val="000000"/>
          <w:kern w:val="0"/>
          <w:szCs w:val="21"/>
        </w:rPr>
        <w:t/>
      </w:r>
      <w:proofErr w:type="gramStart"/>
      <w:r w:rsidRPr="00B27A29">
        <w:rPr>
          <w:rFonts w:eastAsiaTheme="minorEastAsia"/>
          <w:b/>
          <w:color w:themeColor="text1" w:val="000000"/>
          <w:kern w:val="0"/>
          <w:szCs w:val="21"/>
        </w:rPr>
        <w:t>5.</w:t>
      </w:r>
      <w:proofErr w:type="gramEnd"/>
      <w:r w:rsidRPr="00B27A29">
        <w:rPr>
          <w:rFonts w:eastAsiaTheme="minorEastAsia"/>
          <w:b/>
          <w:color w:themeColor="text1" w:val="000000"/>
          <w:kern w:val="0"/>
          <w:szCs w:val="21"/>
        </w:rPr>
        <w:t>8</w:t>
      </w:r>
      <w:r w:rsidRPr="00B27A29">
        <w:rPr>
          <w:rFonts w:eastAsiaTheme="minorEastAsia"/>
          <w:b/>
          <w:color w:themeColor="text1" w:val="000000"/>
          <w:kern w:val="0"/>
          <w:szCs w:val="21"/>
        </w:rPr>
        <w:t>报告期末按公允价值占基金资产净值比例大小排序的前五名权证投资明细</w:t>
      </w:r>
    </w:p>
    <w:p w14:paraId="691F2596" w14:textId="77777777" w:rsidR="005E6DF3" w:rsidRDefault="005C671B" w:rsidRPr="00B27A29">
      <w:pPr>
        <w:autoSpaceDE w:val="0"/>
        <w:autoSpaceDN w:val="0"/>
        <w:adjustRightInd w:val="0"/>
        <w:spacing w:line="360" w:lineRule="auto"/>
        <w:ind w:firstLine="420" w:firstLineChars="200"/>
        <w:jc w:val="left"/>
        <w:rPr>
          <w:rFonts w:eastAsiaTheme="minorEastAsia"/>
          <w:color w:themeColor="text1" w:val="000000"/>
          <w:szCs w:val="21"/>
        </w:rPr>
      </w:pPr>
      <w:r w:rsidRPr="00B27A29">
        <w:rPr>
          <w:rFonts w:eastAsiaTheme="minorEastAsia"/>
          <w:color w:themeColor="text1" w:val="000000"/>
          <w:szCs w:val="21"/>
        </w:rPr>
        <w:t/>
      </w:r>
      <w:proofErr w:type="spellStart"/>
      <w:r w:rsidRPr="00B27A29">
        <w:rPr>
          <w:rFonts w:eastAsiaTheme="minorEastAsia"/>
          <w:color w:themeColor="text1" w:val="000000"/>
          <w:szCs w:val="21"/>
        </w:rPr>
        <w:t/>
      </w:r>
      <w:proofErr w:type="gramStart"/>
      <w:r w:rsidRPr="00B27A29">
        <w:rPr>
          <w:rFonts w:eastAsiaTheme="minorEastAsia"/>
          <w:color w:themeColor="text1" w:val="000000"/>
          <w:szCs w:val="21"/>
        </w:rPr>
        <w:t/>
      </w:r>
      <w:proofErr w:type="spellEnd"/>
      <w:r w:rsidRPr="00B27A29">
        <w:rPr>
          <w:rFonts w:eastAsiaTheme="minorEastAsia"/>
          <w:color w:themeColor="text1" w:val="000000"/>
          <w:szCs w:val="21"/>
        </w:rPr>
        <w:t/>
      </w:r>
      <w:proofErr w:type="spellStart"/>
      <w:proofErr w:type="gramEnd"/>
      <w:r w:rsidRPr="00B27A29">
        <w:rPr>
          <w:rFonts w:eastAsiaTheme="minorEastAsia"/>
          <w:color w:themeColor="text1" w:val="000000"/>
          <w:szCs w:val="21"/>
        </w:rPr>
        <w:t/>
      </w:r>
      <w:proofErr w:type="spellEnd"/>
      <w:r w:rsidRPr="00B27A29">
        <w:rPr>
          <w:rFonts w:eastAsiaTheme="minorEastAsia"/>
          <w:color w:themeColor="text1" w:val="000000"/>
          <w:szCs w:val="21"/>
        </w:rPr>
        <w:t>本基金本报告期末未持有权证。</w:t>
      </w:r>
    </w:p>
    <w:p w14:paraId="6AF1E792" w14:textId="77777777" w:rsidR="005E6DF3" w:rsidRDefault="005C671B" w:rsidRPr="00B27A29">
      <w:pPr>
        <w:adjustRightInd w:val="0"/>
        <w:snapToGrid w:val="0"/>
        <w:spacing w:before="312" w:beforeLines="100" w:line="360" w:lineRule="auto"/>
        <w:rPr>
          <w:rFonts w:eastAsiaTheme="minorEastAsia"/>
          <w:b/>
          <w:color w:themeColor="text1" w:val="000000"/>
          <w:szCs w:val="21"/>
        </w:rPr>
      </w:pPr>
      <w:r w:rsidRPr="00B27A29">
        <w:rPr>
          <w:rFonts w:eastAsiaTheme="minorEastAsia"/>
          <w:b/>
          <w:color w:themeColor="text1" w:val="000000"/>
          <w:szCs w:val="21"/>
        </w:rPr>
        <w:t/>
      </w:r>
      <w:proofErr w:type="spellStart"/>
      <w:r w:rsidRPr="00B27A29">
        <w:rPr>
          <w:rFonts w:eastAsiaTheme="minorEastAsia"/>
          <w:b/>
          <w:color w:themeColor="text1" w:val="000000"/>
          <w:szCs w:val="21"/>
        </w:rPr>
        <w:t/>
      </w:r>
      <w:proofErr w:type="gramStart"/>
      <w:r w:rsidRPr="00B27A29">
        <w:rPr>
          <w:rFonts w:eastAsiaTheme="minorEastAsia"/>
          <w:b/>
          <w:color w:themeColor="text1" w:val="000000"/>
          <w:szCs w:val="21"/>
        </w:rPr>
        <w:t/>
      </w:r>
      <w:proofErr w:type="spellEnd"/>
      <w:r w:rsidRPr="00B27A29">
        <w:rPr>
          <w:rFonts w:eastAsiaTheme="minorEastAsia"/>
          <w:b/>
          <w:color w:themeColor="text1" w:val="000000"/>
          <w:szCs w:val="21"/>
        </w:rPr>
        <w:t/>
      </w:r>
      <w:proofErr w:type="gramEnd"/>
      <w:r w:rsidRPr="00B27A29">
        <w:rPr>
          <w:rFonts w:eastAsiaTheme="minorEastAsia"/>
          <w:b/>
          <w:color w:themeColor="text1" w:val="000000"/>
          <w:szCs w:val="21"/>
        </w:rPr>
        <w:t xml:space="preserve">5.9 </w:t>
      </w:r>
      <w:r w:rsidRPr="00B27A29">
        <w:rPr>
          <w:rFonts w:eastAsiaTheme="minorEastAsia"/>
          <w:b/>
          <w:color w:themeColor="text1" w:val="000000"/>
          <w:szCs w:val="21"/>
        </w:rPr>
        <w:t>报告期末本基金投资的股指期货交易情况说明</w:t>
      </w:r>
    </w:p>
    <w:p w14:paraId="1F730FD9" w14:textId="77777777" w:rsidR="005E6DF3" w:rsidRDefault="005C671B" w:rsidRPr="00B27A29">
      <w:pPr>
        <w:autoSpaceDE w:val="0"/>
        <w:autoSpaceDN w:val="0"/>
        <w:adjustRightInd w:val="0"/>
        <w:spacing w:line="360" w:lineRule="auto"/>
        <w:ind w:firstLine="420" w:firstLineChars="200"/>
        <w:jc w:val="left"/>
        <w:rPr>
          <w:rFonts w:eastAsiaTheme="minorEastAsia"/>
          <w:color w:themeColor="text1" w:val="000000"/>
          <w:szCs w:val="21"/>
        </w:rPr>
      </w:pPr>
      <w:r w:rsidRPr="00B27A29">
        <w:rPr>
          <w:rFonts w:eastAsiaTheme="minorEastAsia"/>
          <w:color w:themeColor="text1" w:val="000000"/>
          <w:szCs w:val="21"/>
        </w:rPr>
        <w:t/>
      </w:r>
      <w:proofErr w:type="spellStart"/>
      <w:r w:rsidRPr="00B27A29">
        <w:rPr>
          <w:rFonts w:eastAsiaTheme="minorEastAsia"/>
          <w:color w:themeColor="text1" w:val="000000"/>
          <w:szCs w:val="21"/>
        </w:rPr>
        <w:t/>
      </w:r>
      <w:proofErr w:type="gramStart"/>
      <w:r w:rsidRPr="00B27A29">
        <w:rPr>
          <w:rFonts w:eastAsiaTheme="minorEastAsia"/>
          <w:color w:themeColor="text1" w:val="000000"/>
          <w:szCs w:val="21"/>
        </w:rPr>
        <w:t/>
      </w:r>
      <w:proofErr w:type="spellEnd"/>
      <w:r w:rsidRPr="00B27A29">
        <w:rPr>
          <w:rFonts w:eastAsiaTheme="minorEastAsia"/>
          <w:color w:themeColor="text1" w:val="000000"/>
          <w:szCs w:val="21"/>
        </w:rPr>
        <w:t/>
      </w:r>
      <w:proofErr w:type="spellStart"/>
      <w:proofErr w:type="gramEnd"/>
      <w:r w:rsidRPr="00B27A29">
        <w:rPr>
          <w:rFonts w:eastAsiaTheme="minorEastAsia"/>
          <w:color w:themeColor="text1" w:val="000000"/>
          <w:szCs w:val="21"/>
        </w:rPr>
        <w:t/>
      </w:r>
      <w:proofErr w:type="spellEnd"/>
      <w:r w:rsidRPr="00B27A29">
        <w:rPr>
          <w:rFonts w:eastAsiaTheme="minorEastAsia"/>
          <w:color w:themeColor="text1" w:val="000000"/>
          <w:szCs w:val="21"/>
        </w:rPr>
        <w:t>本基金本报告期末未持有股指期货。</w:t>
      </w:r>
    </w:p>
    <w:p w14:paraId="4ADBD656" w14:textId="77777777" w:rsidR="005E6DF3" w:rsidRDefault="005C671B" w:rsidRPr="00B27A29">
      <w:pPr>
        <w:adjustRightInd w:val="0"/>
        <w:snapToGrid w:val="0"/>
        <w:spacing w:before="312" w:beforeLines="100" w:line="360" w:lineRule="auto"/>
        <w:rPr>
          <w:rFonts w:eastAsiaTheme="minorEastAsia"/>
          <w:b/>
          <w:color w:themeColor="text1" w:val="000000"/>
          <w:szCs w:val="21"/>
        </w:rPr>
      </w:pPr>
      <w:r w:rsidRPr="00B27A29">
        <w:rPr>
          <w:rFonts w:eastAsiaTheme="minorEastAsia"/>
          <w:b/>
          <w:color w:themeColor="text1" w:val="000000"/>
          <w:szCs w:val="21"/>
        </w:rPr>
        <w:t/>
      </w:r>
      <w:proofErr w:type="spellStart"/>
      <w:r w:rsidRPr="00B27A29">
        <w:rPr>
          <w:rFonts w:eastAsiaTheme="minorEastAsia"/>
          <w:b/>
          <w:color w:themeColor="text1" w:val="000000"/>
          <w:szCs w:val="21"/>
        </w:rPr>
        <w:t/>
      </w:r>
      <w:proofErr w:type="gramStart"/>
      <w:r w:rsidRPr="00B27A29">
        <w:rPr>
          <w:rFonts w:eastAsiaTheme="minorEastAsia"/>
          <w:b/>
          <w:color w:themeColor="text1" w:val="000000"/>
          <w:szCs w:val="21"/>
        </w:rPr>
        <w:t/>
      </w:r>
      <w:proofErr w:type="spellEnd"/>
      <w:r w:rsidRPr="00B27A29">
        <w:rPr>
          <w:rFonts w:eastAsiaTheme="minorEastAsia"/>
          <w:b/>
          <w:color w:themeColor="text1" w:val="000000"/>
          <w:szCs w:val="21"/>
        </w:rPr>
        <w:t/>
      </w:r>
      <w:proofErr w:type="gramEnd"/>
      <w:r w:rsidRPr="00B27A29">
        <w:rPr>
          <w:rFonts w:eastAsiaTheme="minorEastAsia"/>
          <w:b/>
          <w:color w:themeColor="text1" w:val="000000"/>
          <w:szCs w:val="21"/>
        </w:rPr>
        <w:t>5.10</w:t>
      </w:r>
      <w:r w:rsidRPr="00B27A29">
        <w:rPr>
          <w:rFonts w:eastAsiaTheme="minorEastAsia"/>
          <w:b/>
          <w:color w:themeColor="text1" w:val="000000"/>
          <w:szCs w:val="21"/>
        </w:rPr>
        <w:t>报告期末本基金投资的国债期货交易情况说明</w:t>
      </w:r>
    </w:p>
    <w:p w14:paraId="113FC71C" w14:textId="77777777" w:rsidR="005E6DF3" w:rsidRDefault="005C671B" w:rsidRPr="00B27A29">
      <w:pPr>
        <w:autoSpaceDE w:val="0"/>
        <w:autoSpaceDN w:val="0"/>
        <w:adjustRightInd w:val="0"/>
        <w:spacing w:line="360" w:lineRule="auto"/>
        <w:ind w:firstLine="420" w:firstLineChars="200"/>
        <w:jc w:val="left"/>
        <w:rPr>
          <w:rFonts w:eastAsiaTheme="minorEastAsia"/>
          <w:color w:themeColor="text1" w:val="000000"/>
          <w:szCs w:val="21"/>
        </w:rPr>
      </w:pPr>
      <w:r w:rsidRPr="00B27A29">
        <w:rPr>
          <w:rFonts w:eastAsiaTheme="minorEastAsia"/>
          <w:color w:themeColor="text1" w:val="000000"/>
          <w:szCs w:val="21"/>
        </w:rPr>
        <w:t/>
      </w:r>
      <w:proofErr w:type="spellStart"/>
      <w:r w:rsidRPr="00B27A29">
        <w:rPr>
          <w:rFonts w:eastAsiaTheme="minorEastAsia"/>
          <w:color w:themeColor="text1" w:val="000000"/>
          <w:szCs w:val="21"/>
        </w:rPr>
        <w:t/>
      </w:r>
      <w:proofErr w:type="gramStart"/>
      <w:r w:rsidRPr="00B27A29">
        <w:rPr>
          <w:rFonts w:eastAsiaTheme="minorEastAsia"/>
          <w:color w:themeColor="text1" w:val="000000"/>
          <w:szCs w:val="21"/>
        </w:rPr>
        <w:t/>
      </w:r>
      <w:proofErr w:type="spellEnd"/>
      <w:r w:rsidRPr="00B27A29">
        <w:rPr>
          <w:rFonts w:eastAsiaTheme="minorEastAsia"/>
          <w:color w:themeColor="text1" w:val="000000"/>
          <w:szCs w:val="21"/>
        </w:rPr>
        <w:t/>
      </w:r>
      <w:proofErr w:type="spellStart"/>
      <w:proofErr w:type="gramEnd"/>
      <w:r w:rsidRPr="00B27A29">
        <w:rPr>
          <w:rFonts w:eastAsiaTheme="minorEastAsia"/>
          <w:color w:themeColor="text1" w:val="000000"/>
          <w:szCs w:val="21"/>
        </w:rPr>
        <w:t/>
      </w:r>
      <w:proofErr w:type="spellEnd"/>
      <w:r w:rsidRPr="00B27A29">
        <w:rPr>
          <w:rFonts w:eastAsiaTheme="minorEastAsia"/>
          <w:color w:themeColor="text1" w:val="000000"/>
          <w:szCs w:val="21"/>
        </w:rPr>
        <w:t>本基金本报告期末未持有国债期货。</w:t>
      </w:r>
    </w:p>
    <w:p w14:paraId="1C40C3ED" w14:textId="77777777" w:rsidR="005E6DF3" w:rsidRDefault="005C671B" w:rsidRPr="00B27A29">
      <w:pPr>
        <w:autoSpaceDE w:val="0"/>
        <w:autoSpaceDN w:val="0"/>
        <w:adjustRightInd w:val="0"/>
        <w:spacing w:before="312" w:beforeLines="100" w:line="360" w:lineRule="auto"/>
        <w:jc w:val="left"/>
        <w:rPr>
          <w:rFonts w:eastAsiaTheme="minorEastAsia"/>
          <w:b/>
          <w:color w:themeColor="text1" w:val="000000"/>
          <w:kern w:val="0"/>
          <w:szCs w:val="21"/>
        </w:rPr>
      </w:pPr>
      <w:r w:rsidRPr="00B27A29">
        <w:rPr>
          <w:rFonts w:eastAsiaTheme="minorEastAsia"/>
          <w:b/>
          <w:color w:themeColor="text1" w:val="000000"/>
          <w:kern w:val="0"/>
          <w:szCs w:val="21"/>
        </w:rPr>
        <w:t/>
      </w:r>
      <w:proofErr w:type="gramStart"/>
      <w:r w:rsidRPr="00B27A29">
        <w:rPr>
          <w:rFonts w:eastAsiaTheme="minorEastAsia"/>
          <w:b/>
          <w:color w:themeColor="text1" w:val="000000"/>
          <w:kern w:val="0"/>
          <w:szCs w:val="21"/>
        </w:rPr>
        <w:t>5.</w:t>
      </w:r>
      <w:proofErr w:type="gramEnd"/>
      <w:r w:rsidRPr="00B27A29">
        <w:rPr>
          <w:rFonts w:eastAsiaTheme="minorEastAsia"/>
          <w:b/>
          <w:color w:themeColor="text1" w:val="000000"/>
          <w:kern w:val="0"/>
          <w:szCs w:val="21"/>
        </w:rPr>
        <w:t>11</w:t>
      </w:r>
      <w:r w:rsidRPr="00B27A29">
        <w:rPr>
          <w:rFonts w:eastAsiaTheme="minorEastAsia"/>
          <w:b/>
          <w:color w:themeColor="text1" w:val="000000"/>
          <w:kern w:val="0"/>
          <w:szCs w:val="21"/>
        </w:rPr>
        <w:t>投资组合报告附注</w:t>
      </w:r>
    </w:p>
    <w:p w14:paraId="7BA92AF8" w14:textId="77777777" w:rsidR="005E6DF3" w:rsidRDefault="005C671B" w:rsidRPr="00B27A29">
      <w:pPr>
        <w:widowControl/>
        <w:spacing w:line="360" w:lineRule="auto"/>
        <w:rPr>
          <w:rFonts w:eastAsiaTheme="minorEastAsia"/>
          <w:color w:themeColor="text1" w:val="000000"/>
          <w:szCs w:val="21"/>
        </w:rPr>
      </w:pPr>
      <w:r w:rsidRPr="00B27A29">
        <w:rPr>
          <w:rFonts w:eastAsiaTheme="minorEastAsia"/>
          <w:color w:themeColor="text1" w:val="000000"/>
          <w:szCs w:val="21"/>
        </w:rPr>
        <w:t/>
      </w:r>
      <w:proofErr w:type="gramStart"/>
      <w:r w:rsidRPr="00B27A29">
        <w:rPr>
          <w:rFonts w:eastAsiaTheme="minorEastAsia"/>
          <w:color w:themeColor="text1" w:val="000000"/>
          <w:szCs w:val="21"/>
        </w:rPr>
        <w:t>5.</w:t>
      </w:r>
      <w:proofErr w:type="gramEnd"/>
      <w:r w:rsidRPr="00B27A29">
        <w:rPr>
          <w:rFonts w:eastAsiaTheme="minorEastAsia"/>
          <w:color w:themeColor="text1" w:val="000000"/>
          <w:szCs w:val="21"/>
        </w:rPr>
        <w:t>11.1本基金投资的前十名证券的发行主体本期未出现被监管部门立案调查，或在报告编制日前一年内受到公开谴责、处罚的情形。</w:t>
      </w:r>
    </w:p>
    <w:p w14:paraId="23E25E10" w14:textId="77777777" w:rsidR="005E6DF3" w:rsidRDefault="005C671B" w:rsidRPr="00B27A29">
      <w:pPr>
        <w:widowControl/>
        <w:spacing w:line="360" w:lineRule="auto"/>
        <w:rPr>
          <w:rFonts w:eastAsiaTheme="minorEastAsia"/>
          <w:color w:themeColor="text1" w:val="000000"/>
          <w:szCs w:val="21"/>
        </w:rPr>
      </w:pPr>
      <w:r w:rsidRPr="00B27A29">
        <w:rPr>
          <w:rFonts w:eastAsiaTheme="minorEastAsia"/>
          <w:color w:themeColor="text1" w:val="000000"/>
          <w:szCs w:val="21"/>
        </w:rPr>
        <w:t/>
      </w:r>
      <w:proofErr w:type="gramStart"/>
      <w:r w:rsidRPr="00B27A29">
        <w:rPr>
          <w:rFonts w:eastAsiaTheme="minorEastAsia"/>
          <w:color w:themeColor="text1" w:val="000000"/>
          <w:szCs w:val="21"/>
        </w:rPr>
        <w:t>5.</w:t>
      </w:r>
      <w:proofErr w:type="gramEnd"/>
      <w:r w:rsidRPr="00B27A29">
        <w:rPr>
          <w:rFonts w:eastAsiaTheme="minorEastAsia"/>
          <w:color w:themeColor="text1" w:val="000000"/>
          <w:szCs w:val="21"/>
        </w:rPr>
        <w:t>11.2报告期内本基金投资的前十名股票中没有在基金合同规定备选股票库之外的股票。</w:t>
      </w:r>
    </w:p>
    <w:p w14:paraId="3E3F49EE" w14:textId="77777777" w:rsidR="005E6DF3" w:rsidRDefault="005C671B" w:rsidRPr="00B27A29">
      <w:pPr>
        <w:autoSpaceDE w:val="0"/>
        <w:autoSpaceDN w:val="0"/>
        <w:adjustRightInd w:val="0"/>
        <w:spacing w:line="360" w:lineRule="auto"/>
        <w:rPr>
          <w:rFonts w:eastAsiaTheme="minorEastAsia"/>
          <w:b/>
          <w:color w:themeColor="text1" w:val="000000"/>
          <w:kern w:val="0"/>
          <w:szCs w:val="21"/>
        </w:rPr>
      </w:pPr>
      <w:r w:rsidRPr="00B27A29">
        <w:rPr>
          <w:rFonts w:eastAsiaTheme="minorEastAsia"/>
          <w:b/>
          <w:color w:themeColor="text1" w:val="000000"/>
          <w:kern w:val="0"/>
          <w:szCs w:val="21"/>
        </w:rPr>
        <w:t/>
      </w:r>
      <w:proofErr w:type="gramStart"/>
      <w:r w:rsidRPr="00B27A29">
        <w:rPr>
          <w:rFonts w:eastAsiaTheme="minorEastAsia"/>
          <w:b/>
          <w:color w:themeColor="text1" w:val="000000"/>
          <w:kern w:val="0"/>
          <w:szCs w:val="21"/>
        </w:rPr>
        <w:t>5.</w:t>
      </w:r>
      <w:proofErr w:type="gramEnd"/>
      <w:r w:rsidRPr="00B27A29">
        <w:rPr>
          <w:rFonts w:eastAsiaTheme="minorEastAsia"/>
          <w:b/>
          <w:color w:themeColor="text1" w:val="000000"/>
          <w:kern w:val="0"/>
          <w:szCs w:val="21"/>
        </w:rPr>
        <w:t>11.3</w:t>
      </w:r>
      <w:r w:rsidRPr="00B27A29">
        <w:rPr>
          <w:rFonts w:eastAsiaTheme="minorEastAsia"/>
          <w:b/>
          <w:color w:themeColor="text1" w:val="000000"/>
          <w:kern w:val="0"/>
          <w:szCs w:val="21"/>
        </w:rPr>
        <w:t>其他资产构成</w:t>
      </w:r>
    </w:p>
    <w:tbl>
      <w:tblPr>
        <w:tblStyle w:val="afa"/>
        <w:tblW w:type="dxa" w:w="8679"/>
        <w:tblInd w:type="dxa" w:w="108"/>
        <w:tblLayout w:type="fixed"/>
        <w:tblLook w:firstColumn="1" w:firstRow="1" w:lastColumn="0" w:lastRow="0" w:noHBand="0" w:noVBand="1" w:val="04A0"/>
      </w:tblPr>
      <w:tblGrid>
        <w:gridCol w:w="1110"/>
        <w:gridCol w:w="2761"/>
        <w:gridCol w:w="4808"/>
      </w:tblGrid>
      <w:tr w14:paraId="0FE53683" w14:textId="77777777" w:rsidR="005E6DF3" w:rsidRPr="00B27A29">
        <w:tc>
          <w:tcPr>
            <w:tcW w:type="dxa" w:w="1110"/>
            <w:vAlign w:val="center"/>
          </w:tcPr>
          <w:p w14:paraId="1D03F931" w14:textId="77777777" w:rsidR="005E6DF3" w:rsidRDefault="005C671B" w:rsidRPr="00B27A29">
            <w:pPr>
              <w:autoSpaceDE w:val="0"/>
              <w:autoSpaceDN w:val="0"/>
              <w:adjustRightInd w:val="0"/>
              <w:spacing w:before="29" w:line="360" w:lineRule="auto"/>
              <w:ind w:left="17"/>
              <w:jc w:val="center"/>
              <w:rPr>
                <w:rFonts w:eastAsiaTheme="minorEastAsia"/>
                <w:color w:themeColor="text1" w:val="000000"/>
                <w:kern w:val="0"/>
                <w:szCs w:val="21"/>
              </w:rPr>
            </w:pPr>
            <w:r w:rsidRPr="00B27A29">
              <w:rPr>
                <w:rFonts w:eastAsiaTheme="minorEastAsia"/>
                <w:color w:themeColor="text1" w:val="000000"/>
                <w:kern w:val="0"/>
                <w:szCs w:val="21"/>
              </w:rPr>
              <w:t>序号</w:t>
            </w:r>
          </w:p>
        </w:tc>
        <w:tc>
          <w:tcPr>
            <w:tcW w:type="dxa" w:w="2761"/>
            <w:vAlign w:val="center"/>
          </w:tcPr>
          <w:p w14:paraId="3C7B9C73" w14:textId="77777777" w:rsidR="005E6DF3" w:rsidRDefault="005C671B" w:rsidRPr="00B27A29">
            <w:pPr>
              <w:autoSpaceDE w:val="0"/>
              <w:autoSpaceDN w:val="0"/>
              <w:adjustRightInd w:val="0"/>
              <w:spacing w:before="29" w:line="360" w:lineRule="auto"/>
              <w:ind w:left="17"/>
              <w:jc w:val="center"/>
              <w:rPr>
                <w:rFonts w:eastAsiaTheme="minorEastAsia"/>
                <w:color w:themeColor="text1" w:val="000000"/>
                <w:kern w:val="0"/>
                <w:szCs w:val="21"/>
              </w:rPr>
            </w:pPr>
            <w:r w:rsidRPr="00B27A29">
              <w:rPr>
                <w:rFonts w:eastAsiaTheme="minorEastAsia"/>
                <w:color w:themeColor="text1" w:val="000000"/>
                <w:kern w:val="0"/>
                <w:szCs w:val="21"/>
              </w:rPr>
              <w:t>名称</w:t>
            </w:r>
          </w:p>
        </w:tc>
        <w:tc>
          <w:tcPr>
            <w:tcW w:type="dxa" w:w="4808"/>
            <w:vAlign w:val="center"/>
          </w:tcPr>
          <w:p w14:paraId="6D2DC4D6" w14:textId="77777777" w:rsidR="005E6DF3" w:rsidRDefault="005C671B" w:rsidRPr="00B27A29">
            <w:pPr>
              <w:autoSpaceDE w:val="0"/>
              <w:autoSpaceDN w:val="0"/>
              <w:adjustRightInd w:val="0"/>
              <w:spacing w:before="29" w:line="360" w:lineRule="auto"/>
              <w:ind w:left="17"/>
              <w:jc w:val="center"/>
              <w:rPr>
                <w:rFonts w:eastAsiaTheme="minorEastAsia"/>
                <w:color w:themeColor="text1" w:val="000000"/>
                <w:kern w:val="0"/>
                <w:szCs w:val="21"/>
              </w:rPr>
            </w:pPr>
            <w:r w:rsidRPr="00B27A29">
              <w:rPr>
                <w:rFonts w:eastAsiaTheme="minorEastAsia"/>
                <w:color w:themeColor="text1" w:val="000000"/>
                <w:kern w:val="0"/>
                <w:szCs w:val="21"/>
              </w:rPr>
              <w:t>金额</w:t>
            </w:r>
            <w:r w:rsidRPr="00B27A29">
              <w:rPr>
                <w:rFonts w:eastAsiaTheme="minorEastAsia"/>
                <w:color w:themeColor="text1" w:val="000000"/>
                <w:kern w:val="0"/>
                <w:szCs w:val="21"/>
              </w:rPr>
              <w:t>(</w:t>
            </w:r>
            <w:r w:rsidRPr="00B27A29">
              <w:rPr>
                <w:rFonts w:eastAsiaTheme="minorEastAsia"/>
                <w:color w:themeColor="text1" w:val="000000"/>
                <w:kern w:val="0"/>
                <w:szCs w:val="21"/>
              </w:rPr>
              <w:t>元</w:t>
            </w:r>
            <w:r w:rsidRPr="00B27A29">
              <w:rPr>
                <w:rFonts w:eastAsiaTheme="minorEastAsia"/>
                <w:color w:themeColor="text1" w:val="000000"/>
                <w:kern w:val="0"/>
                <w:szCs w:val="21"/>
              </w:rPr>
              <w:t>)</w:t>
            </w:r>
          </w:p>
        </w:tc>
      </w:tr>
      <w:tr w14:paraId="6EC5C975" w14:textId="77777777" w:rsidR="005E6DF3" w:rsidRPr="00B27A29">
        <w:tc>
          <w:tcPr>
            <w:tcW w:type="dxa" w:w="1110"/>
            <w:vAlign w:val="center"/>
          </w:tcPr>
          <w:p w14:paraId="6769014D" w14:textId="77777777" w:rsidR="005E6DF3" w:rsidRDefault="005C671B" w:rsidRPr="00B27A29">
            <w:pPr>
              <w:autoSpaceDE w:val="0"/>
              <w:autoSpaceDN w:val="0"/>
              <w:adjustRightInd w:val="0"/>
              <w:spacing w:before="29" w:line="360" w:lineRule="auto"/>
              <w:ind w:left="15"/>
              <w:jc w:val="center"/>
              <w:rPr>
                <w:rFonts w:eastAsiaTheme="minorEastAsia"/>
                <w:color w:themeColor="text1" w:val="000000"/>
                <w:kern w:val="0"/>
                <w:szCs w:val="21"/>
              </w:rPr>
            </w:pPr>
            <w:r w:rsidRPr="00B27A29">
              <w:rPr>
                <w:rFonts w:eastAsiaTheme="minorEastAsia"/>
                <w:color w:themeColor="text1" w:val="000000"/>
                <w:szCs w:val="21"/>
              </w:rPr>
              <w:t>1</w:t>
            </w:r>
          </w:p>
        </w:tc>
        <w:tc>
          <w:tcPr>
            <w:tcW w:type="dxa" w:w="2761"/>
            <w:vAlign w:val="center"/>
          </w:tcPr>
          <w:p w14:paraId="4263CC47" w14:textId="77777777" w:rsidR="005E6DF3" w:rsidRDefault="005C671B" w:rsidRPr="00B27A29">
            <w:pPr>
              <w:autoSpaceDE w:val="0"/>
              <w:autoSpaceDN w:val="0"/>
              <w:adjustRightInd w:val="0"/>
              <w:spacing w:before="29" w:line="360" w:lineRule="auto"/>
              <w:ind w:left="15"/>
              <w:jc w:val="left"/>
              <w:rPr>
                <w:rFonts w:eastAsiaTheme="minorEastAsia"/>
                <w:color w:themeColor="text1" w:val="000000"/>
                <w:kern w:val="0"/>
                <w:szCs w:val="21"/>
              </w:rPr>
            </w:pPr>
            <w:r w:rsidRPr="00B27A29">
              <w:rPr>
                <w:rFonts w:eastAsiaTheme="minorEastAsia"/>
                <w:color w:themeColor="text1" w:val="000000"/>
                <w:kern w:val="0"/>
                <w:szCs w:val="21"/>
              </w:rPr>
              <w:t>存出保证金</w:t>
            </w:r>
          </w:p>
        </w:tc>
        <w:tc>
          <w:tcPr>
            <w:tcW w:type="dxa" w:w="4808"/>
            <w:vAlign w:val="center"/>
          </w:tcPr>
          <w:p w14:paraId="09A08973" w14:textId="77777777" w:rsidR="005E6DF3" w:rsidRDefault="005C671B" w:rsidRPr="00B27A29">
            <w:pPr>
              <w:autoSpaceDE w:val="0"/>
              <w:autoSpaceDN w:val="0"/>
              <w:adjustRightInd w:val="0"/>
              <w:spacing w:before="29" w:line="360" w:lineRule="auto"/>
              <w:ind w:left="15"/>
              <w:jc w:val="right"/>
              <w:rPr>
                <w:rFonts w:eastAsiaTheme="minorEastAsia"/>
                <w:color w:themeColor="text1" w:val="000000"/>
                <w:kern w:val="0"/>
                <w:szCs w:val="21"/>
              </w:rPr>
            </w:pPr>
            <w:r w:rsidRPr="00B27A29">
              <w:rPr>
                <w:rFonts w:eastAsiaTheme="minorEastAsia"/>
                <w:color w:themeColor="text1" w:val="000000"/>
                <w:kern w:val="0"/>
                <w:szCs w:val="21"/>
              </w:rPr>
              <w:t/>
            </w:r>
            <w:proofErr w:type="spellStart"/>
            <w:r w:rsidRPr="00B27A29">
              <w:rPr>
                <w:rFonts w:eastAsiaTheme="minorEastAsia"/>
                <w:color w:themeColor="text1" w:val="000000"/>
                <w:kern w:val="0"/>
                <w:szCs w:val="21"/>
              </w:rPr>
              <w:t/>
            </w:r>
            <w:proofErr w:type="spellEnd"/>
            <w:r w:rsidRPr="00B27A29">
              <w:rPr>
                <w:rFonts w:eastAsiaTheme="minorEastAsia"/>
                <w:color w:themeColor="text1" w:val="000000"/>
                <w:kern w:val="0"/>
                <w:szCs w:val="21"/>
              </w:rPr>
              <w:t>2,049.76</w:t>
            </w:r>
          </w:p>
        </w:tc>
      </w:tr>
      <w:tr w14:paraId="1DF71E15" w14:textId="77777777" w:rsidR="005E6DF3" w:rsidRPr="00B27A29">
        <w:tc>
          <w:tcPr>
            <w:tcW w:type="dxa" w:w="1110"/>
            <w:vAlign w:val="center"/>
          </w:tcPr>
          <w:p w14:paraId="34CE6EB0" w14:textId="77777777" w:rsidR="005E6DF3" w:rsidRDefault="005C671B" w:rsidRPr="00B27A29">
            <w:pPr>
              <w:autoSpaceDE w:val="0"/>
              <w:autoSpaceDN w:val="0"/>
              <w:adjustRightInd w:val="0"/>
              <w:spacing w:before="29" w:line="360" w:lineRule="auto"/>
              <w:ind w:left="15"/>
              <w:jc w:val="center"/>
              <w:rPr>
                <w:rFonts w:eastAsiaTheme="minorEastAsia"/>
                <w:color w:themeColor="text1" w:val="000000"/>
                <w:szCs w:val="21"/>
              </w:rPr>
            </w:pPr>
            <w:r w:rsidRPr="00B27A29">
              <w:rPr>
                <w:rFonts w:eastAsiaTheme="minorEastAsia"/>
                <w:color w:themeColor="text1" w:val="000000"/>
                <w:szCs w:val="21"/>
              </w:rPr>
              <w:lastRenderedPageBreak/>
              <w:t>2</w:t>
            </w:r>
          </w:p>
        </w:tc>
        <w:tc>
          <w:tcPr>
            <w:tcW w:type="dxa" w:w="2761"/>
            <w:vAlign w:val="center"/>
          </w:tcPr>
          <w:p w14:paraId="6E79200A" w14:textId="77777777" w:rsidR="005E6DF3" w:rsidRDefault="005C671B" w:rsidRPr="00B27A29">
            <w:pPr>
              <w:autoSpaceDE w:val="0"/>
              <w:autoSpaceDN w:val="0"/>
              <w:adjustRightInd w:val="0"/>
              <w:spacing w:before="29" w:line="360" w:lineRule="auto"/>
              <w:ind w:left="15"/>
              <w:jc w:val="left"/>
              <w:rPr>
                <w:rFonts w:eastAsiaTheme="minorEastAsia"/>
                <w:color w:themeColor="text1" w:val="000000"/>
                <w:kern w:val="0"/>
                <w:szCs w:val="21"/>
              </w:rPr>
            </w:pPr>
            <w:r w:rsidRPr="00B27A29">
              <w:rPr>
                <w:rFonts w:eastAsiaTheme="minorEastAsia"/>
                <w:color w:themeColor="text1" w:val="000000"/>
                <w:kern w:val="0"/>
                <w:szCs w:val="21"/>
              </w:rPr>
              <w:t>应收证券清算款</w:t>
            </w:r>
          </w:p>
        </w:tc>
        <w:tc>
          <w:tcPr>
            <w:tcW w:type="dxa" w:w="4808"/>
            <w:vAlign w:val="center"/>
          </w:tcPr>
          <w:p w14:paraId="37CF1220" w14:textId="77777777" w:rsidR="005E6DF3" w:rsidRDefault="005C671B" w:rsidRPr="00B27A29">
            <w:pPr>
              <w:autoSpaceDE w:val="0"/>
              <w:autoSpaceDN w:val="0"/>
              <w:adjustRightInd w:val="0"/>
              <w:spacing w:before="29" w:line="360" w:lineRule="auto"/>
              <w:ind w:left="15"/>
              <w:jc w:val="right"/>
              <w:rPr>
                <w:rFonts w:eastAsiaTheme="minorEastAsia"/>
                <w:color w:themeColor="text1" w:val="000000"/>
                <w:kern w:val="0"/>
                <w:szCs w:val="21"/>
              </w:rPr>
            </w:pPr>
            <w:r w:rsidRPr="00B27A29">
              <w:rPr>
                <w:rFonts w:eastAsiaTheme="minorEastAsia"/>
                <w:color w:themeColor="text1" w:val="000000"/>
                <w:kern w:val="0"/>
                <w:szCs w:val="21"/>
              </w:rPr>
              <w:t/>
            </w:r>
            <w:proofErr w:type="spellStart"/>
            <w:r w:rsidRPr="00B27A29">
              <w:rPr>
                <w:rFonts w:eastAsiaTheme="minorEastAsia"/>
                <w:color w:themeColor="text1" w:val="000000"/>
                <w:kern w:val="0"/>
                <w:szCs w:val="21"/>
              </w:rPr>
              <w:t/>
            </w:r>
            <w:proofErr w:type="spellEnd"/>
            <w:r w:rsidRPr="00B27A29">
              <w:rPr>
                <w:rFonts w:eastAsiaTheme="minorEastAsia"/>
                <w:color w:themeColor="text1" w:val="000000"/>
                <w:kern w:val="0"/>
                <w:szCs w:val="21"/>
              </w:rPr>
              <w:t>188,522.17</w:t>
            </w:r>
          </w:p>
        </w:tc>
      </w:tr>
      <w:tr w14:paraId="5BD7C23E" w14:textId="77777777" w:rsidR="005E6DF3" w:rsidRPr="00B27A29">
        <w:tc>
          <w:tcPr>
            <w:tcW w:type="dxa" w:w="1110"/>
            <w:vAlign w:val="center"/>
          </w:tcPr>
          <w:p w14:paraId="2C49D7E8" w14:textId="77777777" w:rsidR="005E6DF3" w:rsidRDefault="005C671B" w:rsidRPr="00B27A29">
            <w:pPr>
              <w:autoSpaceDE w:val="0"/>
              <w:autoSpaceDN w:val="0"/>
              <w:adjustRightInd w:val="0"/>
              <w:spacing w:before="29" w:line="360" w:lineRule="auto"/>
              <w:ind w:left="15"/>
              <w:jc w:val="center"/>
              <w:rPr>
                <w:rFonts w:eastAsiaTheme="minorEastAsia"/>
                <w:color w:themeColor="text1" w:val="000000"/>
                <w:szCs w:val="21"/>
              </w:rPr>
            </w:pPr>
            <w:r w:rsidRPr="00B27A29">
              <w:rPr>
                <w:rFonts w:eastAsiaTheme="minorEastAsia"/>
                <w:color w:themeColor="text1" w:val="000000"/>
                <w:szCs w:val="21"/>
              </w:rPr>
              <w:t>3</w:t>
            </w:r>
          </w:p>
        </w:tc>
        <w:tc>
          <w:tcPr>
            <w:tcW w:type="dxa" w:w="2761"/>
            <w:vAlign w:val="center"/>
          </w:tcPr>
          <w:p w14:paraId="27ECB5AD" w14:textId="77777777" w:rsidR="005E6DF3" w:rsidRDefault="005C671B" w:rsidRPr="00B27A29">
            <w:pPr>
              <w:autoSpaceDE w:val="0"/>
              <w:autoSpaceDN w:val="0"/>
              <w:adjustRightInd w:val="0"/>
              <w:spacing w:before="29" w:line="360" w:lineRule="auto"/>
              <w:ind w:left="15"/>
              <w:jc w:val="left"/>
              <w:rPr>
                <w:rFonts w:eastAsiaTheme="minorEastAsia"/>
                <w:color w:themeColor="text1" w:val="000000"/>
                <w:kern w:val="0"/>
                <w:szCs w:val="21"/>
              </w:rPr>
            </w:pPr>
            <w:r w:rsidRPr="00B27A29">
              <w:rPr>
                <w:rFonts w:eastAsiaTheme="minorEastAsia"/>
                <w:color w:themeColor="text1" w:val="000000"/>
                <w:kern w:val="0"/>
                <w:szCs w:val="21"/>
              </w:rPr>
              <w:t>应收股利</w:t>
            </w:r>
          </w:p>
        </w:tc>
        <w:tc>
          <w:tcPr>
            <w:tcW w:type="dxa" w:w="4808"/>
            <w:vAlign w:val="center"/>
          </w:tcPr>
          <w:p w14:paraId="3F0271E2" w14:textId="77777777" w:rsidR="005E6DF3" w:rsidRDefault="005C671B" w:rsidRPr="00B27A29">
            <w:pPr>
              <w:autoSpaceDE w:val="0"/>
              <w:autoSpaceDN w:val="0"/>
              <w:adjustRightInd w:val="0"/>
              <w:spacing w:before="29" w:line="360" w:lineRule="auto"/>
              <w:ind w:left="15"/>
              <w:jc w:val="right"/>
              <w:rPr>
                <w:rFonts w:eastAsiaTheme="minorEastAsia"/>
                <w:color w:themeColor="text1" w:val="000000"/>
                <w:kern w:val="0"/>
                <w:szCs w:val="21"/>
              </w:rPr>
            </w:pPr>
            <w:r w:rsidRPr="00B27A29">
              <w:rPr>
                <w:rFonts w:eastAsiaTheme="minorEastAsia"/>
                <w:color w:themeColor="text1" w:val="000000"/>
                <w:kern w:val="0"/>
                <w:szCs w:val="21"/>
              </w:rPr>
              <w:t/>
            </w:r>
            <w:proofErr w:type="spellStart"/>
            <w:r w:rsidRPr="00B27A29">
              <w:rPr>
                <w:rFonts w:eastAsiaTheme="minorEastAsia"/>
                <w:color w:themeColor="text1" w:val="000000"/>
                <w:kern w:val="0"/>
                <w:szCs w:val="21"/>
              </w:rPr>
              <w:t/>
            </w:r>
            <w:proofErr w:type="spellEnd"/>
            <w:r w:rsidRPr="00B27A29">
              <w:rPr>
                <w:rFonts w:eastAsiaTheme="minorEastAsia"/>
                <w:color w:themeColor="text1" w:val="000000"/>
                <w:kern w:val="0"/>
                <w:szCs w:val="21"/>
              </w:rPr>
              <w:t>-</w:t>
            </w:r>
          </w:p>
        </w:tc>
      </w:tr>
      <w:tr w14:paraId="2BBDA50A" w14:textId="77777777" w:rsidR="005E6DF3" w:rsidRPr="00B27A29">
        <w:tc>
          <w:tcPr>
            <w:tcW w:type="dxa" w:w="1110"/>
            <w:vAlign w:val="center"/>
          </w:tcPr>
          <w:p w14:paraId="7F43A7E0" w14:textId="77777777" w:rsidR="005E6DF3" w:rsidRDefault="005C671B" w:rsidRPr="00B27A29">
            <w:pPr>
              <w:autoSpaceDE w:val="0"/>
              <w:autoSpaceDN w:val="0"/>
              <w:adjustRightInd w:val="0"/>
              <w:spacing w:before="29" w:line="360" w:lineRule="auto"/>
              <w:ind w:left="15"/>
              <w:jc w:val="center"/>
              <w:rPr>
                <w:rFonts w:eastAsiaTheme="minorEastAsia"/>
                <w:color w:themeColor="text1" w:val="000000"/>
                <w:szCs w:val="21"/>
              </w:rPr>
            </w:pPr>
            <w:r w:rsidRPr="00B27A29">
              <w:rPr>
                <w:rFonts w:eastAsiaTheme="minorEastAsia"/>
                <w:color w:themeColor="text1" w:val="000000"/>
                <w:szCs w:val="21"/>
              </w:rPr>
              <w:t>4</w:t>
            </w:r>
          </w:p>
        </w:tc>
        <w:tc>
          <w:tcPr>
            <w:tcW w:type="dxa" w:w="2761"/>
            <w:vAlign w:val="center"/>
          </w:tcPr>
          <w:p w14:paraId="618C3708" w14:textId="77777777" w:rsidR="005E6DF3" w:rsidRDefault="005C671B" w:rsidRPr="00B27A29">
            <w:pPr>
              <w:autoSpaceDE w:val="0"/>
              <w:autoSpaceDN w:val="0"/>
              <w:adjustRightInd w:val="0"/>
              <w:spacing w:before="29" w:line="360" w:lineRule="auto"/>
              <w:ind w:left="15"/>
              <w:jc w:val="left"/>
              <w:rPr>
                <w:rFonts w:eastAsiaTheme="minorEastAsia"/>
                <w:color w:themeColor="text1" w:val="000000"/>
                <w:kern w:val="0"/>
                <w:szCs w:val="21"/>
              </w:rPr>
            </w:pPr>
            <w:r w:rsidRPr="00B27A29">
              <w:rPr>
                <w:rFonts w:eastAsiaTheme="minorEastAsia"/>
                <w:color w:themeColor="text1" w:val="000000"/>
                <w:kern w:val="0"/>
                <w:szCs w:val="21"/>
              </w:rPr>
              <w:t>应收利息</w:t>
            </w:r>
          </w:p>
        </w:tc>
        <w:tc>
          <w:tcPr>
            <w:tcW w:type="dxa" w:w="4808"/>
            <w:vAlign w:val="center"/>
          </w:tcPr>
          <w:p w14:paraId="5B281515" w14:textId="77777777" w:rsidR="005E6DF3" w:rsidRDefault="005C671B" w:rsidRPr="00B27A29">
            <w:pPr>
              <w:autoSpaceDE w:val="0"/>
              <w:autoSpaceDN w:val="0"/>
              <w:adjustRightInd w:val="0"/>
              <w:spacing w:before="29" w:line="360" w:lineRule="auto"/>
              <w:ind w:left="15"/>
              <w:jc w:val="right"/>
              <w:rPr>
                <w:rFonts w:eastAsiaTheme="minorEastAsia"/>
                <w:color w:themeColor="text1" w:val="000000"/>
                <w:kern w:val="0"/>
                <w:szCs w:val="21"/>
              </w:rPr>
            </w:pPr>
            <w:r w:rsidRPr="00B27A29">
              <w:rPr>
                <w:rFonts w:eastAsiaTheme="minorEastAsia"/>
                <w:color w:themeColor="text1" w:val="000000"/>
                <w:kern w:val="0"/>
                <w:szCs w:val="21"/>
              </w:rPr>
              <w:t/>
            </w:r>
            <w:proofErr w:type="spellStart"/>
            <w:r w:rsidRPr="00B27A29">
              <w:rPr>
                <w:rFonts w:eastAsiaTheme="minorEastAsia"/>
                <w:color w:themeColor="text1" w:val="000000"/>
                <w:kern w:val="0"/>
                <w:szCs w:val="21"/>
              </w:rPr>
              <w:t/>
            </w:r>
            <w:proofErr w:type="spellEnd"/>
            <w:r w:rsidRPr="00B27A29">
              <w:rPr>
                <w:rFonts w:eastAsiaTheme="minorEastAsia"/>
                <w:color w:themeColor="text1" w:val="000000"/>
                <w:kern w:val="0"/>
                <w:szCs w:val="21"/>
              </w:rPr>
              <w:t>3,892,331.50</w:t>
            </w:r>
          </w:p>
        </w:tc>
      </w:tr>
      <w:tr w14:paraId="4107EA2D" w14:textId="77777777" w:rsidR="005E6DF3" w:rsidRPr="00B27A29">
        <w:tc>
          <w:tcPr>
            <w:tcW w:type="dxa" w:w="1110"/>
            <w:vAlign w:val="center"/>
          </w:tcPr>
          <w:p w14:paraId="25714561" w14:textId="77777777" w:rsidR="005E6DF3" w:rsidRDefault="005C671B" w:rsidRPr="00B27A29">
            <w:pPr>
              <w:autoSpaceDE w:val="0"/>
              <w:autoSpaceDN w:val="0"/>
              <w:adjustRightInd w:val="0"/>
              <w:spacing w:before="29" w:line="360" w:lineRule="auto"/>
              <w:ind w:left="15"/>
              <w:jc w:val="center"/>
              <w:rPr>
                <w:rFonts w:eastAsiaTheme="minorEastAsia"/>
                <w:color w:themeColor="text1" w:val="000000"/>
                <w:szCs w:val="21"/>
              </w:rPr>
            </w:pPr>
            <w:r w:rsidRPr="00B27A29">
              <w:rPr>
                <w:rFonts w:eastAsiaTheme="minorEastAsia"/>
                <w:color w:themeColor="text1" w:val="000000"/>
                <w:szCs w:val="21"/>
              </w:rPr>
              <w:t>5</w:t>
            </w:r>
          </w:p>
        </w:tc>
        <w:tc>
          <w:tcPr>
            <w:tcW w:type="dxa" w:w="2761"/>
            <w:vAlign w:val="center"/>
          </w:tcPr>
          <w:p w14:paraId="057F5E6D" w14:textId="77777777" w:rsidR="005E6DF3" w:rsidRDefault="005C671B" w:rsidRPr="00B27A29">
            <w:pPr>
              <w:autoSpaceDE w:val="0"/>
              <w:autoSpaceDN w:val="0"/>
              <w:adjustRightInd w:val="0"/>
              <w:spacing w:before="29" w:line="360" w:lineRule="auto"/>
              <w:ind w:left="15"/>
              <w:jc w:val="left"/>
              <w:rPr>
                <w:rFonts w:eastAsiaTheme="minorEastAsia"/>
                <w:color w:themeColor="text1" w:val="000000"/>
                <w:kern w:val="0"/>
                <w:szCs w:val="21"/>
              </w:rPr>
            </w:pPr>
            <w:r w:rsidRPr="00B27A29">
              <w:rPr>
                <w:rFonts w:eastAsiaTheme="minorEastAsia"/>
                <w:color w:themeColor="text1" w:val="000000"/>
                <w:kern w:val="0"/>
                <w:szCs w:val="21"/>
              </w:rPr>
              <w:t>应收申购款</w:t>
            </w:r>
          </w:p>
        </w:tc>
        <w:tc>
          <w:tcPr>
            <w:tcW w:type="dxa" w:w="4808"/>
            <w:vAlign w:val="center"/>
          </w:tcPr>
          <w:p w14:paraId="02563A51" w14:textId="77777777" w:rsidR="005E6DF3" w:rsidRDefault="005C671B" w:rsidRPr="00B27A29">
            <w:pPr>
              <w:autoSpaceDE w:val="0"/>
              <w:autoSpaceDN w:val="0"/>
              <w:adjustRightInd w:val="0"/>
              <w:spacing w:before="29" w:line="360" w:lineRule="auto"/>
              <w:ind w:left="15"/>
              <w:jc w:val="right"/>
              <w:rPr>
                <w:rFonts w:eastAsiaTheme="minorEastAsia"/>
                <w:color w:themeColor="text1" w:val="000000"/>
                <w:kern w:val="0"/>
                <w:szCs w:val="21"/>
              </w:rPr>
            </w:pPr>
            <w:r w:rsidRPr="00B27A29">
              <w:rPr>
                <w:rFonts w:eastAsiaTheme="minorEastAsia"/>
                <w:color w:themeColor="text1" w:val="000000"/>
                <w:kern w:val="0"/>
                <w:szCs w:val="21"/>
              </w:rPr>
              <w:t/>
            </w:r>
            <w:proofErr w:type="spellStart"/>
            <w:r w:rsidRPr="00B27A29">
              <w:rPr>
                <w:rFonts w:eastAsiaTheme="minorEastAsia"/>
                <w:color w:themeColor="text1" w:val="000000"/>
                <w:kern w:val="0"/>
                <w:szCs w:val="21"/>
              </w:rPr>
              <w:t/>
            </w:r>
            <w:proofErr w:type="spellEnd"/>
            <w:r w:rsidRPr="00B27A29">
              <w:rPr>
                <w:rFonts w:eastAsiaTheme="minorEastAsia"/>
                <w:color w:themeColor="text1" w:val="000000"/>
                <w:kern w:val="0"/>
                <w:szCs w:val="21"/>
              </w:rPr>
              <w:t>8,299.57</w:t>
            </w:r>
          </w:p>
        </w:tc>
      </w:tr>
      <w:tr w14:paraId="4DFDADFE" w14:textId="77777777" w:rsidR="005E6DF3" w:rsidRPr="00B27A29">
        <w:tc>
          <w:tcPr>
            <w:tcW w:type="dxa" w:w="1110"/>
            <w:vAlign w:val="center"/>
          </w:tcPr>
          <w:p w14:paraId="67AF9564" w14:textId="77777777" w:rsidR="005E6DF3" w:rsidRDefault="005C671B" w:rsidRPr="00B27A29">
            <w:pPr>
              <w:autoSpaceDE w:val="0"/>
              <w:autoSpaceDN w:val="0"/>
              <w:adjustRightInd w:val="0"/>
              <w:spacing w:before="29" w:line="360" w:lineRule="auto"/>
              <w:ind w:left="15"/>
              <w:jc w:val="center"/>
              <w:rPr>
                <w:rFonts w:eastAsiaTheme="minorEastAsia"/>
                <w:color w:themeColor="text1" w:val="000000"/>
                <w:szCs w:val="21"/>
              </w:rPr>
            </w:pPr>
            <w:r w:rsidRPr="00B27A29">
              <w:rPr>
                <w:rFonts w:eastAsiaTheme="minorEastAsia"/>
                <w:color w:themeColor="text1" w:val="000000"/>
                <w:szCs w:val="21"/>
              </w:rPr>
              <w:t>6</w:t>
            </w:r>
          </w:p>
        </w:tc>
        <w:tc>
          <w:tcPr>
            <w:tcW w:type="dxa" w:w="2761"/>
            <w:vAlign w:val="center"/>
          </w:tcPr>
          <w:p w14:paraId="56031463" w14:textId="77777777" w:rsidR="005E6DF3" w:rsidRDefault="005C671B" w:rsidRPr="00B27A29">
            <w:pPr>
              <w:autoSpaceDE w:val="0"/>
              <w:autoSpaceDN w:val="0"/>
              <w:adjustRightInd w:val="0"/>
              <w:spacing w:before="29" w:line="360" w:lineRule="auto"/>
              <w:ind w:left="15"/>
              <w:jc w:val="left"/>
              <w:rPr>
                <w:rFonts w:eastAsiaTheme="minorEastAsia"/>
                <w:color w:themeColor="text1" w:val="000000"/>
                <w:kern w:val="0"/>
                <w:szCs w:val="21"/>
              </w:rPr>
            </w:pPr>
            <w:r w:rsidRPr="00B27A29">
              <w:rPr>
                <w:rFonts w:eastAsiaTheme="minorEastAsia"/>
                <w:color w:themeColor="text1" w:val="000000"/>
                <w:kern w:val="0"/>
                <w:szCs w:val="21"/>
              </w:rPr>
              <w:t>其他应收款</w:t>
            </w:r>
          </w:p>
        </w:tc>
        <w:tc>
          <w:tcPr>
            <w:tcW w:type="dxa" w:w="4808"/>
            <w:vAlign w:val="center"/>
          </w:tcPr>
          <w:p w14:paraId="4F320BDB" w14:textId="77777777" w:rsidR="005E6DF3" w:rsidRDefault="005C671B" w:rsidRPr="00B27A29">
            <w:pPr>
              <w:autoSpaceDE w:val="0"/>
              <w:autoSpaceDN w:val="0"/>
              <w:adjustRightInd w:val="0"/>
              <w:spacing w:before="29" w:line="360" w:lineRule="auto"/>
              <w:ind w:left="15"/>
              <w:jc w:val="right"/>
              <w:rPr>
                <w:rFonts w:eastAsiaTheme="minorEastAsia"/>
                <w:color w:themeColor="text1" w:val="000000"/>
                <w:kern w:val="0"/>
                <w:szCs w:val="21"/>
              </w:rPr>
            </w:pPr>
            <w:r w:rsidRPr="00B27A29">
              <w:rPr>
                <w:rFonts w:eastAsiaTheme="minorEastAsia"/>
                <w:color w:themeColor="text1" w:val="000000"/>
                <w:kern w:val="0"/>
                <w:szCs w:val="21"/>
              </w:rPr>
              <w:t/>
            </w:r>
            <w:proofErr w:type="spellStart"/>
            <w:r w:rsidRPr="00B27A29">
              <w:rPr>
                <w:rFonts w:eastAsiaTheme="minorEastAsia"/>
                <w:color w:themeColor="text1" w:val="000000"/>
                <w:kern w:val="0"/>
                <w:szCs w:val="21"/>
              </w:rPr>
              <w:t/>
            </w:r>
            <w:proofErr w:type="spellEnd"/>
            <w:r w:rsidRPr="00B27A29">
              <w:rPr>
                <w:rFonts w:eastAsiaTheme="minorEastAsia"/>
                <w:color w:themeColor="text1" w:val="000000"/>
                <w:kern w:val="0"/>
                <w:szCs w:val="21"/>
              </w:rPr>
              <w:t>-</w:t>
            </w:r>
          </w:p>
        </w:tc>
      </w:tr>
      <w:tr w14:paraId="29E3D7AF" w14:textId="77777777" w:rsidR="005E6DF3" w:rsidRPr="00B27A29">
        <w:tc>
          <w:tcPr>
            <w:tcW w:type="dxa" w:w="1110"/>
            <w:vAlign w:val="center"/>
          </w:tcPr>
          <w:p w14:paraId="1808D686" w14:textId="77777777" w:rsidR="005E6DF3" w:rsidRDefault="005C671B" w:rsidRPr="00B27A29">
            <w:pPr>
              <w:autoSpaceDE w:val="0"/>
              <w:autoSpaceDN w:val="0"/>
              <w:adjustRightInd w:val="0"/>
              <w:spacing w:before="29" w:line="360" w:lineRule="auto"/>
              <w:ind w:left="15"/>
              <w:jc w:val="center"/>
              <w:rPr>
                <w:rFonts w:eastAsiaTheme="minorEastAsia"/>
                <w:color w:themeColor="text1" w:val="000000"/>
                <w:szCs w:val="21"/>
              </w:rPr>
            </w:pPr>
            <w:r w:rsidRPr="00B27A29">
              <w:rPr>
                <w:rFonts w:eastAsiaTheme="minorEastAsia"/>
                <w:color w:themeColor="text1" w:val="000000"/>
                <w:szCs w:val="21"/>
              </w:rPr>
              <w:t>7</w:t>
            </w:r>
          </w:p>
        </w:tc>
        <w:tc>
          <w:tcPr>
            <w:tcW w:type="dxa" w:w="2761"/>
            <w:vAlign w:val="center"/>
          </w:tcPr>
          <w:p w14:paraId="261A7FB7" w14:textId="77777777" w:rsidR="005E6DF3" w:rsidRDefault="005C671B" w:rsidRPr="00B27A29">
            <w:pPr>
              <w:autoSpaceDE w:val="0"/>
              <w:autoSpaceDN w:val="0"/>
              <w:adjustRightInd w:val="0"/>
              <w:spacing w:before="29" w:line="360" w:lineRule="auto"/>
              <w:ind w:left="15"/>
              <w:jc w:val="left"/>
              <w:rPr>
                <w:rFonts w:eastAsiaTheme="minorEastAsia"/>
                <w:color w:themeColor="text1" w:val="000000"/>
                <w:szCs w:val="21"/>
              </w:rPr>
            </w:pPr>
            <w:r w:rsidRPr="00B27A29">
              <w:rPr>
                <w:rFonts w:eastAsiaTheme="minorEastAsia"/>
                <w:color w:themeColor="text1" w:val="000000"/>
                <w:szCs w:val="21"/>
              </w:rPr>
              <w:t>待摊费用</w:t>
            </w:r>
          </w:p>
        </w:tc>
        <w:tc>
          <w:tcPr>
            <w:tcW w:type="dxa" w:w="4808"/>
            <w:vAlign w:val="center"/>
          </w:tcPr>
          <w:p w14:paraId="61A24953" w14:textId="77777777" w:rsidR="005E6DF3" w:rsidRDefault="005C671B" w:rsidRPr="00B27A29">
            <w:pPr>
              <w:autoSpaceDE w:val="0"/>
              <w:autoSpaceDN w:val="0"/>
              <w:adjustRightInd w:val="0"/>
              <w:spacing w:before="29" w:line="360" w:lineRule="auto"/>
              <w:ind w:left="15"/>
              <w:jc w:val="right"/>
              <w:rPr>
                <w:rFonts w:eastAsiaTheme="minorEastAsia"/>
                <w:color w:themeColor="text1" w:val="000000"/>
                <w:szCs w:val="21"/>
              </w:rPr>
            </w:pPr>
            <w:r w:rsidRPr="00B27A29">
              <w:rPr>
                <w:rFonts w:eastAsiaTheme="minorEastAsia"/>
                <w:color w:themeColor="text1" w:val="000000"/>
                <w:szCs w:val="21"/>
              </w:rPr>
              <w:t/>
            </w:r>
            <w:proofErr w:type="spellStart"/>
            <w:r w:rsidRPr="00B27A29">
              <w:rPr>
                <w:rFonts w:eastAsiaTheme="minorEastAsia"/>
                <w:color w:themeColor="text1" w:val="000000"/>
                <w:szCs w:val="21"/>
              </w:rPr>
              <w:t/>
            </w:r>
            <w:proofErr w:type="spellEnd"/>
            <w:r w:rsidRPr="00B27A29">
              <w:rPr>
                <w:rFonts w:eastAsiaTheme="minorEastAsia"/>
                <w:color w:themeColor="text1" w:val="000000"/>
                <w:szCs w:val="21"/>
              </w:rPr>
              <w:t>-</w:t>
            </w:r>
          </w:p>
        </w:tc>
      </w:tr>
      <w:tr w14:paraId="3F5F4296" w14:textId="77777777" w:rsidR="005E6DF3" w:rsidRPr="00B27A29">
        <w:tc>
          <w:tcPr>
            <w:tcW w:type="dxa" w:w="1110"/>
            <w:vAlign w:val="center"/>
          </w:tcPr>
          <w:p w14:paraId="6E3F6F4C" w14:textId="77777777" w:rsidR="005E6DF3" w:rsidRDefault="005C671B" w:rsidRPr="00B27A29">
            <w:pPr>
              <w:autoSpaceDE w:val="0"/>
              <w:autoSpaceDN w:val="0"/>
              <w:adjustRightInd w:val="0"/>
              <w:spacing w:before="29" w:line="360" w:lineRule="auto"/>
              <w:ind w:left="15"/>
              <w:jc w:val="center"/>
              <w:rPr>
                <w:rFonts w:eastAsiaTheme="minorEastAsia"/>
                <w:color w:themeColor="text1" w:val="000000"/>
                <w:szCs w:val="21"/>
              </w:rPr>
            </w:pPr>
            <w:r w:rsidRPr="00B27A29">
              <w:rPr>
                <w:rFonts w:eastAsiaTheme="minorEastAsia"/>
                <w:color w:themeColor="text1" w:val="000000"/>
                <w:szCs w:val="21"/>
              </w:rPr>
              <w:t>8</w:t>
            </w:r>
          </w:p>
        </w:tc>
        <w:tc>
          <w:tcPr>
            <w:tcW w:type="dxa" w:w="2761"/>
            <w:vAlign w:val="center"/>
          </w:tcPr>
          <w:p w14:paraId="129DB0F8" w14:textId="77777777" w:rsidR="005E6DF3" w:rsidRDefault="005C671B" w:rsidRPr="00B27A29">
            <w:pPr>
              <w:autoSpaceDE w:val="0"/>
              <w:autoSpaceDN w:val="0"/>
              <w:adjustRightInd w:val="0"/>
              <w:spacing w:before="29" w:line="360" w:lineRule="auto"/>
              <w:ind w:left="15"/>
              <w:jc w:val="left"/>
              <w:rPr>
                <w:rFonts w:eastAsiaTheme="minorEastAsia"/>
                <w:color w:themeColor="text1" w:val="000000"/>
                <w:kern w:val="0"/>
                <w:szCs w:val="21"/>
              </w:rPr>
            </w:pPr>
            <w:r w:rsidRPr="00B27A29">
              <w:rPr>
                <w:rFonts w:eastAsiaTheme="minorEastAsia"/>
                <w:color w:themeColor="text1" w:val="000000"/>
                <w:kern w:val="0"/>
                <w:szCs w:val="21"/>
              </w:rPr>
              <w:t>其他</w:t>
            </w:r>
          </w:p>
        </w:tc>
        <w:tc>
          <w:tcPr>
            <w:tcW w:type="dxa" w:w="4808"/>
            <w:vAlign w:val="center"/>
          </w:tcPr>
          <w:p w14:paraId="469AE566" w14:textId="77777777" w:rsidR="005E6DF3" w:rsidRDefault="005C671B" w:rsidRPr="00B27A29">
            <w:pPr>
              <w:autoSpaceDE w:val="0"/>
              <w:autoSpaceDN w:val="0"/>
              <w:adjustRightInd w:val="0"/>
              <w:spacing w:before="29" w:line="360" w:lineRule="auto"/>
              <w:ind w:left="15"/>
              <w:jc w:val="right"/>
              <w:rPr>
                <w:rFonts w:eastAsiaTheme="minorEastAsia"/>
                <w:color w:themeColor="text1" w:val="000000"/>
                <w:kern w:val="0"/>
                <w:szCs w:val="21"/>
              </w:rPr>
            </w:pPr>
            <w:r w:rsidRPr="00B27A29">
              <w:rPr>
                <w:rFonts w:eastAsiaTheme="minorEastAsia"/>
                <w:color w:themeColor="text1" w:val="000000"/>
                <w:kern w:val="0"/>
                <w:szCs w:val="21"/>
              </w:rPr>
              <w:t/>
            </w:r>
            <w:proofErr w:type="spellStart"/>
            <w:r w:rsidRPr="00B27A29">
              <w:rPr>
                <w:rFonts w:eastAsiaTheme="minorEastAsia"/>
                <w:color w:themeColor="text1" w:val="000000"/>
                <w:kern w:val="0"/>
                <w:szCs w:val="21"/>
              </w:rPr>
              <w:t/>
            </w:r>
            <w:proofErr w:type="spellEnd"/>
            <w:r w:rsidRPr="00B27A29">
              <w:rPr>
                <w:rFonts w:eastAsiaTheme="minorEastAsia"/>
                <w:color w:themeColor="text1" w:val="000000"/>
                <w:kern w:val="0"/>
                <w:szCs w:val="21"/>
              </w:rPr>
              <w:t>-</w:t>
            </w:r>
          </w:p>
        </w:tc>
      </w:tr>
      <w:tr w14:paraId="23E6996B" w14:textId="77777777" w:rsidR="005E6DF3" w:rsidRPr="00B27A29">
        <w:tc>
          <w:tcPr>
            <w:tcW w:type="dxa" w:w="1110"/>
            <w:vAlign w:val="center"/>
          </w:tcPr>
          <w:p w14:paraId="448A47BD" w14:textId="77777777" w:rsidR="005E6DF3" w:rsidRDefault="005C671B" w:rsidRPr="00B27A29">
            <w:pPr>
              <w:autoSpaceDE w:val="0"/>
              <w:autoSpaceDN w:val="0"/>
              <w:adjustRightInd w:val="0"/>
              <w:spacing w:before="29" w:line="360" w:lineRule="auto"/>
              <w:ind w:left="15"/>
              <w:jc w:val="center"/>
              <w:rPr>
                <w:rFonts w:eastAsiaTheme="minorEastAsia"/>
                <w:color w:themeColor="text1" w:val="000000"/>
                <w:szCs w:val="21"/>
              </w:rPr>
            </w:pPr>
            <w:r w:rsidRPr="00B27A29">
              <w:rPr>
                <w:rFonts w:eastAsiaTheme="minorEastAsia"/>
                <w:color w:themeColor="text1" w:val="000000"/>
                <w:szCs w:val="21"/>
              </w:rPr>
              <w:t>9</w:t>
            </w:r>
          </w:p>
        </w:tc>
        <w:tc>
          <w:tcPr>
            <w:tcW w:type="dxa" w:w="2761"/>
            <w:vAlign w:val="center"/>
          </w:tcPr>
          <w:p w14:paraId="07EEEFEF" w14:textId="77777777" w:rsidR="005E6DF3" w:rsidRDefault="005C671B" w:rsidRPr="00B27A29">
            <w:pPr>
              <w:autoSpaceDE w:val="0"/>
              <w:autoSpaceDN w:val="0"/>
              <w:adjustRightInd w:val="0"/>
              <w:spacing w:before="29" w:line="360" w:lineRule="auto"/>
              <w:ind w:left="15"/>
              <w:jc w:val="left"/>
              <w:rPr>
                <w:rFonts w:eastAsiaTheme="minorEastAsia"/>
                <w:color w:themeColor="text1" w:val="000000"/>
                <w:kern w:val="0"/>
                <w:szCs w:val="21"/>
              </w:rPr>
            </w:pPr>
            <w:r w:rsidRPr="00B27A29">
              <w:rPr>
                <w:rFonts w:eastAsiaTheme="minorEastAsia"/>
                <w:color w:themeColor="text1" w:val="000000"/>
                <w:kern w:val="0"/>
                <w:szCs w:val="21"/>
              </w:rPr>
              <w:t>合计</w:t>
            </w:r>
          </w:p>
        </w:tc>
        <w:tc>
          <w:tcPr>
            <w:tcW w:type="dxa" w:w="4808"/>
            <w:vAlign w:val="center"/>
          </w:tcPr>
          <w:p w14:paraId="7477683B" w14:textId="77777777" w:rsidR="005E6DF3" w:rsidRDefault="005C671B" w:rsidRPr="00B27A29">
            <w:pPr>
              <w:autoSpaceDE w:val="0"/>
              <w:autoSpaceDN w:val="0"/>
              <w:adjustRightInd w:val="0"/>
              <w:spacing w:before="29" w:line="360" w:lineRule="auto"/>
              <w:ind w:left="15"/>
              <w:jc w:val="right"/>
              <w:rPr>
                <w:rFonts w:eastAsiaTheme="minorEastAsia"/>
                <w:color w:themeColor="text1" w:val="000000"/>
                <w:kern w:val="0"/>
                <w:szCs w:val="21"/>
              </w:rPr>
            </w:pPr>
            <w:r w:rsidRPr="00B27A29">
              <w:rPr>
                <w:rFonts w:eastAsiaTheme="minorEastAsia"/>
                <w:color w:themeColor="text1" w:val="000000"/>
                <w:kern w:val="0"/>
                <w:szCs w:val="21"/>
              </w:rPr>
              <w:t/>
            </w:r>
            <w:proofErr w:type="spellStart"/>
            <w:r w:rsidRPr="00B27A29">
              <w:rPr>
                <w:rFonts w:eastAsiaTheme="minorEastAsia"/>
                <w:color w:themeColor="text1" w:val="000000"/>
                <w:kern w:val="0"/>
                <w:szCs w:val="21"/>
              </w:rPr>
              <w:t/>
            </w:r>
            <w:proofErr w:type="spellEnd"/>
            <w:r w:rsidRPr="00B27A29">
              <w:rPr>
                <w:rFonts w:eastAsiaTheme="minorEastAsia"/>
                <w:color w:themeColor="text1" w:val="000000"/>
                <w:kern w:val="0"/>
                <w:szCs w:val="21"/>
              </w:rPr>
              <w:t>4,091,203.00</w:t>
            </w:r>
          </w:p>
        </w:tc>
      </w:tr>
    </w:tbl>
    <w:p w14:paraId="528BE5EE" w14:textId="77777777" w:rsidR="005E6DF3" w:rsidRDefault="005C671B" w:rsidRPr="00B27A29">
      <w:pPr>
        <w:autoSpaceDE w:val="0"/>
        <w:autoSpaceDN w:val="0"/>
        <w:adjustRightInd w:val="0"/>
        <w:spacing w:before="312" w:beforeLines="100" w:line="360" w:lineRule="auto"/>
        <w:jc w:val="left"/>
        <w:rPr>
          <w:rFonts w:eastAsiaTheme="minorEastAsia"/>
          <w:b/>
          <w:color w:themeColor="text1" w:val="000000"/>
          <w:kern w:val="0"/>
          <w:szCs w:val="21"/>
        </w:rPr>
      </w:pPr>
      <w:r w:rsidRPr="00B27A29">
        <w:rPr>
          <w:rFonts w:eastAsiaTheme="minorEastAsia"/>
          <w:b/>
          <w:color w:themeColor="text1" w:val="000000"/>
          <w:kern w:val="0"/>
          <w:szCs w:val="21"/>
        </w:rPr>
        <w:t/>
      </w:r>
      <w:proofErr w:type="gramStart"/>
      <w:r w:rsidRPr="00B27A29">
        <w:rPr>
          <w:rFonts w:eastAsiaTheme="minorEastAsia"/>
          <w:b/>
          <w:color w:themeColor="text1" w:val="000000"/>
          <w:kern w:val="0"/>
          <w:szCs w:val="21"/>
        </w:rPr>
        <w:t>5.</w:t>
      </w:r>
      <w:proofErr w:type="gramEnd"/>
      <w:r w:rsidRPr="00B27A29">
        <w:rPr>
          <w:rFonts w:eastAsiaTheme="minorEastAsia"/>
          <w:b/>
          <w:color w:themeColor="text1" w:val="000000"/>
          <w:kern w:val="0"/>
          <w:szCs w:val="21"/>
        </w:rPr>
        <w:t>11.4</w:t>
      </w:r>
      <w:r w:rsidRPr="00B27A29">
        <w:rPr>
          <w:rFonts w:eastAsiaTheme="minorEastAsia"/>
          <w:b/>
          <w:color w:themeColor="text1" w:val="000000"/>
          <w:kern w:val="0"/>
          <w:szCs w:val="21"/>
        </w:rPr>
        <w:t>报告期末持有的处于转股期的可转换债券明细</w:t>
      </w:r>
    </w:p>
    <w:p w14:paraId="5C81D6F8" w14:textId="77777777" w:rsidR="005E6DF3" w:rsidRDefault="005C671B" w:rsidRPr="00B27A29">
      <w:pPr>
        <w:autoSpaceDE w:val="0"/>
        <w:autoSpaceDN w:val="0"/>
        <w:adjustRightInd w:val="0"/>
        <w:spacing w:line="360" w:lineRule="auto"/>
        <w:ind w:firstLine="420" w:firstLineChars="200"/>
        <w:jc w:val="left"/>
        <w:rPr>
          <w:rFonts w:eastAsiaTheme="minorEastAsia"/>
          <w:color w:themeColor="text1" w:val="000000"/>
          <w:szCs w:val="21"/>
        </w:rPr>
      </w:pPr>
      <w:r w:rsidRPr="00B27A29">
        <w:rPr>
          <w:rFonts w:eastAsiaTheme="minorEastAsia"/>
          <w:color w:themeColor="text1" w:val="000000"/>
          <w:szCs w:val="21"/>
        </w:rPr>
        <w:t/>
      </w:r>
      <w:proofErr w:type="spellStart"/>
      <w:r w:rsidRPr="00B27A29">
        <w:rPr>
          <w:rFonts w:eastAsiaTheme="minorEastAsia"/>
          <w:color w:themeColor="text1" w:val="000000"/>
          <w:szCs w:val="21"/>
        </w:rPr>
        <w:t/>
      </w:r>
      <w:proofErr w:type="gramStart"/>
      <w:r w:rsidRPr="00B27A29">
        <w:rPr>
          <w:rFonts w:eastAsiaTheme="minorEastAsia"/>
          <w:color w:themeColor="text1" w:val="000000"/>
          <w:szCs w:val="21"/>
        </w:rPr>
        <w:t/>
      </w:r>
      <w:proofErr w:type="spellEnd"/>
      <w:r w:rsidRPr="00B27A29">
        <w:rPr>
          <w:rFonts w:eastAsiaTheme="minorEastAsia"/>
          <w:color w:themeColor="text1" w:val="000000"/>
          <w:szCs w:val="21"/>
        </w:rPr>
        <w:t/>
      </w:r>
      <w:proofErr w:type="spellStart"/>
      <w:proofErr w:type="gramEnd"/>
      <w:r w:rsidRPr="00B27A29">
        <w:rPr>
          <w:rFonts w:eastAsiaTheme="minorEastAsia"/>
          <w:color w:themeColor="text1" w:val="000000"/>
          <w:szCs w:val="21"/>
        </w:rPr>
        <w:t/>
      </w:r>
      <w:proofErr w:type="spellEnd"/>
      <w:r w:rsidRPr="00B27A29">
        <w:rPr>
          <w:rFonts w:eastAsiaTheme="minorEastAsia"/>
          <w:color w:themeColor="text1" w:val="000000"/>
          <w:szCs w:val="21"/>
        </w:rPr>
        <w:t>本基金本报告期末未持有处于转股期的可转换债券。</w:t>
      </w:r>
    </w:p>
    <w:p w14:paraId="7C20C23B" w14:textId="77777777" w:rsidR="005E6DF3" w:rsidRDefault="005C671B" w:rsidRPr="00B27A29">
      <w:pPr>
        <w:autoSpaceDE w:val="0"/>
        <w:autoSpaceDN w:val="0"/>
        <w:adjustRightInd w:val="0"/>
        <w:spacing w:before="312" w:beforeLines="100" w:line="360" w:lineRule="auto"/>
        <w:jc w:val="left"/>
        <w:rPr>
          <w:rFonts w:eastAsiaTheme="minorEastAsia"/>
          <w:b/>
          <w:bCs/>
          <w:color w:themeColor="text1" w:val="000000"/>
          <w:szCs w:val="21"/>
        </w:rPr>
      </w:pPr>
      <w:r w:rsidRPr="00B27A29">
        <w:rPr>
          <w:rFonts w:eastAsiaTheme="minorEastAsia"/>
          <w:b/>
          <w:color w:themeColor="text1" w:val="000000"/>
          <w:kern w:val="0"/>
          <w:szCs w:val="21"/>
        </w:rPr>
        <w:t/>
      </w:r>
      <w:proofErr w:type="gramStart"/>
      <w:r w:rsidRPr="00B27A29">
        <w:rPr>
          <w:rFonts w:eastAsiaTheme="minorEastAsia"/>
          <w:b/>
          <w:color w:themeColor="text1" w:val="000000"/>
          <w:kern w:val="0"/>
          <w:szCs w:val="21"/>
        </w:rPr>
        <w:t>5.</w:t>
      </w:r>
      <w:proofErr w:type="gramEnd"/>
      <w:r w:rsidRPr="00B27A29">
        <w:rPr>
          <w:rFonts w:eastAsiaTheme="minorEastAsia"/>
          <w:b/>
          <w:color w:themeColor="text1" w:val="000000"/>
          <w:kern w:val="0"/>
          <w:szCs w:val="21"/>
        </w:rPr>
        <w:t>11.5</w:t>
      </w:r>
      <w:r w:rsidRPr="00B27A29">
        <w:rPr>
          <w:rFonts w:eastAsiaTheme="minorEastAsia"/>
          <w:b/>
          <w:bCs/>
          <w:color w:themeColor="text1" w:val="000000"/>
          <w:szCs w:val="21"/>
        </w:rPr>
        <w:t>报告期末前十名股票中存在流通受限情况的说明</w:t>
      </w:r>
    </w:p>
    <w:p w14:paraId="1BAD8FEC" w14:textId="77777777" w:rsidR="005E6DF3" w:rsidRDefault="005C671B" w:rsidRPr="00B27A29">
      <w:pPr>
        <w:autoSpaceDE w:val="0"/>
        <w:autoSpaceDN w:val="0"/>
        <w:adjustRightInd w:val="0"/>
        <w:spacing w:line="360" w:lineRule="auto"/>
        <w:ind w:firstLine="420" w:firstLineChars="200"/>
        <w:jc w:val="left"/>
        <w:rPr>
          <w:rFonts w:eastAsiaTheme="minorEastAsia"/>
          <w:color w:themeColor="text1" w:val="000000"/>
          <w:szCs w:val="21"/>
        </w:rPr>
      </w:pPr>
      <w:r w:rsidRPr="00B27A29">
        <w:rPr>
          <w:rFonts w:eastAsiaTheme="minorEastAsia"/>
          <w:color w:themeColor="text1" w:val="000000"/>
          <w:szCs w:val="21"/>
        </w:rPr>
        <w:lastRenderedPageBreak/>
        <w:t/>
      </w:r>
      <w:proofErr w:type="gramStart"/>
      <w:r w:rsidRPr="00B27A29">
        <w:rPr>
          <w:rFonts w:eastAsiaTheme="minorEastAsia"/>
          <w:color w:themeColor="text1" w:val="000000"/>
          <w:szCs w:val="21"/>
        </w:rPr>
        <w:t/>
      </w:r>
      <w:proofErr w:type="gramEnd"/>
      <w:r w:rsidRPr="00B27A29">
        <w:rPr>
          <w:rFonts w:eastAsiaTheme="minorEastAsia"/>
          <w:color w:themeColor="text1" w:val="000000"/>
          <w:szCs w:val="21"/>
        </w:rPr>
        <w:t>本基金本报告期末前十名股票中不存在流通受限情况。</w:t>
      </w:r>
    </w:p>
    <w:p w14:paraId="6C7715D1" w14:textId="77777777" w:rsidR="005E6DF3" w:rsidRDefault="005C671B" w:rsidRPr="00B27A29">
      <w:pPr>
        <w:spacing w:before="312" w:beforeLines="100" w:line="360" w:lineRule="auto"/>
        <w:rPr>
          <w:rFonts w:eastAsiaTheme="minorEastAsia"/>
          <w:b/>
          <w:color w:themeColor="text1" w:val="000000"/>
          <w:kern w:val="0"/>
          <w:szCs w:val="21"/>
        </w:rPr>
      </w:pPr>
      <w:r w:rsidRPr="00B27A29">
        <w:rPr>
          <w:rFonts w:eastAsiaTheme="minorEastAsia"/>
          <w:b/>
          <w:color w:themeColor="text1" w:val="000000"/>
          <w:kern w:val="0"/>
          <w:szCs w:val="21"/>
        </w:rPr>
        <w:t/>
      </w:r>
      <w:proofErr w:type="spellStart"/>
      <w:r w:rsidRPr="00B27A29">
        <w:rPr>
          <w:rFonts w:eastAsiaTheme="minorEastAsia"/>
          <w:b/>
          <w:color w:themeColor="text1" w:val="000000"/>
          <w:kern w:val="0"/>
          <w:szCs w:val="21"/>
        </w:rPr>
        <w:t/>
      </w:r>
      <w:proofErr w:type="gramStart"/>
      <w:r w:rsidRPr="00B27A29">
        <w:rPr>
          <w:rFonts w:eastAsiaTheme="minorEastAsia"/>
          <w:b/>
          <w:color w:themeColor="text1" w:val="000000"/>
          <w:kern w:val="0"/>
          <w:szCs w:val="21"/>
        </w:rPr>
        <w:t/>
      </w:r>
      <w:proofErr w:type="spellEnd"/>
      <w:r w:rsidRPr="00B27A29">
        <w:rPr>
          <w:rFonts w:eastAsiaTheme="minorEastAsia"/>
          <w:b/>
          <w:color w:themeColor="text1" w:val="000000"/>
          <w:kern w:val="0"/>
          <w:szCs w:val="21"/>
        </w:rPr>
        <w:t/>
      </w:r>
      <w:proofErr w:type="gramEnd"/>
      <w:r w:rsidRPr="00B27A29">
        <w:rPr>
          <w:rFonts w:eastAsiaTheme="minorEastAsia"/>
          <w:b/>
          <w:color w:themeColor="text1" w:val="000000"/>
          <w:kern w:val="0"/>
          <w:szCs w:val="21"/>
        </w:rPr>
        <w:t>5.11.6</w:t>
      </w:r>
      <w:r w:rsidRPr="00B27A29">
        <w:rPr>
          <w:rFonts w:eastAsiaTheme="minorEastAsia"/>
          <w:b/>
          <w:color w:themeColor="text1" w:val="000000"/>
          <w:kern w:val="0"/>
          <w:szCs w:val="21"/>
        </w:rPr>
        <w:t>投资组合报告附注的其他文字描述部分</w:t>
      </w:r>
    </w:p>
    <w:p w14:paraId="2F8CDEE6" w14:textId="77777777" w:rsidR="005E6DF3" w:rsidRDefault="005C671B" w:rsidRPr="00B27A29">
      <w:pPr>
        <w:spacing w:line="360" w:lineRule="auto"/>
        <w:ind w:firstLine="420" w:firstLineChars="200"/>
        <w:rPr>
          <w:rFonts w:eastAsiaTheme="minorEastAsia"/>
          <w:color w:themeColor="text1" w:val="000000"/>
          <w:szCs w:val="21"/>
        </w:rPr>
      </w:pPr>
      <w:r w:rsidRPr="00B27A29">
        <w:rPr>
          <w:rFonts w:eastAsiaTheme="minorEastAsia"/>
          <w:color w:themeColor="text1" w:val="000000"/>
          <w:szCs w:val="21"/>
        </w:rPr>
        <w:t/>
      </w:r>
      <w:proofErr w:type="spellStart"/>
      <w:r w:rsidRPr="00B27A29">
        <w:rPr>
          <w:rFonts w:eastAsiaTheme="minorEastAsia"/>
          <w:color w:themeColor="text1" w:val="000000"/>
          <w:szCs w:val="21"/>
        </w:rPr>
        <w:t/>
      </w:r>
      <w:proofErr w:type="spellEnd"/>
      <w:r w:rsidRPr="00B27A29">
        <w:rPr>
          <w:rFonts w:eastAsiaTheme="minorEastAsia"/>
          <w:color w:themeColor="text1" w:val="000000"/>
          <w:szCs w:val="21"/>
        </w:rPr>
        <w:t>因四舍五入的原因，投资组合报告中分项之和与合计数可能存在尾差。</w:t>
      </w:r>
    </w:p>
    <w:p w14:paraId="4A4FEDA7" w14:textId="77777777" w:rsidR="005E6DF3" w:rsidRDefault="005C671B" w:rsidRPr="00B27A29">
      <w:pPr>
        <w:pStyle w:val="1"/>
        <w:spacing w:after="312" w:afterLines="100" w:before="312" w:beforeLines="100" w:line="360" w:lineRule="auto"/>
        <w:jc w:val="center"/>
        <w:rPr>
          <w:rFonts w:eastAsiaTheme="minorEastAsia"/>
          <w:color w:themeColor="text1" w:val="000000"/>
          <w:kern w:val="0"/>
          <w:sz w:val="21"/>
          <w:szCs w:val="21"/>
        </w:rPr>
      </w:pPr>
      <w:r w:rsidRPr="00B27A29">
        <w:rPr>
          <w:rFonts w:eastAsiaTheme="minorEastAsia"/>
          <w:color w:themeColor="text1" w:val="000000"/>
          <w:kern w:val="0"/>
          <w:sz w:val="21"/>
          <w:szCs w:val="21"/>
        </w:rPr>
        <w:t xml:space="preserve">§6  </w:t>
      </w:r>
      <w:r w:rsidRPr="00B27A29">
        <w:rPr>
          <w:rFonts w:eastAsiaTheme="minorEastAsia"/>
          <w:color w:themeColor="text1" w:val="000000"/>
          <w:kern w:val="0"/>
          <w:sz w:val="21"/>
          <w:szCs w:val="21"/>
        </w:rPr>
        <w:t>开放式基金份额变动</w:t>
      </w:r>
    </w:p>
    <w:p w14:paraId="775D002C" w14:textId="77777777" w:rsidR="005E6DF3" w:rsidRDefault="005C671B" w:rsidRPr="00B27A29">
      <w:pPr>
        <w:autoSpaceDE w:val="0"/>
        <w:autoSpaceDN w:val="0"/>
        <w:adjustRightInd w:val="0"/>
        <w:spacing w:before="29" w:line="288" w:lineRule="auto"/>
        <w:ind w:left="15" w:right="480"/>
        <w:jc w:val="right"/>
        <w:rPr>
          <w:rFonts w:eastAsiaTheme="minorEastAsia"/>
          <w:color w:themeColor="text1" w:val="000000"/>
          <w:kern w:val="0"/>
          <w:szCs w:val="21"/>
        </w:rPr>
      </w:pPr>
      <w:r w:rsidRPr="00B27A29">
        <w:rPr>
          <w:rFonts w:eastAsiaTheme="minorEastAsia"/>
          <w:color w:themeColor="text1" w:val="000000"/>
          <w:kern w:val="0"/>
          <w:szCs w:val="21"/>
        </w:rPr>
        <w:t>单位：份</w:t>
      </w:r>
    </w:p>
    <w:tbl>
      <w:tblPr>
        <w:tblW w:type="dxa" w:w="8634"/>
        <w:tblInd w:type="dxa" w:w="108"/>
        <w:tblLayout w:type="fixed"/>
        <w:tblLook w:firstColumn="1" w:firstRow="1" w:lastColumn="0" w:lastRow="0" w:noHBand="0" w:noVBand="1" w:val="04A0"/>
      </w:tblPr>
      <w:tblGrid>
        <w:gridCol w:w="3900"/>
        <w:gridCol w:w="2367"/>
        <w:gridCol w:w="2367"/>
      </w:tblGrid>
      <w:tr w14:paraId="59109990" w14:textId="77777777" w:rsidR="005E6DF3" w:rsidRPr="00B27A29">
        <w:tc>
          <w:tcPr>
            <w:tcW w:type="dxa" w:w="3900"/>
            <w:tcBorders>
              <w:top w:color="000000" w:space="0" w:sz="8" w:val="single"/>
              <w:left w:color="000000" w:space="0" w:sz="8" w:val="single"/>
              <w:bottom w:color="000000" w:space="0" w:sz="8" w:val="single"/>
              <w:right w:color="000000" w:space="0" w:sz="8" w:val="single"/>
            </w:tcBorders>
            <w:vAlign w:val="center"/>
          </w:tcPr>
          <w:p w14:paraId="45DC9663" w14:textId="77777777" w:rsidR="005E6DF3" w:rsidRDefault="005C671B" w:rsidRPr="00B27A29">
            <w:pPr>
              <w:autoSpaceDE w:val="0"/>
              <w:autoSpaceDN w:val="0"/>
              <w:adjustRightInd w:val="0"/>
              <w:spacing w:before="29" w:line="360" w:lineRule="auto"/>
              <w:ind w:left="17"/>
              <w:jc w:val="center"/>
              <w:rPr>
                <w:rFonts w:eastAsiaTheme="minorEastAsia"/>
                <w:color w:themeColor="text1" w:val="000000"/>
                <w:kern w:val="0"/>
                <w:szCs w:val="21"/>
              </w:rPr>
            </w:pPr>
            <w:r w:rsidRPr="00B27A29">
              <w:rPr>
                <w:rFonts w:eastAsiaTheme="minorEastAsia"/>
                <w:color w:themeColor="text1" w:val="000000"/>
                <w:kern w:val="0"/>
                <w:szCs w:val="21"/>
              </w:rPr>
              <w:t>项目</w:t>
            </w:r>
            <w:r w:rsidRPr="00B27A29">
              <w:rPr>
                <w:color w:themeColor="text1" w:val="000000"/>
                <w:kern w:val="0"/>
                <w:szCs w:val="21"/>
              </w:rPr>
              <w:t/>
            </w:r>
            <w:proofErr w:type="spellStart"/>
            <w:r w:rsidRPr="00B27A29">
              <w:rPr>
                <w:color w:themeColor="text1" w:val="000000"/>
                <w:kern w:val="0"/>
                <w:szCs w:val="21"/>
              </w:rPr>
              <w:t/>
            </w:r>
            <w:proofErr w:type="spellEnd"/>
            <w:r w:rsidRPr="00B27A29">
              <w:rPr>
                <w:color w:themeColor="text1" w:val="000000"/>
                <w:kern w:val="0"/>
                <w:szCs w:val="21"/>
              </w:rPr>
              <w:t/>
            </w:r>
          </w:p>
        </w:tc>
        <w:tc>
          <w:tcPr>
            <w:tcW w:type="dxa" w:w="2367"/>
            <w:tcBorders>
              <w:top w:color="000000" w:space="0" w:sz="8" w:val="single"/>
              <w:left w:color="000000" w:space="0" w:sz="8" w:val="single"/>
              <w:bottom w:color="000000" w:space="0" w:sz="8" w:val="single"/>
              <w:right w:color="000000" w:space="0" w:sz="8" w:val="single"/>
            </w:tcBorders>
            <w:vAlign w:val="center"/>
          </w:tcPr>
          <w:p w14:paraId="3A823E4A" w14:textId="77777777" w:rsidR="005E6DF3" w:rsidRDefault="005C671B" w:rsidRPr="00B27A29">
            <w:pPr>
              <w:autoSpaceDE w:val="0"/>
              <w:autoSpaceDN w:val="0"/>
              <w:adjustRightInd w:val="0"/>
              <w:spacing w:before="29" w:line="360" w:lineRule="auto"/>
              <w:ind w:left="17"/>
              <w:jc w:val="right"/>
              <w:rPr>
                <w:rFonts w:eastAsiaTheme="minorEastAsia"/>
                <w:color w:themeColor="text1" w:val="000000"/>
                <w:szCs w:val="21"/>
              </w:rPr>
            </w:pPr>
            <w:r w:rsidRPr="00B27A29">
              <w:rPr>
                <w:rFonts w:eastAsiaTheme="minorEastAsia"/>
                <w:color w:themeColor="text1" w:val="000000"/>
                <w:kern w:val="0"/>
                <w:szCs w:val="21"/>
              </w:rPr>
              <w:t/>
            </w:r>
            <w:proofErr w:type="spellStart"/>
            <w:r w:rsidRPr="00B27A29">
              <w:rPr>
                <w:rFonts w:eastAsiaTheme="minorEastAsia"/>
                <w:color w:themeColor="text1" w:val="000000"/>
                <w:szCs w:val="21"/>
              </w:rPr>
              <w:t/>
            </w:r>
            <w:proofErr w:type="spellEnd"/>
            <w:r w:rsidRPr="00B27A29">
              <w:rPr>
                <w:rFonts w:eastAsiaTheme="minorEastAsia"/>
                <w:color w:themeColor="text1" w:val="000000"/>
                <w:szCs w:val="21"/>
              </w:rPr>
              <w:t>上投摩根瑞益纯债债券A</w:t>
            </w:r>
          </w:p>
        </w:tc>
        <w:tc>
          <w:tcPr>
            <w:tcW w:type="dxa" w:w="2367"/>
            <w:tcBorders>
              <w:top w:color="000000" w:space="0" w:sz="8" w:val="single"/>
              <w:left w:color="000000" w:space="0" w:sz="8" w:val="single"/>
              <w:bottom w:color="000000" w:space="0" w:sz="8" w:val="single"/>
              <w:right w:color="000000" w:space="0" w:sz="8" w:val="single"/>
            </w:tcBorders>
            <w:vAlign w:val="center"/>
          </w:tcPr>
          <w:p w14:paraId="319C6D0F" w14:textId="77777777" w:rsidR="005E6DF3" w:rsidRDefault="005C671B" w:rsidRPr="00B27A29">
            <w:pPr>
              <w:autoSpaceDE w:val="0"/>
              <w:autoSpaceDN w:val="0"/>
              <w:adjustRightInd w:val="0"/>
              <w:spacing w:before="29" w:line="360" w:lineRule="auto"/>
              <w:ind w:left="17"/>
              <w:jc w:val="right"/>
              <w:rPr>
                <w:rFonts w:eastAsiaTheme="minorEastAsia"/>
                <w:color w:themeColor="text1" w:val="000000"/>
                <w:szCs w:val="21"/>
              </w:rPr>
            </w:pPr>
            <w:r w:rsidRPr="00B27A29">
              <w:rPr>
                <w:rFonts w:eastAsiaTheme="minorEastAsia"/>
                <w:color w:themeColor="text1" w:val="000000"/>
                <w:kern w:val="0"/>
                <w:szCs w:val="21"/>
              </w:rPr>
              <w:t/>
            </w:r>
            <w:r w:rsidRPr="00B27A29">
              <w:rPr>
                <w:rFonts w:eastAsiaTheme="minorEastAsia"/>
                <w:color w:themeColor="text1" w:val="000000"/>
                <w:szCs w:val="21"/>
              </w:rPr>
              <w:t>上投摩根瑞益纯债债券C</w:t>
            </w:r>
          </w:p>
        </w:tc>
      </w:tr>
      <w:tr w14:paraId="5A595E96" w14:textId="77777777" w:rsidR="005E6DF3" w:rsidRPr="00B27A29">
        <w:tc>
          <w:tcPr>
            <w:tcW w:type="dxa" w:w="3900"/>
            <w:tcBorders>
              <w:top w:color="000000" w:space="0" w:sz="8" w:val="single"/>
              <w:left w:color="000000" w:space="0" w:sz="8" w:val="single"/>
              <w:bottom w:color="000000" w:space="0" w:sz="8" w:val="single"/>
              <w:right w:color="000000" w:space="0" w:sz="8" w:val="single"/>
            </w:tcBorders>
            <w:vAlign w:val="center"/>
          </w:tcPr>
          <w:p w14:paraId="277F8648" w14:textId="77777777" w:rsidR="005E6DF3" w:rsidRDefault="005C671B" w:rsidRPr="00B27A29">
            <w:pPr>
              <w:autoSpaceDE w:val="0"/>
              <w:autoSpaceDN w:val="0"/>
              <w:adjustRightInd w:val="0"/>
              <w:spacing w:before="29" w:line="360" w:lineRule="auto"/>
              <w:ind w:left="17"/>
              <w:jc w:val="left"/>
              <w:rPr>
                <w:rFonts w:eastAsiaTheme="minorEastAsia"/>
                <w:color w:themeColor="text1" w:val="000000"/>
                <w:kern w:val="0"/>
                <w:szCs w:val="21"/>
              </w:rPr>
            </w:pPr>
            <w:r w:rsidRPr="00B27A29">
              <w:rPr>
                <w:rFonts w:eastAsiaTheme="minorEastAsia"/>
                <w:color w:themeColor="text1" w:val="000000"/>
                <w:kern w:val="0"/>
                <w:szCs w:val="21"/>
              </w:rPr>
              <w:t>本报告期期</w:t>
            </w:r>
            <w:proofErr w:type="gramStart"/>
            <w:r w:rsidRPr="00B27A29">
              <w:rPr>
                <w:rFonts w:eastAsiaTheme="minorEastAsia"/>
                <w:color w:themeColor="text1" w:val="000000"/>
                <w:kern w:val="0"/>
                <w:szCs w:val="21"/>
              </w:rPr>
              <w:t>初基金</w:t>
            </w:r>
            <w:proofErr w:type="gramEnd"/>
            <w:r w:rsidRPr="00B27A29">
              <w:rPr>
                <w:rFonts w:eastAsiaTheme="minorEastAsia"/>
                <w:color w:themeColor="text1" w:val="000000"/>
                <w:kern w:val="0"/>
                <w:szCs w:val="21"/>
              </w:rPr>
              <w:t>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14:paraId="624F2EB4" w14:textId="77777777" w:rsidR="005E6DF3" w:rsidRDefault="005C671B" w:rsidRPr="00B27A29">
            <w:pPr>
              <w:autoSpaceDE w:val="0"/>
              <w:autoSpaceDN w:val="0"/>
              <w:adjustRightInd w:val="0"/>
              <w:spacing w:before="29" w:line="360" w:lineRule="auto"/>
              <w:ind w:left="17"/>
              <w:jc w:val="right"/>
              <w:rPr>
                <w:rFonts w:eastAsiaTheme="minorEastAsia"/>
                <w:color w:themeColor="text1" w:val="000000"/>
                <w:szCs w:val="21"/>
              </w:rPr>
            </w:pPr>
            <w:r w:rsidRPr="00B27A29">
              <w:rPr>
                <w:rFonts w:eastAsiaTheme="minorEastAsia"/>
                <w:color w:themeColor="text1" w:val="000000"/>
                <w:szCs w:val="21"/>
              </w:rPr>
              <w:t/>
            </w:r>
            <w:proofErr w:type="spellStart"/>
            <w:r w:rsidRPr="00B27A29">
              <w:rPr>
                <w:rFonts w:eastAsiaTheme="minorEastAsia"/>
                <w:color w:themeColor="text1" w:val="000000"/>
                <w:szCs w:val="21"/>
              </w:rPr>
              <w:t/>
            </w:r>
            <w:proofErr w:type="gramStart"/>
            <w:r w:rsidRPr="00B27A29">
              <w:rPr>
                <w:rFonts w:eastAsiaTheme="minorEastAsia"/>
                <w:color w:themeColor="text1" w:val="000000"/>
                <w:szCs w:val="21"/>
              </w:rPr>
              <w:t/>
            </w:r>
            <w:proofErr w:type="spellEnd"/>
            <w:r w:rsidRPr="00B27A29">
              <w:rPr>
                <w:rFonts w:eastAsiaTheme="minorEastAsia"/>
                <w:color w:themeColor="text1" w:val="000000"/>
                <w:szCs w:val="21"/>
              </w:rPr>
              <w:t/>
            </w:r>
            <w:proofErr w:type="gramEnd"/>
            <w:r w:rsidRPr="00B27A29">
              <w:rPr>
                <w:rFonts w:eastAsiaTheme="minorEastAsia"/>
                <w:color w:themeColor="text1" w:val="000000"/>
                <w:szCs w:val="21"/>
              </w:rPr>
              <w:t>166,957,090.34</w:t>
            </w:r>
          </w:p>
        </w:tc>
        <w:tc>
          <w:tcPr>
            <w:tcW w:type="dxa" w:w="2367"/>
            <w:tcBorders>
              <w:top w:color="000000" w:space="0" w:sz="8" w:val="single"/>
              <w:left w:color="000000" w:space="0" w:sz="8" w:val="single"/>
              <w:bottom w:color="000000" w:space="0" w:sz="8" w:val="single"/>
              <w:right w:color="000000" w:space="0" w:sz="8" w:val="single"/>
            </w:tcBorders>
            <w:vAlign w:val="center"/>
          </w:tcPr>
          <w:p w14:paraId="12BF9239" w14:textId="77777777" w:rsidR="005E6DF3" w:rsidRDefault="005C671B" w:rsidRPr="00B27A29">
            <w:pPr>
              <w:autoSpaceDE w:val="0"/>
              <w:autoSpaceDN w:val="0"/>
              <w:adjustRightInd w:val="0"/>
              <w:spacing w:before="29" w:line="360" w:lineRule="auto"/>
              <w:ind w:left="17"/>
              <w:jc w:val="right"/>
              <w:rPr>
                <w:rFonts w:eastAsiaTheme="minorEastAsia"/>
                <w:color w:themeColor="text1" w:val="000000"/>
                <w:szCs w:val="21"/>
              </w:rPr>
            </w:pPr>
            <w:r w:rsidRPr="00B27A29">
              <w:rPr>
                <w:rFonts w:eastAsiaTheme="minorEastAsia"/>
                <w:color w:themeColor="text1" w:val="000000"/>
                <w:szCs w:val="21"/>
              </w:rPr>
              <w:t/>
            </w:r>
            <w:proofErr w:type="spellStart"/>
            <w:r w:rsidRPr="00B27A29">
              <w:rPr>
                <w:rFonts w:eastAsiaTheme="minorEastAsia"/>
                <w:color w:themeColor="text1" w:val="000000"/>
                <w:szCs w:val="21"/>
              </w:rPr>
              <w:t/>
            </w:r>
            <w:proofErr w:type="gramStart"/>
            <w:r w:rsidRPr="00B27A29">
              <w:rPr>
                <w:rFonts w:eastAsiaTheme="minorEastAsia"/>
                <w:color w:themeColor="text1" w:val="000000"/>
                <w:szCs w:val="21"/>
              </w:rPr>
              <w:t/>
            </w:r>
            <w:proofErr w:type="spellEnd"/>
            <w:r w:rsidRPr="00B27A29">
              <w:rPr>
                <w:rFonts w:eastAsiaTheme="minorEastAsia"/>
                <w:color w:themeColor="text1" w:val="000000"/>
                <w:szCs w:val="21"/>
              </w:rPr>
              <w:t/>
            </w:r>
            <w:proofErr w:type="gramEnd"/>
            <w:r w:rsidRPr="00B27A29">
              <w:rPr>
                <w:rFonts w:eastAsiaTheme="minorEastAsia"/>
                <w:color w:themeColor="text1" w:val="000000"/>
                <w:szCs w:val="21"/>
              </w:rPr>
              <w:t>1,173,317.25</w:t>
            </w:r>
          </w:p>
        </w:tc>
      </w:tr>
      <w:tr w14:paraId="127EB167" w14:textId="77777777" w:rsidR="005E6DF3" w:rsidRPr="00B27A29">
        <w:tc>
          <w:tcPr>
            <w:tcW w:type="dxa" w:w="3900"/>
            <w:tcBorders>
              <w:top w:color="000000" w:space="0" w:sz="8" w:val="single"/>
              <w:left w:color="000000" w:space="0" w:sz="8" w:val="single"/>
              <w:bottom w:color="000000" w:space="0" w:sz="8" w:val="single"/>
              <w:right w:color="000000" w:space="0" w:sz="8" w:val="single"/>
            </w:tcBorders>
            <w:vAlign w:val="center"/>
          </w:tcPr>
          <w:p w14:paraId="318E7E14" w14:textId="77777777" w:rsidR="005E6DF3" w:rsidRDefault="005C671B" w:rsidRPr="00B27A29">
            <w:pPr>
              <w:autoSpaceDE w:val="0"/>
              <w:autoSpaceDN w:val="0"/>
              <w:adjustRightInd w:val="0"/>
              <w:spacing w:before="29" w:line="360" w:lineRule="auto"/>
              <w:ind w:left="17"/>
              <w:jc w:val="left"/>
              <w:rPr>
                <w:rFonts w:eastAsiaTheme="minorEastAsia"/>
                <w:color w:themeColor="text1" w:val="000000"/>
                <w:kern w:val="0"/>
                <w:szCs w:val="21"/>
              </w:rPr>
            </w:pPr>
            <w:r w:rsidRPr="00B27A29">
              <w:rPr>
                <w:rFonts w:eastAsiaTheme="minorEastAsia"/>
                <w:color w:themeColor="text1" w:val="000000"/>
                <w:kern w:val="0"/>
                <w:szCs w:val="21"/>
              </w:rPr>
              <w:t/>
            </w:r>
            <w:proofErr w:type="spellStart"/>
            <w:r w:rsidRPr="00B27A29">
              <w:rPr>
                <w:rFonts w:eastAsiaTheme="minorEastAsia"/>
                <w:color w:themeColor="text1" w:val="000000"/>
                <w:kern w:val="0"/>
                <w:szCs w:val="21"/>
              </w:rPr>
              <w:t/>
            </w:r>
            <w:r w:rsidRPr="00B27A29">
              <w:rPr>
                <w:rFonts w:eastAsiaTheme="minorEastAsia"/>
                <w:color w:themeColor="text1" w:val="000000"/>
                <w:szCs w:val="21"/>
              </w:rPr>
              <w:t/>
            </w:r>
            <w:proofErr w:type="spellEnd"/>
            <w:r w:rsidRPr="00B27A29">
              <w:rPr>
                <w:rFonts w:eastAsiaTheme="minorEastAsia"/>
                <w:color w:themeColor="text1" w:val="000000"/>
                <w:kern w:val="0"/>
                <w:szCs w:val="21"/>
              </w:rPr>
              <w:t>报告期期间</w:t>
            </w:r>
            <w:r w:rsidRPr="00B27A29">
              <w:rPr>
                <w:rFonts w:eastAsiaTheme="minorEastAsia"/>
                <w:color w:themeColor="text1" w:val="000000"/>
                <w:kern w:val="0"/>
                <w:szCs w:val="21"/>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14:paraId="42879A16" w14:textId="77777777" w:rsidR="005E6DF3" w:rsidRDefault="005C671B" w:rsidRPr="00B27A29">
            <w:pPr>
              <w:autoSpaceDE w:val="0"/>
              <w:autoSpaceDN w:val="0"/>
              <w:adjustRightInd w:val="0"/>
              <w:spacing w:before="29" w:line="360" w:lineRule="auto"/>
              <w:ind w:left="17"/>
              <w:jc w:val="right"/>
              <w:rPr>
                <w:rFonts w:eastAsiaTheme="minorEastAsia"/>
                <w:color w:themeColor="text1" w:val="000000"/>
                <w:szCs w:val="21"/>
              </w:rPr>
            </w:pPr>
            <w:r w:rsidRPr="00B27A29">
              <w:rPr>
                <w:rFonts w:eastAsiaTheme="minorEastAsia"/>
                <w:color w:themeColor="text1" w:val="000000"/>
                <w:szCs w:val="21"/>
              </w:rPr>
              <w:t/>
            </w:r>
            <w:proofErr w:type="spellStart"/>
            <w:r w:rsidRPr="00B27A29">
              <w:rPr>
                <w:rFonts w:eastAsiaTheme="minorEastAsia"/>
                <w:color w:themeColor="text1" w:val="000000"/>
                <w:szCs w:val="21"/>
              </w:rPr>
              <w:t/>
            </w:r>
            <w:proofErr w:type="spellEnd"/>
            <w:r w:rsidRPr="00B27A29">
              <w:rPr>
                <w:rFonts w:eastAsiaTheme="minorEastAsia"/>
                <w:color w:themeColor="text1" w:val="000000"/>
                <w:szCs w:val="21"/>
              </w:rPr>
              <w:t>385,472.07</w:t>
            </w:r>
          </w:p>
        </w:tc>
        <w:tc>
          <w:tcPr>
            <w:tcW w:type="dxa" w:w="2367"/>
            <w:tcBorders>
              <w:top w:color="000000" w:space="0" w:sz="8" w:val="single"/>
              <w:left w:color="000000" w:space="0" w:sz="8" w:val="single"/>
              <w:bottom w:color="000000" w:space="0" w:sz="8" w:val="single"/>
              <w:right w:color="000000" w:space="0" w:sz="8" w:val="single"/>
            </w:tcBorders>
            <w:vAlign w:val="center"/>
          </w:tcPr>
          <w:p w14:paraId="672F0925" w14:textId="77777777" w:rsidR="005E6DF3" w:rsidRDefault="005C671B" w:rsidRPr="00B27A29">
            <w:pPr>
              <w:autoSpaceDE w:val="0"/>
              <w:autoSpaceDN w:val="0"/>
              <w:adjustRightInd w:val="0"/>
              <w:spacing w:before="29" w:line="360" w:lineRule="auto"/>
              <w:ind w:left="17"/>
              <w:jc w:val="right"/>
              <w:rPr>
                <w:rFonts w:eastAsiaTheme="minorEastAsia"/>
                <w:color w:themeColor="text1" w:val="000000"/>
                <w:szCs w:val="21"/>
              </w:rPr>
            </w:pPr>
            <w:r w:rsidRPr="00B27A29">
              <w:rPr>
                <w:rFonts w:eastAsiaTheme="minorEastAsia"/>
                <w:color w:themeColor="text1" w:val="000000"/>
                <w:szCs w:val="21"/>
              </w:rPr>
              <w:t>9,835,491.31</w:t>
            </w:r>
          </w:p>
        </w:tc>
      </w:tr>
      <w:tr w14:paraId="52F03788" w14:textId="77777777" w:rsidR="005E6DF3" w:rsidRPr="00B27A29">
        <w:tc>
          <w:tcPr>
            <w:tcW w:type="dxa" w:w="3900"/>
            <w:tcBorders>
              <w:top w:color="000000" w:space="0" w:sz="8" w:val="single"/>
              <w:left w:color="000000" w:space="0" w:sz="8" w:val="single"/>
              <w:bottom w:color="000000" w:space="0" w:sz="8" w:val="single"/>
              <w:right w:color="000000" w:space="0" w:sz="8" w:val="single"/>
            </w:tcBorders>
            <w:vAlign w:val="center"/>
          </w:tcPr>
          <w:p w14:paraId="2168718B" w14:textId="77777777" w:rsidR="005E6DF3" w:rsidRDefault="005C671B" w:rsidRPr="00B27A29">
            <w:pPr>
              <w:autoSpaceDE w:val="0"/>
              <w:autoSpaceDN w:val="0"/>
              <w:adjustRightInd w:val="0"/>
              <w:spacing w:before="29" w:line="360" w:lineRule="auto"/>
              <w:ind w:left="17"/>
              <w:jc w:val="left"/>
              <w:rPr>
                <w:rFonts w:eastAsiaTheme="minorEastAsia"/>
                <w:color w:themeColor="text1" w:val="000000"/>
                <w:kern w:val="0"/>
                <w:szCs w:val="21"/>
              </w:rPr>
            </w:pPr>
            <w:r w:rsidRPr="00B27A29">
              <w:rPr>
                <w:rFonts w:eastAsiaTheme="minorEastAsia"/>
                <w:color w:themeColor="text1" w:val="000000"/>
                <w:kern w:val="0"/>
                <w:szCs w:val="21"/>
              </w:rPr>
              <w:t>减：</w:t>
            </w:r>
            <w:r w:rsidRPr="00B27A29">
              <w:rPr>
                <w:rFonts w:eastAsiaTheme="minorEastAsia"/>
                <w:color w:themeColor="text1" w:val="000000"/>
                <w:kern w:val="0"/>
                <w:szCs w:val="21"/>
              </w:rPr>
              <w:t/>
            </w:r>
            <w:proofErr w:type="spellStart"/>
            <w:r w:rsidRPr="00B27A29">
              <w:rPr>
                <w:rFonts w:eastAsiaTheme="minorEastAsia"/>
                <w:color w:themeColor="text1" w:val="000000"/>
                <w:kern w:val="0"/>
                <w:szCs w:val="21"/>
              </w:rPr>
              <w:t/>
            </w:r>
            <w:r w:rsidRPr="00B27A29">
              <w:rPr>
                <w:rFonts w:eastAsiaTheme="minorEastAsia"/>
                <w:color w:themeColor="text1" w:val="000000"/>
                <w:szCs w:val="21"/>
              </w:rPr>
              <w:t/>
            </w:r>
            <w:proofErr w:type="spellEnd"/>
            <w:r w:rsidRPr="00B27A29">
              <w:rPr>
                <w:rFonts w:eastAsiaTheme="minorEastAsia"/>
                <w:color w:themeColor="text1" w:val="000000"/>
                <w:kern w:val="0"/>
                <w:szCs w:val="21"/>
              </w:rPr>
              <w:t>报告期期间</w:t>
            </w:r>
            <w:r w:rsidRPr="00B27A29">
              <w:rPr>
                <w:rFonts w:eastAsiaTheme="minorEastAsia"/>
                <w:color w:themeColor="text1" w:val="000000"/>
                <w:kern w:val="0"/>
                <w:szCs w:val="21"/>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14:paraId="3ED8B305" w14:textId="77777777" w:rsidR="005E6DF3" w:rsidRDefault="005C671B" w:rsidRPr="00B27A29">
            <w:pPr>
              <w:autoSpaceDE w:val="0"/>
              <w:autoSpaceDN w:val="0"/>
              <w:adjustRightInd w:val="0"/>
              <w:spacing w:before="29" w:line="360" w:lineRule="auto"/>
              <w:ind w:left="17"/>
              <w:jc w:val="right"/>
              <w:rPr>
                <w:rFonts w:eastAsiaTheme="minorEastAsia"/>
                <w:color w:themeColor="text1" w:val="000000"/>
                <w:szCs w:val="21"/>
              </w:rPr>
            </w:pPr>
            <w:r w:rsidRPr="00B27A29">
              <w:rPr>
                <w:rFonts w:eastAsiaTheme="minorEastAsia"/>
                <w:color w:themeColor="text1" w:val="000000"/>
                <w:szCs w:val="21"/>
              </w:rPr>
              <w:t/>
            </w:r>
            <w:proofErr w:type="spellStart"/>
            <w:r w:rsidRPr="00B27A29">
              <w:rPr>
                <w:rFonts w:eastAsiaTheme="minorEastAsia"/>
                <w:color w:themeColor="text1" w:val="000000"/>
                <w:szCs w:val="21"/>
              </w:rPr>
              <w:t/>
            </w:r>
            <w:proofErr w:type="spellEnd"/>
            <w:r w:rsidRPr="00B27A29">
              <w:rPr>
                <w:rFonts w:eastAsiaTheme="minorEastAsia"/>
                <w:color w:themeColor="text1" w:val="000000"/>
                <w:szCs w:val="21"/>
              </w:rPr>
              <w:t>4,668,275.57</w:t>
            </w:r>
          </w:p>
        </w:tc>
        <w:tc>
          <w:tcPr>
            <w:tcW w:type="dxa" w:w="2367"/>
            <w:tcBorders>
              <w:top w:color="000000" w:space="0" w:sz="8" w:val="single"/>
              <w:left w:color="000000" w:space="0" w:sz="8" w:val="single"/>
              <w:bottom w:color="000000" w:space="0" w:sz="8" w:val="single"/>
              <w:right w:color="000000" w:space="0" w:sz="8" w:val="single"/>
            </w:tcBorders>
            <w:vAlign w:val="center"/>
          </w:tcPr>
          <w:p w14:paraId="1A589246" w14:textId="77777777" w:rsidR="005E6DF3" w:rsidRDefault="005C671B" w:rsidRPr="00B27A29">
            <w:pPr>
              <w:autoSpaceDE w:val="0"/>
              <w:autoSpaceDN w:val="0"/>
              <w:adjustRightInd w:val="0"/>
              <w:spacing w:before="29" w:line="360" w:lineRule="auto"/>
              <w:ind w:left="17"/>
              <w:jc w:val="right"/>
              <w:rPr>
                <w:rFonts w:eastAsiaTheme="minorEastAsia"/>
                <w:color w:themeColor="text1" w:val="000000"/>
                <w:szCs w:val="21"/>
              </w:rPr>
            </w:pPr>
            <w:r w:rsidRPr="00B27A29">
              <w:rPr>
                <w:rFonts w:eastAsiaTheme="minorEastAsia"/>
                <w:color w:themeColor="text1" w:val="000000"/>
                <w:szCs w:val="21"/>
              </w:rPr>
              <w:t>9,922,707.89</w:t>
            </w:r>
          </w:p>
        </w:tc>
      </w:tr>
      <w:tr w14:paraId="64E1E27F" w14:textId="77777777" w:rsidR="005E6DF3" w:rsidRPr="00B27A29">
        <w:tc>
          <w:tcPr>
            <w:tcW w:type="dxa" w:w="3900"/>
            <w:tcBorders>
              <w:top w:color="000000" w:space="0" w:sz="8" w:val="single"/>
              <w:left w:color="000000" w:space="0" w:sz="8" w:val="single"/>
              <w:bottom w:color="000000" w:space="0" w:sz="8" w:val="single"/>
              <w:right w:color="000000" w:space="0" w:sz="8" w:val="single"/>
            </w:tcBorders>
            <w:vAlign w:val="center"/>
          </w:tcPr>
          <w:p w14:paraId="648F4DC5" w14:textId="77777777" w:rsidR="005E6DF3" w:rsidRDefault="005C671B" w:rsidRPr="00B27A29">
            <w:pPr>
              <w:autoSpaceDE w:val="0"/>
              <w:autoSpaceDN w:val="0"/>
              <w:adjustRightInd w:val="0"/>
              <w:spacing w:before="29" w:line="360" w:lineRule="auto"/>
              <w:ind w:left="17"/>
              <w:jc w:val="left"/>
              <w:rPr>
                <w:rFonts w:eastAsiaTheme="minorEastAsia"/>
                <w:color w:themeColor="text1" w:val="000000"/>
                <w:kern w:val="0"/>
                <w:szCs w:val="21"/>
              </w:rPr>
            </w:pPr>
            <w:r w:rsidRPr="00B27A29">
              <w:rPr>
                <w:rFonts w:eastAsiaTheme="minorEastAsia"/>
                <w:color w:themeColor="text1" w:val="000000"/>
                <w:kern w:val="0"/>
                <w:szCs w:val="21"/>
              </w:rPr>
              <w:t/>
            </w:r>
            <w:proofErr w:type="spellStart"/>
            <w:r w:rsidRPr="00B27A29">
              <w:rPr>
                <w:rFonts w:eastAsiaTheme="minorEastAsia"/>
                <w:color w:themeColor="text1" w:val="000000"/>
                <w:kern w:val="0"/>
                <w:szCs w:val="21"/>
              </w:rPr>
              <w:t/>
            </w:r>
            <w:r w:rsidRPr="00B27A29">
              <w:rPr>
                <w:rFonts w:eastAsiaTheme="minorEastAsia"/>
                <w:color w:themeColor="text1" w:val="000000"/>
                <w:szCs w:val="21"/>
              </w:rPr>
              <w:t/>
            </w:r>
            <w:proofErr w:type="spellEnd"/>
            <w:r w:rsidRPr="00B27A29">
              <w:rPr>
                <w:rFonts w:eastAsiaTheme="minorEastAsia"/>
                <w:color w:themeColor="text1" w:val="000000"/>
                <w:kern w:val="0"/>
                <w:szCs w:val="21"/>
              </w:rPr>
              <w:t>报告期期间</w:t>
            </w:r>
            <w:r w:rsidRPr="00B27A29">
              <w:rPr>
                <w:rFonts w:eastAsiaTheme="minorEastAsia"/>
                <w:color w:themeColor="text1" w:val="000000"/>
                <w:kern w:val="0"/>
                <w:szCs w:val="21"/>
              </w:rPr>
              <w:t>基金拆分变动份额</w:t>
            </w:r>
          </w:p>
        </w:tc>
        <w:tc>
          <w:tcPr>
            <w:tcW w:type="dxa" w:w="2367"/>
            <w:tcBorders>
              <w:top w:color="000000" w:space="0" w:sz="8" w:val="single"/>
              <w:left w:color="000000" w:space="0" w:sz="8" w:val="single"/>
              <w:bottom w:color="000000" w:space="0" w:sz="8" w:val="single"/>
              <w:right w:color="000000" w:space="0" w:sz="8" w:val="single"/>
            </w:tcBorders>
            <w:vAlign w:val="center"/>
          </w:tcPr>
          <w:p w14:paraId="68A777F3" w14:textId="77777777" w:rsidR="005E6DF3" w:rsidRDefault="005C671B" w:rsidRPr="00B27A29">
            <w:pPr>
              <w:autoSpaceDE w:val="0"/>
              <w:autoSpaceDN w:val="0"/>
              <w:adjustRightInd w:val="0"/>
              <w:spacing w:before="29" w:line="360" w:lineRule="auto"/>
              <w:ind w:left="17"/>
              <w:jc w:val="right"/>
              <w:rPr>
                <w:rFonts w:eastAsiaTheme="minorEastAsia"/>
                <w:color w:themeColor="text1" w:val="000000"/>
                <w:szCs w:val="21"/>
              </w:rPr>
            </w:pPr>
            <w:r w:rsidRPr="00B27A29">
              <w:rPr>
                <w:rFonts w:eastAsiaTheme="minorEastAsia"/>
                <w:color w:themeColor="text1" w:val="000000"/>
                <w:szCs w:val="21"/>
              </w:rPr>
              <w:t/>
            </w:r>
            <w:proofErr w:type="spellStart"/>
            <w:r w:rsidRPr="00B27A29">
              <w:rPr>
                <w:rFonts w:eastAsiaTheme="minorEastAsia"/>
                <w:color w:themeColor="text1" w:val="000000"/>
                <w:szCs w:val="21"/>
              </w:rPr>
              <w:t/>
            </w:r>
            <w:proofErr w:type="spellEnd"/>
            <w:r w:rsidRPr="00B27A29">
              <w:rPr>
                <w:rFonts w:eastAsiaTheme="minorEastAsia"/>
                <w:color w:themeColor="text1" w:val="000000"/>
                <w:szCs w:val="21"/>
              </w:rPr>
              <w:t>-</w:t>
            </w:r>
          </w:p>
        </w:tc>
        <w:tc>
          <w:tcPr>
            <w:tcW w:type="dxa" w:w="2367"/>
            <w:tcBorders>
              <w:top w:color="000000" w:space="0" w:sz="8" w:val="single"/>
              <w:left w:color="000000" w:space="0" w:sz="8" w:val="single"/>
              <w:bottom w:color="000000" w:space="0" w:sz="8" w:val="single"/>
              <w:right w:color="000000" w:space="0" w:sz="8" w:val="single"/>
            </w:tcBorders>
            <w:vAlign w:val="center"/>
          </w:tcPr>
          <w:p w14:paraId="7BB18901" w14:textId="77777777" w:rsidR="005E6DF3" w:rsidRDefault="005C671B" w:rsidRPr="00B27A29">
            <w:pPr>
              <w:autoSpaceDE w:val="0"/>
              <w:autoSpaceDN w:val="0"/>
              <w:adjustRightInd w:val="0"/>
              <w:spacing w:before="29" w:line="360" w:lineRule="auto"/>
              <w:ind w:left="17"/>
              <w:jc w:val="right"/>
              <w:rPr>
                <w:rFonts w:eastAsiaTheme="minorEastAsia"/>
                <w:color w:themeColor="text1" w:val="000000"/>
                <w:szCs w:val="21"/>
              </w:rPr>
            </w:pPr>
            <w:r w:rsidRPr="00B27A29">
              <w:rPr>
                <w:rFonts w:eastAsiaTheme="minorEastAsia"/>
                <w:color w:themeColor="text1" w:val="000000"/>
                <w:szCs w:val="21"/>
              </w:rPr>
              <w:t>-</w:t>
            </w:r>
          </w:p>
        </w:tc>
      </w:tr>
      <w:tr w14:paraId="19BFCBD6" w14:textId="77777777" w:rsidR="005E6DF3" w:rsidRPr="00B27A29">
        <w:tc>
          <w:tcPr>
            <w:tcW w:type="dxa" w:w="3900"/>
            <w:tcBorders>
              <w:top w:color="000000" w:space="0" w:sz="8" w:val="single"/>
              <w:left w:color="000000" w:space="0" w:sz="8" w:val="single"/>
              <w:bottom w:color="000000" w:space="0" w:sz="8" w:val="single"/>
              <w:right w:color="000000" w:space="0" w:sz="8" w:val="single"/>
            </w:tcBorders>
            <w:vAlign w:val="center"/>
          </w:tcPr>
          <w:p w14:paraId="48BB1B25" w14:textId="77777777" w:rsidR="005E6DF3" w:rsidRDefault="005C671B" w:rsidRPr="00B27A29">
            <w:pPr>
              <w:autoSpaceDE w:val="0"/>
              <w:autoSpaceDN w:val="0"/>
              <w:adjustRightInd w:val="0"/>
              <w:spacing w:before="29" w:line="360" w:lineRule="auto"/>
              <w:ind w:left="17"/>
              <w:jc w:val="left"/>
              <w:rPr>
                <w:rFonts w:eastAsiaTheme="minorEastAsia"/>
                <w:color w:themeColor="text1" w:val="000000"/>
                <w:kern w:val="0"/>
                <w:szCs w:val="21"/>
              </w:rPr>
            </w:pPr>
            <w:r w:rsidRPr="00B27A29">
              <w:rPr>
                <w:rFonts w:eastAsiaTheme="minorEastAsia"/>
                <w:color w:themeColor="text1" w:val="000000"/>
                <w:kern w:val="0"/>
                <w:szCs w:val="21"/>
              </w:rPr>
              <w:lastRenderedPageBreak/>
              <w:t>本报告期期末基金份额总额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14:paraId="4D0D41B1" w14:textId="77777777" w:rsidR="005E6DF3" w:rsidRDefault="005C671B" w:rsidRPr="00B27A29">
            <w:pPr>
              <w:autoSpaceDE w:val="0"/>
              <w:autoSpaceDN w:val="0"/>
              <w:adjustRightInd w:val="0"/>
              <w:spacing w:before="29" w:line="360" w:lineRule="auto"/>
              <w:ind w:left="17"/>
              <w:jc w:val="right"/>
              <w:rPr>
                <w:rFonts w:eastAsiaTheme="minorEastAsia"/>
                <w:color w:themeColor="text1" w:val="000000"/>
                <w:szCs w:val="21"/>
              </w:rPr>
            </w:pPr>
            <w:r w:rsidRPr="00B27A29">
              <w:rPr>
                <w:rFonts w:eastAsiaTheme="minorEastAsia"/>
                <w:color w:themeColor="text1" w:val="000000"/>
                <w:szCs w:val="21"/>
              </w:rPr>
              <w:t/>
            </w:r>
            <w:proofErr w:type="spellStart"/>
            <w:r w:rsidRPr="00B27A29">
              <w:rPr>
                <w:rFonts w:eastAsiaTheme="minorEastAsia"/>
                <w:color w:themeColor="text1" w:val="000000"/>
                <w:szCs w:val="21"/>
              </w:rPr>
              <w:t/>
            </w:r>
            <w:proofErr w:type="spellEnd"/>
            <w:r w:rsidRPr="00B27A29">
              <w:rPr>
                <w:rFonts w:eastAsiaTheme="minorEastAsia"/>
                <w:color w:themeColor="text1" w:val="000000"/>
                <w:szCs w:val="21"/>
              </w:rPr>
              <w:t>162,674,286.84</w:t>
            </w:r>
          </w:p>
        </w:tc>
        <w:tc>
          <w:tcPr>
            <w:tcW w:type="dxa" w:w="2367"/>
            <w:tcBorders>
              <w:top w:color="000000" w:space="0" w:sz="8" w:val="single"/>
              <w:left w:color="000000" w:space="0" w:sz="8" w:val="single"/>
              <w:bottom w:color="000000" w:space="0" w:sz="8" w:val="single"/>
              <w:right w:color="000000" w:space="0" w:sz="8" w:val="single"/>
            </w:tcBorders>
            <w:vAlign w:val="center"/>
          </w:tcPr>
          <w:p w14:paraId="109E08AF" w14:textId="77777777" w:rsidR="005E6DF3" w:rsidRDefault="005C671B" w:rsidRPr="00B27A29">
            <w:pPr>
              <w:autoSpaceDE w:val="0"/>
              <w:autoSpaceDN w:val="0"/>
              <w:adjustRightInd w:val="0"/>
              <w:spacing w:before="29" w:line="360" w:lineRule="auto"/>
              <w:ind w:left="17"/>
              <w:jc w:val="right"/>
              <w:rPr>
                <w:rFonts w:eastAsiaTheme="minorEastAsia"/>
                <w:color w:themeColor="text1" w:val="000000"/>
                <w:szCs w:val="21"/>
              </w:rPr>
            </w:pPr>
            <w:r w:rsidRPr="00B27A29">
              <w:rPr>
                <w:rFonts w:eastAsiaTheme="minorEastAsia"/>
                <w:color w:themeColor="text1" w:val="000000"/>
                <w:szCs w:val="21"/>
              </w:rPr>
              <w:t>1,086,100.67</w:t>
            </w:r>
          </w:p>
        </w:tc>
      </w:tr>
    </w:tbl>
    <w:p w14:paraId="679B8C87" w14:textId="77777777" w:rsidR="005E6DF3" w:rsidRDefault="005C671B" w:rsidRPr="00B27A29">
      <w:pPr>
        <w:pStyle w:val="1"/>
        <w:tabs>
          <w:tab w:pos="4156" w:val="center"/>
          <w:tab w:pos="8312" w:val="right"/>
        </w:tabs>
        <w:spacing w:after="312" w:afterLines="100" w:before="312" w:beforeLines="100" w:line="360" w:lineRule="auto"/>
        <w:jc w:val="center"/>
        <w:rPr>
          <w:color w:themeColor="text1" w:val="000000"/>
          <w:sz w:val="21"/>
          <w:szCs w:val="21"/>
        </w:rPr>
      </w:pPr>
      <w:r w:rsidRPr="00B27A29">
        <w:rPr>
          <w:rFonts w:eastAsiaTheme="minorEastAsia"/>
          <w:color w:themeColor="text1" w:val="000000"/>
          <w:kern w:val="0"/>
          <w:sz w:val="21"/>
          <w:szCs w:val="21"/>
        </w:rPr>
        <w:t/>
      </w:r>
      <w:proofErr w:type="spellStart"/>
      <w:r w:rsidRPr="00B27A29">
        <w:rPr>
          <w:rFonts w:eastAsiaTheme="minorEastAsia"/>
          <w:color w:themeColor="text1" w:val="000000"/>
          <w:kern w:val="0"/>
          <w:sz w:val="21"/>
          <w:szCs w:val="21"/>
        </w:rPr>
        <w:t/>
      </w:r>
      <w:proofErr w:type="spellEnd"/>
      <w:r w:rsidRPr="00B27A29">
        <w:rPr>
          <w:rFonts w:eastAsiaTheme="minorEastAsia"/>
          <w:color w:themeColor="text1" w:val="000000"/>
          <w:kern w:val="0"/>
          <w:sz w:val="21"/>
          <w:szCs w:val="21"/>
        </w:rPr>
        <w:t>§7</w:t>
      </w:r>
      <w:r w:rsidRPr="00B27A29">
        <w:rPr>
          <w:color w:val="000000"/>
          <w:sz w:val="21"/>
          <w:szCs w:val="21"/>
          <w:shd w:color="auto" w:fill="FFFFFF" w:val="clear"/>
        </w:rPr>
        <w:t>基金管理人运用</w:t>
      </w:r>
      <w:proofErr w:type="gramStart"/>
      <w:r w:rsidRPr="00B27A29">
        <w:rPr>
          <w:color w:val="000000"/>
          <w:sz w:val="21"/>
          <w:szCs w:val="21"/>
          <w:shd w:color="auto" w:fill="FFFFFF" w:val="clear"/>
        </w:rPr>
        <w:t>固有资金</w:t>
      </w:r>
      <w:proofErr w:type="gramEnd"/>
      <w:r w:rsidRPr="00B27A29">
        <w:rPr>
          <w:color w:val="000000"/>
          <w:sz w:val="21"/>
          <w:szCs w:val="21"/>
          <w:shd w:color="auto" w:fill="FFFFFF" w:val="clear"/>
        </w:rPr>
        <w:t>投资本基金情况</w:t>
      </w:r>
    </w:p>
    <w:p w14:paraId="556B0410" w14:textId="77777777" w:rsidR="005E6DF3" w:rsidRDefault="005C671B" w:rsidRPr="00B27A29">
      <w:pPr>
        <w:spacing w:line="360" w:lineRule="auto"/>
        <w:jc w:val="left"/>
        <w:rPr>
          <w:color w:themeColor="text1" w:val="000000"/>
          <w:szCs w:val="21"/>
        </w:rPr>
      </w:pPr>
      <w:r w:rsidRPr="00B27A29">
        <w:rPr>
          <w:b/>
          <w:color w:themeColor="text1" w:val="000000"/>
          <w:szCs w:val="21"/>
        </w:rPr>
        <w:t/>
      </w:r>
      <w:proofErr w:type="spellStart"/>
      <w:r w:rsidRPr="00B27A29">
        <w:rPr>
          <w:b/>
          <w:color w:themeColor="text1" w:val="000000"/>
          <w:szCs w:val="21"/>
        </w:rPr>
        <w:t/>
      </w:r>
      <w:proofErr w:type="gramStart"/>
      <w:r w:rsidRPr="00B27A29">
        <w:rPr>
          <w:b/>
          <w:color w:themeColor="text1" w:val="000000"/>
          <w:szCs w:val="21"/>
        </w:rPr>
        <w:t/>
      </w:r>
      <w:proofErr w:type="spellEnd"/>
      <w:r w:rsidRPr="00B27A29">
        <w:rPr>
          <w:b/>
          <w:color w:themeColor="text1" w:val="000000"/>
          <w:szCs w:val="21"/>
        </w:rPr>
        <w:t/>
      </w:r>
      <w:proofErr w:type="gramEnd"/>
      <w:r w:rsidRPr="00B27A29">
        <w:rPr>
          <w:b/>
          <w:color w:themeColor="text1" w:val="000000"/>
          <w:szCs w:val="21"/>
        </w:rPr>
        <w:t>7.1</w:t>
      </w:r>
      <w:r w:rsidRPr="00B27A29">
        <w:rPr>
          <w:rFonts w:eastAsiaTheme="minorEastAsia"/>
          <w:b/>
          <w:bCs/>
          <w:color w:themeColor="text1" w:val="000000"/>
          <w:kern w:val="44"/>
          <w:szCs w:val="21"/>
        </w:rPr>
        <w:t>基金管理人持有本基金份额变动情况</w:t>
      </w:r>
    </w:p>
    <w:p w14:paraId="1A93269D" w14:textId="77777777" w:rsidR="005E6DF3" w:rsidRDefault="005C671B" w:rsidRPr="00B27A29">
      <w:pPr>
        <w:autoSpaceDE w:val="0"/>
        <w:autoSpaceDN w:val="0"/>
        <w:adjustRightInd w:val="0"/>
        <w:spacing w:line="360" w:lineRule="auto"/>
        <w:ind w:firstLine="420" w:firstLineChars="200"/>
        <w:jc w:val="left"/>
        <w:rPr>
          <w:rFonts w:eastAsiaTheme="minorEastAsia"/>
          <w:color w:themeColor="text1" w:val="000000"/>
          <w:szCs w:val="21"/>
        </w:rPr>
      </w:pPr>
      <w:r w:rsidRPr="00B27A29">
        <w:rPr>
          <w:rFonts w:eastAsiaTheme="minorEastAsia"/>
          <w:color w:themeColor="text1" w:val="000000"/>
          <w:szCs w:val="21"/>
        </w:rPr>
        <w:t/>
      </w:r>
      <w:proofErr w:type="gramStart"/>
      <w:r w:rsidRPr="00B27A29">
        <w:rPr>
          <w:rFonts w:eastAsiaTheme="minorEastAsia"/>
          <w:color w:themeColor="text1" w:val="000000"/>
          <w:szCs w:val="21"/>
        </w:rPr>
        <w:t/>
      </w:r>
      <w:proofErr w:type="spellStart"/>
      <w:proofErr w:type="gramEnd"/>
      <w:r w:rsidRPr="00B27A29">
        <w:rPr>
          <w:rFonts w:eastAsiaTheme="minorEastAsia"/>
          <w:color w:themeColor="text1" w:val="000000"/>
          <w:szCs w:val="21"/>
        </w:rPr>
        <w:t/>
      </w:r>
      <w:proofErr w:type="spellEnd"/>
      <w:r w:rsidRPr="00B27A29">
        <w:rPr>
          <w:rFonts w:eastAsiaTheme="minorEastAsia"/>
          <w:color w:themeColor="text1" w:val="000000"/>
          <w:szCs w:val="21"/>
        </w:rPr>
        <w:t>无。</w:t>
      </w:r>
    </w:p>
    <w:p w14:paraId="21DE2B24" w14:textId="77777777" w:rsidR="005E6DF3" w:rsidRDefault="005C671B" w:rsidRPr="00B27A29">
      <w:pPr>
        <w:pStyle w:val="1"/>
        <w:spacing w:after="312" w:afterLines="100" w:before="312" w:beforeLines="100" w:line="360" w:lineRule="auto"/>
        <w:jc w:val="center"/>
        <w:rPr>
          <w:rFonts w:eastAsiaTheme="minorEastAsia"/>
          <w:color w:themeColor="text1" w:val="000000"/>
          <w:kern w:val="0"/>
          <w:sz w:val="21"/>
          <w:szCs w:val="21"/>
        </w:rPr>
      </w:pPr>
      <w:r w:rsidRPr="00B27A29">
        <w:rPr>
          <w:rFonts w:eastAsiaTheme="minorEastAsia"/>
          <w:color w:themeColor="text1" w:val="000000"/>
          <w:kern w:val="0"/>
          <w:sz w:val="21"/>
          <w:szCs w:val="21"/>
        </w:rPr>
        <w:lastRenderedPageBreak/>
        <w:t/>
      </w:r>
      <w:proofErr w:type="spellStart"/>
      <w:r w:rsidRPr="00B27A29">
        <w:rPr>
          <w:rFonts w:eastAsiaTheme="minorEastAsia"/>
          <w:color w:themeColor="text1" w:val="000000"/>
          <w:kern w:val="0"/>
          <w:sz w:val="21"/>
          <w:szCs w:val="21"/>
        </w:rPr>
        <w:t/>
      </w:r>
      <w:proofErr w:type="spellEnd"/>
      <w:r w:rsidRPr="00B27A29">
        <w:rPr>
          <w:rFonts w:eastAsiaTheme="minorEastAsia"/>
          <w:color w:themeColor="text1" w:val="000000"/>
          <w:kern w:val="0"/>
          <w:sz w:val="21"/>
          <w:szCs w:val="21"/>
        </w:rPr>
        <w:t xml:space="preserve">§8 </w:t>
      </w:r>
      <w:r w:rsidRPr="00B27A29">
        <w:rPr>
          <w:rFonts w:eastAsiaTheme="minorEastAsia"/>
          <w:color w:themeColor="text1" w:val="000000"/>
          <w:kern w:val="0"/>
          <w:sz w:val="21"/>
          <w:szCs w:val="21"/>
        </w:rPr>
        <w:t>影响投资者决策的其他重要信息</w:t>
      </w:r>
    </w:p>
    <w:p w14:paraId="6329C796" w14:textId="77777777" w:rsidR="005E6DF3" w:rsidRDefault="005C671B" w:rsidRPr="00B27A29">
      <w:pPr>
        <w:autoSpaceDE w:val="0"/>
        <w:autoSpaceDN w:val="0"/>
        <w:adjustRightInd w:val="0"/>
        <w:spacing w:line="360" w:lineRule="auto"/>
        <w:jc w:val="left"/>
        <w:rPr>
          <w:b/>
          <w:bCs/>
          <w:color w:val="000000"/>
          <w:kern w:val="0"/>
          <w:szCs w:val="21"/>
        </w:rPr>
      </w:pPr>
      <w:r w:rsidRPr="00B27A29">
        <w:rPr>
          <w:b/>
          <w:color w:val="000000"/>
          <w:kern w:val="0"/>
          <w:szCs w:val="21"/>
        </w:rPr>
        <w:t/>
      </w:r>
      <w:proofErr w:type="spellStart"/>
      <w:r w:rsidRPr="00B27A29">
        <w:rPr>
          <w:b/>
          <w:color w:val="000000"/>
          <w:kern w:val="0"/>
          <w:szCs w:val="21"/>
        </w:rPr>
        <w:t/>
      </w:r>
      <w:proofErr w:type="gramStart"/>
      <w:r w:rsidRPr="00B27A29">
        <w:rPr>
          <w:b/>
          <w:color w:val="000000"/>
          <w:kern w:val="0"/>
          <w:szCs w:val="21"/>
        </w:rPr>
        <w:t/>
      </w:r>
      <w:proofErr w:type="spellEnd"/>
      <w:r w:rsidRPr="00B27A29">
        <w:rPr>
          <w:b/>
          <w:color w:val="000000"/>
          <w:kern w:val="0"/>
          <w:szCs w:val="21"/>
        </w:rPr>
        <w:t/>
      </w:r>
      <w:r w:rsidRPr="00B27A29">
        <w:rPr>
          <w:b/>
          <w:bCs/>
          <w:color w:val="000000"/>
          <w:kern w:val="0"/>
          <w:szCs w:val="21"/>
        </w:rPr>
        <w:t/>
      </w:r>
      <w:proofErr w:type="gramEnd"/>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3"/>
        <w:gridCol w:w="992"/>
        <w:gridCol w:w="1843"/>
        <w:gridCol w:w="851"/>
        <w:gridCol w:w="850"/>
        <w:gridCol w:w="1134"/>
        <w:gridCol w:w="1419"/>
        <w:gridCol w:w="1130"/>
      </w:tblGrid>
      <w:tr w14:paraId="71715497" w14:textId="77777777" w:rsidR="005E6DF3" w:rsidRPr="00B27A29">
        <w:tc>
          <w:tcPr>
            <w:tcW w:type="dxa" w:w="993"/>
            <w:vMerge w:val="restart"/>
            <w:vAlign w:val="center"/>
          </w:tcPr>
          <w:p w14:paraId="54DAB895" w14:textId="77777777" w:rsidR="005E6DF3" w:rsidRDefault="005C671B" w:rsidRPr="00B27A29">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w:r>
            <w:proofErr w:type="spellStart"/>
            <w:r w:rsidRPr="00B27A29">
              <w:rPr>
                <w:color w:val="000000"/>
                <w:kern w:val="0"/>
                <w:szCs w:val="21"/>
              </w:rPr>
              <w:t/>
            </w:r>
            <w:proofErr w:type="spellEnd"/>
            <w:r w:rsidRPr="00B27A29">
              <w:rPr>
                <w:color w:val="000000"/>
                <w:kern w:val="0"/>
                <w:szCs w:val="21"/>
              </w:rPr>
              <w:t/>
            </w:r>
            <w:proofErr w:type="spellStart"/>
            <w:r w:rsidRPr="00B27A29">
              <w:rPr>
                <w:color w:val="000000"/>
                <w:kern w:val="0"/>
                <w:szCs w:val="21"/>
              </w:rPr>
              <w:t/>
            </w:r>
            <w:proofErr w:type="spellEnd"/>
            <w:r w:rsidRPr="00B27A29">
              <w:rPr>
                <w:color w:val="000000"/>
                <w:kern w:val="0"/>
                <w:szCs w:val="21"/>
              </w:rPr>
              <w:t xml:space="preserve">  </w:t>
            </w:r>
          </w:p>
        </w:tc>
        <w:tc>
          <w:tcPr>
            <w:tcW w:type="dxa" w:w="5670"/>
            <w:gridSpan w:val="5"/>
            <w:vAlign w:val="center"/>
          </w:tcPr>
          <w:p w14:paraId="65E805F7" w14:textId="77777777" w:rsidR="005E6DF3" w:rsidRDefault="005C671B" w:rsidRPr="00B27A29">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type="dxa" w:w="2549"/>
            <w:gridSpan w:val="2"/>
            <w:vAlign w:val="center"/>
          </w:tcPr>
          <w:p w14:paraId="1139CCC5" w14:textId="77777777" w:rsidR="005E6DF3" w:rsidRDefault="005C671B" w:rsidRPr="00B27A29">
            <w:pPr>
              <w:autoSpaceDE w:val="0"/>
              <w:autoSpaceDN w:val="0"/>
              <w:adjustRightInd w:val="0"/>
              <w:jc w:val="center"/>
              <w:rPr>
                <w:b/>
                <w:bCs/>
                <w:color w:val="000000"/>
                <w:kern w:val="0"/>
                <w:szCs w:val="21"/>
              </w:rPr>
            </w:pPr>
            <w:r w:rsidRPr="00B27A29">
              <w:rPr>
                <w:color w:val="000000"/>
                <w:kern w:val="0"/>
                <w:szCs w:val="21"/>
              </w:rPr>
              <w:t>报告期末持有基金情况</w:t>
            </w:r>
          </w:p>
        </w:tc>
      </w:tr>
      <w:tr w14:paraId="68859831" w14:textId="77777777" w:rsidR="005E6DF3" w:rsidRPr="00B27A29">
        <w:tc>
          <w:tcPr>
            <w:tcW w:type="dxa" w:w="993"/>
            <w:vMerge/>
            <w:vAlign w:val="center"/>
          </w:tcPr>
          <w:p w14:paraId="23C71972" w14:textId="77777777" w:rsidR="005E6DF3" w:rsidRDefault="005E6DF3" w:rsidRPr="00B27A29">
            <w:pPr>
              <w:autoSpaceDE w:val="0"/>
              <w:autoSpaceDN w:val="0"/>
              <w:adjustRightInd w:val="0"/>
              <w:jc w:val="center"/>
              <w:rPr>
                <w:b/>
                <w:bCs/>
                <w:color w:val="000000"/>
                <w:kern w:val="0"/>
                <w:szCs w:val="21"/>
              </w:rPr>
            </w:pPr>
          </w:p>
        </w:tc>
        <w:tc>
          <w:tcPr>
            <w:tcW w:type="dxa" w:w="992"/>
            <w:vAlign w:val="center"/>
          </w:tcPr>
          <w:p w14:paraId="2827F62B" w14:textId="77777777" w:rsidR="005E6DF3" w:rsidRDefault="005C671B" w:rsidRPr="00B27A29">
            <w:pPr>
              <w:autoSpaceDE w:val="0"/>
              <w:autoSpaceDN w:val="0"/>
              <w:adjustRightInd w:val="0"/>
              <w:jc w:val="center"/>
              <w:rPr>
                <w:b/>
                <w:bCs/>
                <w:color w:val="000000"/>
                <w:kern w:val="0"/>
                <w:szCs w:val="21"/>
              </w:rPr>
            </w:pPr>
            <w:r w:rsidRPr="00B27A29">
              <w:rPr>
                <w:color w:val="000000"/>
                <w:kern w:val="0"/>
                <w:szCs w:val="21"/>
              </w:rPr>
              <w:t>序号</w:t>
            </w:r>
          </w:p>
        </w:tc>
        <w:tc>
          <w:tcPr>
            <w:tcW w:type="dxa" w:w="1843"/>
            <w:vAlign w:val="center"/>
          </w:tcPr>
          <w:p w14:paraId="201B9B9A" w14:textId="77777777" w:rsidR="005E6DF3" w:rsidRDefault="005C671B" w:rsidRPr="00B27A29">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type="dxa" w:w="851"/>
            <w:vAlign w:val="center"/>
          </w:tcPr>
          <w:p w14:paraId="5E2D1D76" w14:textId="77777777" w:rsidR="005E6DF3" w:rsidRDefault="005C671B" w:rsidRPr="00B27A29">
            <w:pPr>
              <w:widowControl/>
              <w:jc w:val="center"/>
              <w:rPr>
                <w:b/>
                <w:bCs/>
                <w:color w:val="000000"/>
                <w:kern w:val="0"/>
                <w:szCs w:val="21"/>
              </w:rPr>
            </w:pPr>
            <w:r w:rsidRPr="00B27A29">
              <w:rPr>
                <w:color w:val="000000"/>
                <w:kern w:val="0"/>
                <w:szCs w:val="21"/>
              </w:rPr>
              <w:t>期初份额</w:t>
            </w:r>
          </w:p>
        </w:tc>
        <w:tc>
          <w:tcPr>
            <w:tcW w:type="dxa" w:w="850"/>
            <w:vAlign w:val="center"/>
          </w:tcPr>
          <w:p w14:paraId="03D032C1" w14:textId="77777777" w:rsidR="005E6DF3" w:rsidRDefault="005C671B" w:rsidRPr="00B27A29">
            <w:pPr>
              <w:widowControl/>
              <w:jc w:val="center"/>
              <w:rPr>
                <w:b/>
                <w:bCs/>
                <w:color w:val="000000"/>
                <w:kern w:val="0"/>
                <w:szCs w:val="21"/>
              </w:rPr>
            </w:pPr>
            <w:r w:rsidRPr="00B27A29">
              <w:rPr>
                <w:color w:val="000000"/>
                <w:kern w:val="0"/>
                <w:szCs w:val="21"/>
              </w:rPr>
              <w:t>申购份额</w:t>
            </w:r>
          </w:p>
        </w:tc>
        <w:tc>
          <w:tcPr>
            <w:tcW w:type="dxa" w:w="1134"/>
            <w:vAlign w:val="center"/>
          </w:tcPr>
          <w:p w14:paraId="6537C564" w14:textId="77777777" w:rsidR="005E6DF3" w:rsidRDefault="005C671B" w:rsidRPr="00B27A29">
            <w:pPr>
              <w:widowControl/>
              <w:jc w:val="center"/>
              <w:rPr>
                <w:b/>
                <w:bCs/>
                <w:color w:val="000000"/>
                <w:kern w:val="0"/>
                <w:szCs w:val="21"/>
              </w:rPr>
            </w:pPr>
            <w:r w:rsidRPr="00B27A29">
              <w:rPr>
                <w:color w:val="000000"/>
                <w:kern w:val="0"/>
                <w:szCs w:val="21"/>
              </w:rPr>
              <w:t>赎回份额</w:t>
            </w:r>
          </w:p>
        </w:tc>
        <w:tc>
          <w:tcPr>
            <w:tcW w:type="dxa" w:w="1419"/>
            <w:vAlign w:val="center"/>
          </w:tcPr>
          <w:p w14:paraId="279C7EC5" w14:textId="77777777" w:rsidR="005E6DF3" w:rsidRDefault="005C671B" w:rsidRPr="00B27A29">
            <w:pPr>
              <w:autoSpaceDE w:val="0"/>
              <w:autoSpaceDN w:val="0"/>
              <w:adjustRightInd w:val="0"/>
              <w:jc w:val="center"/>
              <w:rPr>
                <w:b/>
                <w:bCs/>
                <w:color w:val="000000"/>
                <w:kern w:val="0"/>
                <w:szCs w:val="21"/>
              </w:rPr>
            </w:pPr>
            <w:r w:rsidRPr="00B27A29">
              <w:rPr>
                <w:color w:val="000000"/>
                <w:kern w:val="0"/>
                <w:szCs w:val="21"/>
              </w:rPr>
              <w:t>持有份额</w:t>
            </w:r>
          </w:p>
        </w:tc>
        <w:tc>
          <w:tcPr>
            <w:tcW w:type="dxa" w:w="1130"/>
            <w:vAlign w:val="center"/>
          </w:tcPr>
          <w:p w14:paraId="39B8258E" w14:textId="77777777" w:rsidR="005E6DF3" w:rsidRDefault="005C671B" w:rsidRPr="00B27A29">
            <w:pPr>
              <w:autoSpaceDE w:val="0"/>
              <w:autoSpaceDN w:val="0"/>
              <w:adjustRightInd w:val="0"/>
              <w:jc w:val="center"/>
              <w:rPr>
                <w:b/>
                <w:bCs/>
                <w:color w:val="000000"/>
                <w:kern w:val="0"/>
                <w:szCs w:val="21"/>
              </w:rPr>
            </w:pPr>
            <w:r w:rsidRPr="00B27A29">
              <w:rPr>
                <w:color w:val="000000"/>
                <w:kern w:val="0"/>
                <w:szCs w:val="21"/>
              </w:rPr>
              <w:t>份额占比</w:t>
            </w:r>
          </w:p>
        </w:tc>
      </w:tr>
      <w:tr>
        <w:tc>
          <w:tcPr>
            <w:vMerge w:val="restart"/>
            <w:vAlign w:val="center"/>
          </w:tcPr>
          <w:p>
            <w:r>
              <w:rPr>
                <w:bCs/>
                <w:color w:val="000000"/>
                <w:kern w:val="0"/>
                <w:szCs w:val="21"/>
              </w:rPr>
              <w:t>机构</w:t>
            </w:r>
          </w:p>
        </w:tc>
        <w:tc>
          <w:tcPr>
            <w:vAlign w:val="center"/>
          </w:tcPr>
          <w:p>
            <w:pPr>
              <w:jc w:val="center"/>
            </w:pPr>
            <w:r>
              <w:rPr>
                <w:color w:val="000000"/>
                <w:kern w:val="0"/>
                <w:szCs w:val="21"/>
              </w:rPr>
              <w:t>1</w:t>
            </w:r>
          </w:p>
        </w:tc>
        <w:tc>
          <w:tcPr>
            <w:vAlign w:val="center"/>
          </w:tcPr>
          <w:p>
            <w:pPr>
              <w:jc w:val="center"/>
            </w:pPr>
            <w:r>
              <w:rPr>
                <w:color w:val="000000"/>
                <w:kern w:val="0"/>
                <w:szCs w:val="21"/>
              </w:rPr>
              <w:t>20210701-20210930</w:t>
            </w:r>
          </w:p>
        </w:tc>
        <w:tc>
          <w:tcPr>
            <w:vAlign w:val="center"/>
          </w:tcPr>
          <w:p>
            <w:pPr>
              <w:jc w:val="center"/>
            </w:pPr>
            <w:r>
              <w:rPr>
                <w:color w:val="000000"/>
                <w:kern w:val="0"/>
                <w:szCs w:val="21"/>
              </w:rPr>
              <w:t>97,521,942.66</w:t>
            </w:r>
          </w:p>
        </w:tc>
        <w:tc>
          <w:tcPr>
            <w:vAlign w:val="center"/>
          </w:tcPr>
          <w:p>
            <w:pPr>
              <w:jc w:val="center"/>
            </w:pPr>
            <w:r>
              <w:rPr>
                <w:color w:val="000000"/>
                <w:kern w:val="0"/>
                <w:szCs w:val="21"/>
              </w:rPr>
              <w:t>0.00</w:t>
            </w:r>
          </w:p>
        </w:tc>
        <w:tc>
          <w:tcPr>
            <w:vAlign w:val="center"/>
          </w:tcPr>
          <w:p>
            <w:pPr>
              <w:jc w:val="center"/>
            </w:pPr>
            <w:r>
              <w:rPr>
                <w:color w:val="000000"/>
                <w:kern w:val="0"/>
                <w:szCs w:val="21"/>
              </w:rPr>
              <w:t>0.00</w:t>
            </w:r>
          </w:p>
        </w:tc>
        <w:tc>
          <w:tcPr>
            <w:vAlign w:val="center"/>
          </w:tcPr>
          <w:p>
            <w:pPr>
              <w:jc w:val="center"/>
            </w:pPr>
            <w:r>
              <w:rPr>
                <w:color w:val="000000"/>
                <w:kern w:val="0"/>
                <w:szCs w:val="21"/>
              </w:rPr>
              <w:t>97,521,942.66</w:t>
            </w:r>
          </w:p>
        </w:tc>
        <w:tc>
          <w:tcPr>
            <w:vAlign w:val="center"/>
          </w:tcPr>
          <w:p>
            <w:pPr>
              <w:jc w:val="center"/>
            </w:pPr>
            <w:r>
              <w:rPr>
                <w:color w:val="000000"/>
                <w:kern w:val="0"/>
                <w:szCs w:val="21"/>
              </w:rPr>
              <w:t>59.55%</w:t>
            </w:r>
          </w:p>
        </w:tc>
      </w:tr>
      <w:tr>
        <w:tc>
          <w:tcPr>
            <w:vMerge/>
          </w:tcPr>
          <w:p/>
        </w:tc>
        <w:tc>
          <w:tcPr>
            <w:vAlign w:val="center"/>
          </w:tcPr>
          <w:p>
            <w:pPr>
              <w:jc w:val="center"/>
            </w:pPr>
            <w:r>
              <w:rPr>
                <w:color w:val="000000"/>
                <w:kern w:val="0"/>
                <w:szCs w:val="21"/>
              </w:rPr>
              <w:t>2</w:t>
            </w:r>
          </w:p>
        </w:tc>
        <w:tc>
          <w:tcPr>
            <w:vAlign w:val="center"/>
          </w:tcPr>
          <w:p>
            <w:pPr>
              <w:jc w:val="center"/>
            </w:pPr>
            <w:r>
              <w:rPr>
                <w:color w:val="000000"/>
                <w:kern w:val="0"/>
                <w:szCs w:val="21"/>
              </w:rPr>
              <w:t>20210701-20210930</w:t>
            </w:r>
          </w:p>
        </w:tc>
        <w:tc>
          <w:tcPr>
            <w:vAlign w:val="center"/>
          </w:tcPr>
          <w:p>
            <w:pPr>
              <w:jc w:val="center"/>
            </w:pPr>
            <w:r>
              <w:rPr>
                <w:color w:val="000000"/>
                <w:kern w:val="0"/>
                <w:szCs w:val="21"/>
              </w:rPr>
              <w:t>48,760,483.71</w:t>
            </w:r>
          </w:p>
        </w:tc>
        <w:tc>
          <w:tcPr>
            <w:vAlign w:val="center"/>
          </w:tcPr>
          <w:p>
            <w:pPr>
              <w:jc w:val="center"/>
            </w:pPr>
            <w:r>
              <w:rPr>
                <w:color w:val="000000"/>
                <w:kern w:val="0"/>
                <w:szCs w:val="21"/>
              </w:rPr>
              <w:t>0.00</w:t>
            </w:r>
          </w:p>
        </w:tc>
        <w:tc>
          <w:tcPr>
            <w:vAlign w:val="center"/>
          </w:tcPr>
          <w:p>
            <w:pPr>
              <w:jc w:val="center"/>
            </w:pPr>
            <w:r>
              <w:rPr>
                <w:color w:val="000000"/>
                <w:kern w:val="0"/>
                <w:szCs w:val="21"/>
              </w:rPr>
              <w:t>0.00</w:t>
            </w:r>
          </w:p>
        </w:tc>
        <w:tc>
          <w:tcPr>
            <w:vAlign w:val="center"/>
          </w:tcPr>
          <w:p>
            <w:pPr>
              <w:jc w:val="center"/>
            </w:pPr>
            <w:r>
              <w:rPr>
                <w:color w:val="000000"/>
                <w:kern w:val="0"/>
                <w:szCs w:val="21"/>
              </w:rPr>
              <w:t>48,760,483.71</w:t>
            </w:r>
          </w:p>
        </w:tc>
        <w:tc>
          <w:tcPr>
            <w:vAlign w:val="center"/>
          </w:tcPr>
          <w:p>
            <w:pPr>
              <w:jc w:val="center"/>
            </w:pPr>
            <w:r>
              <w:rPr>
                <w:color w:val="000000"/>
                <w:kern w:val="0"/>
                <w:szCs w:val="21"/>
              </w:rPr>
              <w:t>29.78%</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2"/>
      </w:tblGrid>
      <w:tr w14:paraId="5181AB41" w14:textId="77777777" w:rsidR="005E6DF3" w:rsidRPr="00B27A29">
        <w:tc>
          <w:tcPr>
            <w:tcW w:type="dxa" w:w="9212"/>
            <w:vAlign w:val="center"/>
          </w:tcPr>
          <w:p w14:paraId="6D96E951" w14:textId="77777777" w:rsidR="005E6DF3" w:rsidRDefault="005C671B" w:rsidRPr="00B27A29">
            <w:pPr>
              <w:autoSpaceDE w:val="0"/>
              <w:autoSpaceDN w:val="0"/>
              <w:adjustRightInd w:val="0"/>
              <w:jc w:val="center"/>
              <w:rPr>
                <w:kern w:val="0"/>
                <w:szCs w:val="21"/>
              </w:rPr>
            </w:pPr>
            <w:r w:rsidRPr="00B27A29">
              <w:rPr>
                <w:color w:val="000000"/>
                <w:kern w:val="0"/>
                <w:szCs w:val="21"/>
              </w:rPr>
              <w:t>产品特有风险</w:t>
            </w:r>
            <w:r w:rsidRPr="00B27A29">
              <w:rPr>
                <w:kern w:val="0"/>
                <w:szCs w:val="21"/>
              </w:rPr>
              <w:t/>
            </w:r>
            <w:proofErr w:type="spellStart"/>
            <w:r w:rsidRPr="00B27A29">
              <w:rPr>
                <w:kern w:val="0"/>
                <w:szCs w:val="21"/>
              </w:rPr>
              <w:t/>
            </w:r>
            <w:proofErr w:type="spellEnd"/>
            <w:r w:rsidRPr="00B27A29">
              <w:rPr>
                <w:kern w:val="0"/>
                <w:szCs w:val="21"/>
              </w:rPr>
              <w:t/>
            </w:r>
          </w:p>
        </w:tc>
      </w:tr>
      <w:tr w14:paraId="1F29AB04" w14:textId="77777777" w:rsidR="005E6DF3" w:rsidRPr="00B27A29">
        <w:tc>
          <w:tcPr>
            <w:tcW w:type="dxa" w:w="9212"/>
            <w:vAlign w:val="center"/>
          </w:tcPr>
          <w:p w14:paraId="7693CCEE" w14:textId="77777777" w:rsidR="005E6DF3" w:rsidRDefault="005C671B" w:rsidRPr="00B27A29">
            <w:pPr>
              <w:autoSpaceDE w:val="0"/>
              <w:autoSpaceDN w:val="0"/>
              <w:adjustRightInd w:val="0"/>
              <w:jc w:val="left"/>
              <w:rPr>
                <w:kern w:val="0"/>
                <w:szCs w:val="21"/>
              </w:rPr>
            </w:pPr>
            <w:r w:rsidRPr="00B27A29">
              <w:rPr>
                <w:kern w:val="0"/>
                <w:szCs w:val="21"/>
              </w:rPr>
              <w:t/>
            </w:r>
            <w:proofErr w:type="gramStart"/>
            <w:r w:rsidRPr="00B27A29">
              <w:rPr>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roofErr w:type="gramEnd"/>
            <w:r w:rsidRPr="00B27A29">
              <w:rPr>
                <w:kern w:val="0"/>
                <w:szCs w:val="21"/>
              </w:rPr>
              <w:t/>
            </w:r>
          </w:p>
        </w:tc>
      </w:tr>
    </w:tbl>
    <w:p w14:paraId="736016BB" w14:textId="77777777" w:rsidR="005E6DF3" w:rsidRDefault="005C671B" w:rsidRPr="00B27A29">
      <w:pPr>
        <w:pStyle w:val="1"/>
        <w:spacing w:after="312" w:afterLines="100" w:before="312" w:beforeLines="100" w:line="360" w:lineRule="auto"/>
        <w:jc w:val="center"/>
        <w:rPr>
          <w:rFonts w:eastAsiaTheme="minorEastAsia"/>
          <w:color w:themeColor="text1" w:val="000000"/>
          <w:kern w:val="0"/>
          <w:sz w:val="21"/>
          <w:szCs w:val="21"/>
        </w:rPr>
      </w:pPr>
      <w:r w:rsidRPr="00B27A29">
        <w:rPr>
          <w:rFonts w:eastAsiaTheme="minorEastAsia"/>
          <w:color w:themeColor="text1" w:val="000000"/>
          <w:kern w:val="0"/>
          <w:sz w:val="21"/>
          <w:szCs w:val="21"/>
        </w:rPr>
        <w:t xml:space="preserve">§9 </w:t>
      </w:r>
      <w:r w:rsidRPr="00B27A29">
        <w:rPr>
          <w:rFonts w:eastAsiaTheme="minorEastAsia"/>
          <w:color w:themeColor="text1" w:val="000000"/>
          <w:kern w:val="0"/>
          <w:sz w:val="21"/>
          <w:szCs w:val="21"/>
        </w:rPr>
        <w:t>备查文件目录</w:t>
      </w:r>
    </w:p>
    <w:p w14:paraId="4854F6A6" w14:textId="77777777" w:rsidR="005E6DF3" w:rsidRDefault="005C671B" w:rsidRPr="00B27A29">
      <w:pPr>
        <w:autoSpaceDE w:val="0"/>
        <w:autoSpaceDN w:val="0"/>
        <w:adjustRightInd w:val="0"/>
        <w:spacing w:line="360" w:lineRule="auto"/>
        <w:jc w:val="left"/>
        <w:rPr>
          <w:rFonts w:eastAsiaTheme="minorEastAsia"/>
          <w:b/>
          <w:bCs/>
          <w:color w:themeColor="text1" w:val="000000"/>
          <w:kern w:val="0"/>
          <w:szCs w:val="21"/>
        </w:rPr>
      </w:pPr>
      <w:r w:rsidRPr="00B27A29">
        <w:rPr>
          <w:rFonts w:eastAsiaTheme="minorEastAsia"/>
          <w:b/>
          <w:bCs/>
          <w:color w:themeColor="text1" w:val="000000"/>
          <w:kern w:val="0"/>
          <w:szCs w:val="21"/>
        </w:rPr>
        <w:t/>
      </w:r>
      <w:proofErr w:type="gramStart"/>
      <w:r w:rsidRPr="00B27A29">
        <w:rPr>
          <w:rFonts w:eastAsiaTheme="minorEastAsia"/>
          <w:b/>
          <w:bCs/>
          <w:color w:themeColor="text1" w:val="000000"/>
          <w:kern w:val="0"/>
          <w:szCs w:val="21"/>
        </w:rPr>
        <w:t>9.</w:t>
      </w:r>
      <w:proofErr w:type="gramEnd"/>
      <w:r w:rsidRPr="00B27A29">
        <w:rPr>
          <w:rFonts w:eastAsiaTheme="minorEastAsia"/>
          <w:b/>
          <w:bCs/>
          <w:color w:themeColor="text1" w:val="000000"/>
          <w:kern w:val="0"/>
          <w:szCs w:val="21"/>
        </w:rPr>
        <w:t>1</w:t>
      </w:r>
      <w:r w:rsidRPr="00B27A29">
        <w:rPr>
          <w:rFonts w:eastAsiaTheme="minorEastAsia"/>
          <w:b/>
          <w:bCs/>
          <w:color w:themeColor="text1" w:val="000000"/>
          <w:kern w:val="0"/>
          <w:szCs w:val="21"/>
        </w:rPr>
        <w:t>备查文件目录</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1、中国证监会准予上投摩根瑞益纯债债券型证券投资基金募集注册的文件；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2、《上投摩根瑞益纯债债券型证券投资基金合同》；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3、《上投摩根瑞益纯债债券型证券投资基金托管协议》；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4、《上投摩根开放式基金业务规则》；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5、基金管理人业务资格批件、营业执照； </w:t>
      </w:r>
    </w:p>
    <w:p w14:paraId="7E871BBD" w14:textId="77777777" w:rsidR="005E6DF3" w:rsidRDefault="005C671B" w:rsidRPr="00B27A29">
      <w:pPr>
        <w:spacing w:line="360" w:lineRule="auto"/>
        <w:ind w:firstLine="420" w:firstLineChars="200"/>
        <w:rPr>
          <w:rFonts w:eastAsiaTheme="minorEastAsia"/>
          <w:color w:themeColor="text1" w:val="000000"/>
          <w:szCs w:val="21"/>
        </w:rPr>
      </w:pPr>
      <w:r w:rsidRPr="00B27A29">
        <w:rPr>
          <w:rFonts w:eastAsiaTheme="minorEastAsia"/>
          <w:color w:themeColor="text1" w:val="000000"/>
          <w:szCs w:val="21"/>
        </w:rPr>
        <w:t/>
      </w:r>
      <w:proofErr w:type="spellStart"/>
      <w:r w:rsidRPr="00B27A29">
        <w:rPr>
          <w:rFonts w:eastAsiaTheme="minorEastAsia"/>
          <w:color w:themeColor="text1" w:val="000000"/>
          <w:szCs w:val="21"/>
        </w:rPr>
        <w:t/>
      </w:r>
      <w:proofErr w:type="spellEnd"/>
      <w:r w:rsidRPr="00B27A29">
        <w:rPr>
          <w:rFonts w:eastAsiaTheme="minorEastAsia"/>
          <w:color w:themeColor="text1" w:val="000000"/>
          <w:szCs w:val="21"/>
        </w:rPr>
        <w:t>6、基金托管人业务资格批件和营业执照。</w:t>
      </w:r>
    </w:p>
    <w:p w14:paraId="20400EE8" w14:textId="77777777" w:rsidR="005E6DF3" w:rsidRDefault="005C671B" w:rsidRPr="00B27A29">
      <w:pPr>
        <w:autoSpaceDE w:val="0"/>
        <w:autoSpaceDN w:val="0"/>
        <w:adjustRightInd w:val="0"/>
        <w:spacing w:before="312" w:beforeLines="100" w:line="360" w:lineRule="auto"/>
        <w:jc w:val="left"/>
        <w:rPr>
          <w:rFonts w:eastAsiaTheme="minorEastAsia"/>
          <w:b/>
          <w:bCs/>
          <w:color w:themeColor="text1" w:val="000000"/>
          <w:kern w:val="0"/>
          <w:szCs w:val="21"/>
        </w:rPr>
      </w:pPr>
      <w:r w:rsidRPr="00B27A29">
        <w:rPr>
          <w:rFonts w:eastAsiaTheme="minorEastAsia"/>
          <w:b/>
          <w:bCs/>
          <w:color w:themeColor="text1" w:val="000000"/>
          <w:kern w:val="0"/>
          <w:szCs w:val="21"/>
        </w:rPr>
        <w:t/>
      </w:r>
      <w:proofErr w:type="gramStart"/>
      <w:r w:rsidRPr="00B27A29">
        <w:rPr>
          <w:rFonts w:eastAsiaTheme="minorEastAsia"/>
          <w:b/>
          <w:bCs/>
          <w:color w:themeColor="text1" w:val="000000"/>
          <w:kern w:val="0"/>
          <w:szCs w:val="21"/>
        </w:rPr>
        <w:t>9.</w:t>
      </w:r>
      <w:proofErr w:type="gramEnd"/>
      <w:r w:rsidRPr="00B27A29">
        <w:rPr>
          <w:rFonts w:eastAsiaTheme="minorEastAsia"/>
          <w:b/>
          <w:bCs/>
          <w:color w:themeColor="text1" w:val="000000"/>
          <w:kern w:val="0"/>
          <w:szCs w:val="21"/>
        </w:rPr>
        <w:t>2</w:t>
      </w:r>
      <w:r w:rsidRPr="00B27A29">
        <w:rPr>
          <w:rFonts w:eastAsiaTheme="minorEastAsia"/>
          <w:b/>
          <w:bCs/>
          <w:color w:themeColor="text1" w:val="000000"/>
          <w:kern w:val="0"/>
          <w:szCs w:val="21"/>
        </w:rPr>
        <w:t>存放地点</w:t>
      </w:r>
    </w:p>
    <w:p w14:paraId="5488ADD3" w14:textId="77777777" w:rsidR="005E6DF3" w:rsidRDefault="005C671B" w:rsidRPr="00B27A29">
      <w:pPr>
        <w:spacing w:line="360" w:lineRule="auto"/>
        <w:ind w:firstLine="420" w:firstLineChars="200"/>
        <w:rPr>
          <w:rFonts w:eastAsiaTheme="minorEastAsia"/>
          <w:color w:themeColor="text1" w:val="000000"/>
          <w:szCs w:val="21"/>
        </w:rPr>
      </w:pPr>
      <w:r w:rsidRPr="00B27A29">
        <w:rPr>
          <w:rFonts w:eastAsiaTheme="minorEastAsia"/>
          <w:color w:themeColor="text1" w:val="000000"/>
          <w:szCs w:val="21"/>
        </w:rPr>
        <w:t/>
      </w:r>
      <w:proofErr w:type="spellStart"/>
      <w:r w:rsidRPr="00B27A29">
        <w:rPr>
          <w:rFonts w:eastAsiaTheme="minorEastAsia"/>
          <w:color w:themeColor="text1" w:val="000000"/>
          <w:szCs w:val="21"/>
        </w:rPr>
        <w:t/>
      </w:r>
      <w:proofErr w:type="spellEnd"/>
      <w:r w:rsidRPr="00B27A29">
        <w:rPr>
          <w:rFonts w:eastAsiaTheme="minorEastAsia"/>
          <w:color w:themeColor="text1" w:val="000000"/>
          <w:szCs w:val="21"/>
        </w:rPr>
        <w:t>基金管理人或基金托管人处。</w:t>
      </w:r>
    </w:p>
    <w:p w14:paraId="1A8165CD" w14:textId="77777777" w:rsidR="005E6DF3" w:rsidRDefault="005C671B" w:rsidRPr="00B27A29">
      <w:pPr>
        <w:autoSpaceDE w:val="0"/>
        <w:autoSpaceDN w:val="0"/>
        <w:adjustRightInd w:val="0"/>
        <w:spacing w:before="312" w:beforeLines="100" w:line="360" w:lineRule="auto"/>
        <w:jc w:val="left"/>
        <w:rPr>
          <w:rFonts w:eastAsiaTheme="minorEastAsia"/>
          <w:b/>
          <w:bCs/>
          <w:color w:themeColor="text1" w:val="000000"/>
          <w:kern w:val="0"/>
          <w:szCs w:val="21"/>
        </w:rPr>
      </w:pPr>
      <w:r w:rsidRPr="00B27A29">
        <w:rPr>
          <w:rFonts w:eastAsiaTheme="minorEastAsia"/>
          <w:b/>
          <w:bCs/>
          <w:color w:themeColor="text1" w:val="000000"/>
          <w:kern w:val="0"/>
          <w:szCs w:val="21"/>
        </w:rPr>
        <w:t/>
      </w:r>
      <w:proofErr w:type="gramStart"/>
      <w:r w:rsidRPr="00B27A29">
        <w:rPr>
          <w:rFonts w:eastAsiaTheme="minorEastAsia"/>
          <w:b/>
          <w:bCs/>
          <w:color w:themeColor="text1" w:val="000000"/>
          <w:kern w:val="0"/>
          <w:szCs w:val="21"/>
        </w:rPr>
        <w:t>9.</w:t>
      </w:r>
      <w:proofErr w:type="gramEnd"/>
      <w:r w:rsidRPr="00B27A29">
        <w:rPr>
          <w:rFonts w:eastAsiaTheme="minorEastAsia"/>
          <w:b/>
          <w:bCs/>
          <w:color w:themeColor="text1" w:val="000000"/>
          <w:kern w:val="0"/>
          <w:szCs w:val="21"/>
        </w:rPr>
        <w:t>3</w:t>
      </w:r>
      <w:r w:rsidRPr="00B27A29">
        <w:rPr>
          <w:rFonts w:eastAsiaTheme="minorEastAsia"/>
          <w:b/>
          <w:bCs/>
          <w:color w:themeColor="text1" w:val="000000"/>
          <w:kern w:val="0"/>
          <w:szCs w:val="21"/>
        </w:rPr>
        <w:t>查阅方式</w:t>
      </w:r>
    </w:p>
    <w:p w14:paraId="712B1D65" w14:textId="77777777" w:rsidR="005E6DF3" w:rsidRDefault="005C671B" w:rsidRPr="00B27A29">
      <w:pPr>
        <w:spacing w:line="360" w:lineRule="auto"/>
        <w:ind w:firstLine="420" w:firstLineChars="200"/>
        <w:rPr>
          <w:rFonts w:eastAsiaTheme="minorEastAsia"/>
          <w:color w:themeColor="text1" w:val="000000"/>
          <w:szCs w:val="21"/>
        </w:rPr>
      </w:pPr>
      <w:r w:rsidRPr="00B27A29">
        <w:rPr>
          <w:rFonts w:eastAsiaTheme="minorEastAsia"/>
          <w:color w:themeColor="text1" w:val="000000"/>
          <w:szCs w:val="21"/>
        </w:rPr>
        <w:t/>
      </w:r>
      <w:proofErr w:type="spellStart"/>
      <w:r w:rsidRPr="00B27A29">
        <w:rPr>
          <w:rFonts w:eastAsiaTheme="minorEastAsia"/>
          <w:color w:themeColor="text1" w:val="000000"/>
          <w:szCs w:val="21"/>
        </w:rPr>
        <w:t/>
      </w:r>
      <w:proofErr w:type="spellEnd"/>
      <w:r w:rsidRPr="00B27A29">
        <w:rPr>
          <w:rFonts w:eastAsiaTheme="minorEastAsia"/>
          <w:color w:themeColor="text1" w:val="000000"/>
          <w:szCs w:val="21"/>
        </w:rPr>
        <w:t>投资者可在营业时间免费查阅，也可按工本费购买复印件。</w:t>
      </w:r>
    </w:p>
    <w:p w14:paraId="1E13A72D" w14:textId="77777777" w:rsidR="005E6DF3" w:rsidRDefault="005E6DF3" w:rsidRPr="00B27A29">
      <w:pPr>
        <w:spacing w:line="360" w:lineRule="auto"/>
        <w:ind w:left="840"/>
        <w:jc w:val="right"/>
        <w:rPr>
          <w:rFonts w:eastAsiaTheme="minorEastAsia"/>
          <w:color w:themeColor="text1" w:val="000000"/>
          <w:szCs w:val="21"/>
        </w:rPr>
      </w:pPr>
    </w:p>
    <w:p w14:paraId="73012A02" w14:textId="77777777" w:rsidR="005E6DF3" w:rsidRDefault="005E6DF3" w:rsidRPr="00B27A29">
      <w:pPr>
        <w:spacing w:line="360" w:lineRule="auto"/>
        <w:ind w:left="840"/>
        <w:jc w:val="center"/>
        <w:rPr>
          <w:rFonts w:eastAsiaTheme="minorEastAsia"/>
          <w:b/>
          <w:color w:themeColor="text1" w:val="000000"/>
          <w:szCs w:val="21"/>
        </w:rPr>
      </w:pPr>
    </w:p>
    <w:p w14:paraId="0EB58591" w14:textId="77777777" w:rsidR="005E6DF3" w:rsidRDefault="005C671B" w:rsidRPr="00B27A29">
      <w:pPr>
        <w:spacing w:line="360" w:lineRule="auto"/>
        <w:jc w:val="right"/>
        <w:rPr>
          <w:rFonts w:eastAsiaTheme="minorEastAsia"/>
          <w:b/>
          <w:bCs/>
          <w:color w:themeColor="text1" w:val="000000"/>
          <w:szCs w:val="21"/>
        </w:rPr>
      </w:pPr>
      <w:r w:rsidRPr="00B27A29">
        <w:rPr>
          <w:rFonts w:eastAsiaTheme="minorEastAsia"/>
          <w:b/>
          <w:bCs/>
          <w:color w:themeColor="text1" w:val="000000"/>
          <w:szCs w:val="21"/>
        </w:rPr>
        <w:t/>
      </w:r>
      <w:proofErr w:type="spellStart"/>
      <w:r w:rsidRPr="00B27A29">
        <w:rPr>
          <w:rFonts w:eastAsiaTheme="minorEastAsia"/>
          <w:b/>
          <w:bCs/>
          <w:color w:themeColor="text1" w:val="000000"/>
          <w:szCs w:val="21"/>
        </w:rPr>
        <w:t/>
      </w:r>
      <w:proofErr w:type="spellEnd"/>
      <w:r w:rsidRPr="00B27A29">
        <w:rPr>
          <w:rFonts w:eastAsiaTheme="minorEastAsia"/>
          <w:b/>
          <w:bCs/>
          <w:color w:themeColor="text1" w:val="000000"/>
          <w:szCs w:val="21"/>
        </w:rPr>
        <w:t>上投摩根基金管理有限公司</w:t>
      </w:r>
    </w:p>
    <w:p w14:paraId="64D1C272" w14:textId="77777777" w:rsidR="005E6DF3" w:rsidRDefault="005C671B" w:rsidRPr="00B27A29">
      <w:pPr>
        <w:spacing w:line="360" w:lineRule="auto"/>
        <w:jc w:val="right"/>
        <w:rPr>
          <w:rFonts w:eastAsiaTheme="minorEastAsia"/>
          <w:b/>
          <w:bCs/>
          <w:color w:themeColor="text1" w:val="000000"/>
          <w:szCs w:val="21"/>
        </w:rPr>
      </w:pPr>
      <w:r w:rsidRPr="00B27A29">
        <w:rPr>
          <w:rFonts w:eastAsiaTheme="minorEastAsia"/>
          <w:b/>
          <w:bCs/>
          <w:color w:themeColor="text1" w:val="000000"/>
          <w:szCs w:val="21"/>
        </w:rPr>
        <w:t/>
      </w:r>
      <w:proofErr w:type="spellStart"/>
      <w:r w:rsidRPr="00B27A29">
        <w:rPr>
          <w:rFonts w:eastAsiaTheme="minorEastAsia"/>
          <w:b/>
          <w:bCs/>
          <w:color w:themeColor="text1" w:val="000000"/>
          <w:szCs w:val="21"/>
        </w:rPr>
        <w:t/>
      </w:r>
      <w:proofErr w:type="spellEnd"/>
      <w:r w:rsidRPr="00B27A29">
        <w:rPr>
          <w:rFonts w:eastAsiaTheme="minorEastAsia"/>
          <w:b/>
          <w:bCs/>
          <w:color w:themeColor="text1" w:val="000000"/>
          <w:szCs w:val="21"/>
        </w:rPr>
        <w:t>二〇二一年十月二十七日</w:t>
      </w:r>
    </w:p>
    <w:sectPr w:rsidR="005E6DF3" w:rsidRPr="00B27A29">
      <w:footerReference r:id="rId12" w:type="even"/>
      <w:footerReference r:id="rId13" w:type="default"/>
      <w:pgSz w:h="16838" w:w="11906"/>
      <w:pgMar w:bottom="1440" w:footer="992" w:gutter="0" w:header="851" w:left="1800" w:right="1286" w:top="1440"/>
      <w:cols w:space="425"/>
      <w:docGrid w:linePitch="312"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5BB97" w14:textId="77777777" w:rsidR="00E54E0E" w:rsidRDefault="00E54E0E">
      <w:r>
        <w:separator/>
      </w:r>
    </w:p>
  </w:endnote>
  <w:endnote w:type="continuationSeparator" w:id="0">
    <w:p w14:paraId="069598F0" w14:textId="77777777" w:rsidR="00E54E0E" w:rsidRDefault="00E5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FE83CB5"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193FF810" w14:textId="77777777" w:rsidR="005C671B" w:rsidRDefault="005C671B">
    <w:pPr>
      <w:pStyle w:val="ae"/>
      <w:framePr w:hAnchor="margin" w:vAnchor="text" w:wrap="around" w:xAlign="center" w:y="1"/>
      <w:rPr>
        <w:rStyle w:val="af6"/>
      </w:rPr>
    </w:pPr>
    <w:r>
      <w:rPr>
        <w:rStyle w:val="af6"/>
      </w:rPr>
      <w:fldChar w:fldCharType="begin"/>
    </w:r>
    <w:r>
      <w:rPr>
        <w:rStyle w:val="af6"/>
      </w:rPr>
      <w:instrText xml:space="preserve">PAGE  </w:instrText>
    </w:r>
    <w:r>
      <w:rPr>
        <w:rStyle w:val="af6"/>
      </w:rPr>
      <w:fldChar w:fldCharType="end"/>
    </w:r>
  </w:p>
  <w:p w14:paraId="461C3E40" w14:textId="77777777" w:rsidR="005C671B" w:rsidRDefault="005C671B">
    <w:pPr>
      <w:pStyle w:val="ae"/>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7026710F" w14:textId="77777777" w:rsidR="005C671B" w:rsidRDefault="005C671B">
    <w:pPr>
      <w:pStyle w:val="ae"/>
      <w:framePr w:hAnchor="margin" w:vAnchor="text" w:wrap="around"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0DCC3521" w14:textId="77777777" w:rsidR="005C671B" w:rsidRDefault="005C671B">
    <w:pPr>
      <w:pStyle w:val="ae"/>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id="-1" w:type="separator">
    <w:p w14:paraId="28F0F89D" w14:textId="77777777" w:rsidR="00E54E0E" w:rsidRDefault="00E54E0E">
      <w:r>
        <w:separator/>
      </w:r>
    </w:p>
  </w:footnote>
  <w:footnote w:id="0" w:type="continuationSeparator">
    <w:p w14:paraId="6CD13604" w14:textId="77777777" w:rsidR="00E54E0E" w:rsidRDefault="00E54E0E">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497AD861" w14:textId="77777777" w:rsidR="005C671B" w:rsidRDefault="005C671B">
    <w:pPr>
      <w:pStyle w:val="af"/>
      <w:pBdr>
        <w:bottom w:color="auto" w:space="0" w:sz="6" w:val="single"/>
      </w:pBdr>
      <w:jc w:val="right"/>
    </w:pPr>
    <w:r>
      <w:t/>
    </w:r>
    <w:proofErr w:type="spellStart"/>
    <w:r>
      <w:t/>
    </w:r>
    <w:proofErr w:type="gramStart"/>
    <w:r>
      <w:t/>
    </w:r>
    <w:proofErr w:type="spellEnd"/>
    <w:r>
      <w:t>上投摩根瑞益纯债债券型证券投资基金</w:t>
    </w:r>
    <w:proofErr w:type="spellStart"/>
    <w:proofErr w:type="gramEnd"/>
    <w:r>
      <w:t/>
    </w:r>
    <w:proofErr w:type="spellEnd"/>
    <w:r>
      <w:t>2021年第3季度报告</w:t>
    </w: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PostScriptOverText/>
  <w:bordersDoNotSurroundHeader/>
  <w:bordersDoNotSurroundFooter/>
  <w:proofState w:grammar="clean" w:spelling="clean"/>
  <w:attachedTemplate r:id="rId1"/>
  <w:defaultTabStop w:val="420"/>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049" v:ext="edit"/>
    <o:shapelayout v:ext="edit">
      <o:idmap data="1" v:ext="edit"/>
    </o:shapelayout>
  </w:shapeDefaults>
  <w:decimalSymbol w:val="."/>
  <w:listSeparator w:val=","/>
  <w14:docId w14:val="095A3A61"/>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imes New Roman" w:cs="Times New Roman" w:eastAsia="宋体" w:hAnsi="Times New Roman"/>
        <w:lang w:bidi="ar-SA" w:eastAsia="zh-CN"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uiPriority="9"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qFormat="1" w:semiHidden="1"/>
    <w:lsdException w:name="Normal Indent" w:qFormat="1" w:uiPriority="99"/>
    <w:lsdException w:name="footnote text" w:qFormat="1"/>
    <w:lsdException w:name="annotation text" w:qFormat="1" w:semiHidden="1"/>
    <w:lsdException w:name="header" w:qFormat="1" w:uiPriority="99"/>
    <w:lsdException w:name="footer" w:qFormat="1"/>
    <w:lsdException w:name="caption" w:qFormat="1" w:semiHidden="1" w:unhideWhenUsed="1"/>
    <w:lsdException w:name="footnote reference" w:qFormat="1"/>
    <w:lsdException w:name="annotation reference" w:qFormat="1" w:semiHidden="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qFormat="1" w:uiPriority="22"/>
    <w:lsdException w:name="Emphasis" w:qFormat="1"/>
    <w:lsdException w:name="Document Map" w:qFormat="1" w:semiHidden="1"/>
    <w:lsdException w:name="Plain Text" w:qFormat="1" w:uiPriority="99"/>
    <w:lsdException w:name="HTML Top of Form" w:semiHidden="1" w:uiPriority="99" w:unhideWhenUsed="1"/>
    <w:lsdException w:name="HTML Bottom of Form" w:semiHidden="1" w:uiPriority="99" w:unhideWhenUsed="1"/>
    <w:lsdException w:name="Normal (Web)" w:qFormat="1"/>
    <w:lsdException w:name="Normal Table" w:qFormat="1" w:semiHidden="1" w:uiPriority="99" w:unhideWhenUsed="1"/>
    <w:lsdException w:name="annotation subject" w:qFormat="1"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a" w:type="paragraph">
    <w:name w:val="Normal"/>
    <w:qFormat/>
    <w:pPr>
      <w:widowControl w:val="0"/>
      <w:jc w:val="both"/>
    </w:pPr>
    <w:rPr>
      <w:kern w:val="2"/>
      <w:sz w:val="21"/>
      <w:szCs w:val="24"/>
    </w:rPr>
  </w:style>
  <w:style w:styleId="1" w:type="paragraph">
    <w:name w:val="heading 1"/>
    <w:basedOn w:val="a"/>
    <w:next w:val="a"/>
    <w:link w:val="10"/>
    <w:qFormat/>
    <w:pPr>
      <w:keepNext/>
      <w:keepLines/>
      <w:spacing w:after="330" w:before="340" w:line="578" w:lineRule="auto"/>
      <w:outlineLvl w:val="0"/>
    </w:pPr>
    <w:rPr>
      <w:b/>
      <w:bCs/>
      <w:kern w:val="44"/>
      <w:sz w:val="44"/>
      <w:szCs w:val="44"/>
    </w:rPr>
  </w:style>
  <w:style w:styleId="2" w:type="paragraph">
    <w:name w:val="heading 2"/>
    <w:basedOn w:val="a"/>
    <w:next w:val="a0"/>
    <w:qFormat/>
    <w:pPr>
      <w:keepNext/>
      <w:keepLines/>
      <w:spacing w:after="260" w:before="260" w:line="360" w:lineRule="auto"/>
      <w:outlineLvl w:val="1"/>
    </w:pPr>
    <w:rPr>
      <w:rFonts w:ascii="Arial" w:cs="Arial" w:hAnsi="Arial"/>
      <w:b/>
      <w:bCs/>
      <w:sz w:val="24"/>
      <w:szCs w:val="28"/>
    </w:rPr>
  </w:style>
  <w:style w:styleId="3" w:type="paragraph">
    <w:name w:val="heading 3"/>
    <w:basedOn w:val="a"/>
    <w:next w:val="a"/>
    <w:link w:val="30"/>
    <w:uiPriority w:val="9"/>
    <w:unhideWhenUsed/>
    <w:qFormat/>
    <w:pPr>
      <w:keepNext/>
      <w:keepLines/>
      <w:spacing w:after="260" w:before="260" w:line="416" w:lineRule="auto"/>
      <w:outlineLvl w:val="2"/>
    </w:pPr>
    <w:rPr>
      <w:rFonts w:asciiTheme="minorHAnsi" w:cstheme="minorBidi" w:eastAsiaTheme="minorEastAsia" w:hAnsiTheme="minorHAnsi"/>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qFormat/>
    <w:pPr>
      <w:ind w:firstLine="420" w:firstLineChars="200"/>
    </w:pPr>
  </w:style>
  <w:style w:styleId="a4" w:type="paragraph">
    <w:name w:val="annotation subject"/>
    <w:basedOn w:val="a5"/>
    <w:next w:val="a5"/>
    <w:semiHidden/>
    <w:qFormat/>
    <w:rPr>
      <w:b/>
      <w:bCs/>
    </w:rPr>
  </w:style>
  <w:style w:styleId="a5" w:type="paragraph">
    <w:name w:val="annotation text"/>
    <w:basedOn w:val="a"/>
    <w:semiHidden/>
    <w:qFormat/>
    <w:pPr>
      <w:jc w:val="left"/>
    </w:pPr>
  </w:style>
  <w:style w:styleId="a6" w:type="paragraph">
    <w:name w:val="Document Map"/>
    <w:basedOn w:val="a"/>
    <w:semiHidden/>
    <w:qFormat/>
    <w:pPr>
      <w:shd w:color="auto" w:fill="000080" w:val="clear"/>
    </w:pPr>
  </w:style>
  <w:style w:styleId="a7" w:type="paragraph">
    <w:name w:val="Body Text"/>
    <w:basedOn w:val="a"/>
    <w:qFormat/>
    <w:pPr>
      <w:spacing w:after="120"/>
    </w:pPr>
  </w:style>
  <w:style w:styleId="a8" w:type="paragraph">
    <w:name w:val="Body Text Indent"/>
    <w:basedOn w:val="a"/>
    <w:qFormat/>
    <w:pPr>
      <w:widowControl/>
      <w:spacing w:after="100" w:afterAutospacing="1" w:before="100" w:beforeAutospacing="1"/>
      <w:jc w:val="left"/>
    </w:pPr>
    <w:rPr>
      <w:rFonts w:ascii="Arial Unicode MS" w:cs="Arial Unicode MS" w:eastAsia="Arial Unicode MS" w:hAnsi="Arial Unicode MS"/>
      <w:kern w:val="0"/>
      <w:sz w:val="24"/>
    </w:rPr>
  </w:style>
  <w:style w:styleId="a9" w:type="paragraph">
    <w:name w:val="Plain Text"/>
    <w:basedOn w:val="a"/>
    <w:link w:val="aa"/>
    <w:uiPriority w:val="99"/>
    <w:qFormat/>
    <w:rPr>
      <w:rFonts w:ascii="宋体" w:hAnsi="Courier New"/>
      <w:szCs w:val="21"/>
    </w:rPr>
  </w:style>
  <w:style w:styleId="ab" w:type="paragraph">
    <w:name w:val="Date"/>
    <w:basedOn w:val="a"/>
    <w:next w:val="a"/>
    <w:link w:val="ac"/>
    <w:qFormat/>
    <w:rPr>
      <w:sz w:val="24"/>
      <w:szCs w:val="20"/>
    </w:rPr>
  </w:style>
  <w:style w:styleId="20" w:type="paragraph">
    <w:name w:val="Body Text Indent 2"/>
    <w:basedOn w:val="a"/>
    <w:qFormat/>
    <w:pPr>
      <w:spacing w:line="560" w:lineRule="exact"/>
      <w:ind w:firstLine="480" w:firstLineChars="200"/>
    </w:pPr>
    <w:rPr>
      <w:rFonts w:ascii="宋体" w:hAnsi="宋体"/>
      <w:color w:val="FF0000"/>
      <w:sz w:val="24"/>
    </w:rPr>
  </w:style>
  <w:style w:styleId="ad" w:type="paragraph">
    <w:name w:val="Balloon Text"/>
    <w:basedOn w:val="a"/>
    <w:semiHidden/>
    <w:qFormat/>
    <w:rPr>
      <w:sz w:val="18"/>
      <w:szCs w:val="18"/>
    </w:rPr>
  </w:style>
  <w:style w:styleId="ae" w:type="paragraph">
    <w:name w:val="footer"/>
    <w:basedOn w:val="a"/>
    <w:qFormat/>
    <w:pPr>
      <w:tabs>
        <w:tab w:pos="4153" w:val="center"/>
        <w:tab w:pos="8306" w:val="right"/>
      </w:tabs>
      <w:snapToGrid w:val="0"/>
      <w:jc w:val="left"/>
    </w:pPr>
    <w:rPr>
      <w:sz w:val="18"/>
      <w:szCs w:val="18"/>
    </w:rPr>
  </w:style>
  <w:style w:styleId="af" w:type="paragraph">
    <w:name w:val="header"/>
    <w:basedOn w:val="a"/>
    <w:link w:val="af0"/>
    <w:uiPriority w:val="99"/>
    <w:qFormat/>
    <w:pPr>
      <w:pBdr>
        <w:bottom w:color="auto" w:space="1" w:sz="6" w:val="single"/>
      </w:pBdr>
      <w:tabs>
        <w:tab w:pos="4153" w:val="center"/>
        <w:tab w:pos="8306" w:val="right"/>
      </w:tabs>
      <w:snapToGrid w:val="0"/>
      <w:jc w:val="center"/>
    </w:pPr>
    <w:rPr>
      <w:sz w:val="18"/>
      <w:szCs w:val="18"/>
    </w:rPr>
  </w:style>
  <w:style w:styleId="af1" w:type="paragraph">
    <w:name w:val="List"/>
    <w:basedOn w:val="a7"/>
    <w:qFormat/>
    <w:pPr>
      <w:spacing w:after="220" w:line="220" w:lineRule="atLeast"/>
      <w:ind w:hanging="360" w:left="1440"/>
    </w:pPr>
    <w:rPr>
      <w:szCs w:val="20"/>
    </w:rPr>
  </w:style>
  <w:style w:styleId="af2" w:type="paragraph">
    <w:name w:val="footnote text"/>
    <w:basedOn w:val="a"/>
    <w:link w:val="af3"/>
    <w:qFormat/>
    <w:pPr>
      <w:snapToGrid w:val="0"/>
      <w:jc w:val="left"/>
    </w:pPr>
    <w:rPr>
      <w:sz w:val="18"/>
      <w:szCs w:val="18"/>
    </w:rPr>
  </w:style>
  <w:style w:styleId="31" w:type="paragraph">
    <w:name w:val="Body Text Indent 3"/>
    <w:basedOn w:val="a"/>
    <w:qFormat/>
    <w:pPr>
      <w:spacing w:line="560" w:lineRule="exact"/>
      <w:ind w:firstLine="420" w:firstLineChars="200"/>
    </w:pPr>
    <w:rPr>
      <w:rFonts w:ascii="Arial" w:cs="Arial" w:hAnsi="Arial"/>
      <w:color w:val="FF0000"/>
    </w:rPr>
  </w:style>
  <w:style w:styleId="af4" w:type="paragraph">
    <w:name w:val="Normal (Web)"/>
    <w:basedOn w:val="a"/>
    <w:qFormat/>
    <w:pPr>
      <w:widowControl/>
      <w:spacing w:after="100" w:afterAutospacing="1" w:before="100" w:beforeAutospacing="1"/>
      <w:jc w:val="left"/>
    </w:pPr>
    <w:rPr>
      <w:rFonts w:ascii="宋体" w:hAnsi="宋体"/>
      <w:kern w:val="0"/>
      <w:sz w:val="24"/>
    </w:rPr>
  </w:style>
  <w:style w:styleId="11" w:type="paragraph">
    <w:name w:val="index 1"/>
    <w:basedOn w:val="a"/>
    <w:next w:val="a"/>
    <w:semiHidden/>
    <w:qFormat/>
    <w:pPr>
      <w:jc w:val="right"/>
    </w:pPr>
    <w:rPr>
      <w:color w:val="008000"/>
    </w:rPr>
  </w:style>
  <w:style w:styleId="af5" w:type="character">
    <w:name w:val="Strong"/>
    <w:basedOn w:val="a1"/>
    <w:uiPriority w:val="22"/>
    <w:qFormat/>
    <w:rPr>
      <w:b/>
      <w:bCs/>
    </w:rPr>
  </w:style>
  <w:style w:styleId="af6" w:type="character">
    <w:name w:val="page number"/>
    <w:basedOn w:val="a1"/>
    <w:qFormat/>
  </w:style>
  <w:style w:styleId="af7" w:type="character">
    <w:name w:val="Hyperlink"/>
    <w:basedOn w:val="a1"/>
    <w:qFormat/>
    <w:rPr>
      <w:color w:val="0000FF"/>
      <w:u w:val="single"/>
    </w:rPr>
  </w:style>
  <w:style w:styleId="af8" w:type="character">
    <w:name w:val="annotation reference"/>
    <w:basedOn w:val="a1"/>
    <w:semiHidden/>
    <w:qFormat/>
    <w:rPr>
      <w:sz w:val="21"/>
      <w:szCs w:val="21"/>
    </w:rPr>
  </w:style>
  <w:style w:styleId="af9" w:type="character">
    <w:name w:val="footnote reference"/>
    <w:basedOn w:val="a1"/>
    <w:qFormat/>
    <w:rPr>
      <w:vertAlign w:val="superscript"/>
    </w:rPr>
  </w:style>
  <w:style w:styleId="afa" w:type="table">
    <w:name w:val="Table Grid"/>
    <w:basedOn w:val="a2"/>
    <w:qFormat/>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12" w:type="character">
    <w:name w:val="已访问的超链接1"/>
    <w:basedOn w:val="a1"/>
    <w:qFormat/>
    <w:rPr>
      <w:color w:val="800080"/>
      <w:u w:val="single"/>
    </w:rPr>
  </w:style>
  <w:style w:customStyle="1" w:styleId="c1" w:type="character">
    <w:name w:val="c1"/>
    <w:basedOn w:val="a1"/>
    <w:qFormat/>
    <w:rPr>
      <w:color w:val="000000"/>
      <w:sz w:val="18"/>
      <w:szCs w:val="18"/>
    </w:rPr>
  </w:style>
  <w:style w:customStyle="1" w:styleId="font5" w:type="paragraph">
    <w:name w:val="font5"/>
    <w:basedOn w:val="a"/>
    <w:qFormat/>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qFormat/>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Char" w:type="paragraph">
    <w:name w:val="Char"/>
    <w:basedOn w:val="a"/>
    <w:qFormat/>
  </w:style>
  <w:style w:customStyle="1" w:styleId="Char1" w:type="paragraph">
    <w:name w:val="Char1"/>
    <w:basedOn w:val="a"/>
    <w:qFormat/>
  </w:style>
  <w:style w:customStyle="1" w:styleId="t1" w:type="character">
    <w:name w:val="t1"/>
    <w:basedOn w:val="a1"/>
    <w:rPr>
      <w:color w:val="990000"/>
    </w:rPr>
  </w:style>
  <w:style w:customStyle="1" w:styleId="aa" w:type="character">
    <w:name w:val="纯文本 字符"/>
    <w:basedOn w:val="a1"/>
    <w:link w:val="a9"/>
    <w:uiPriority w:val="99"/>
    <w:rPr>
      <w:rFonts w:ascii="宋体" w:hAnsi="Courier New"/>
      <w:kern w:val="2"/>
      <w:sz w:val="21"/>
      <w:szCs w:val="21"/>
    </w:rPr>
  </w:style>
  <w:style w:customStyle="1" w:styleId="af3" w:type="character">
    <w:name w:val="脚注文本 字符"/>
    <w:basedOn w:val="a1"/>
    <w:link w:val="af2"/>
    <w:rPr>
      <w:kern w:val="2"/>
      <w:sz w:val="18"/>
      <w:szCs w:val="18"/>
    </w:rPr>
  </w:style>
  <w:style w:customStyle="1" w:styleId="Default" w:type="paragraph">
    <w:name w:val="Default"/>
    <w:pPr>
      <w:widowControl w:val="0"/>
      <w:autoSpaceDE w:val="0"/>
      <w:autoSpaceDN w:val="0"/>
      <w:adjustRightInd w:val="0"/>
    </w:pPr>
    <w:rPr>
      <w:rFonts w:ascii="仿宋" w:cs="仿宋" w:hAnsi="仿宋"/>
      <w:color w:val="000000"/>
      <w:sz w:val="24"/>
      <w:szCs w:val="24"/>
    </w:rPr>
  </w:style>
  <w:style w:customStyle="1" w:styleId="af0" w:type="character">
    <w:name w:val="页眉 字符"/>
    <w:basedOn w:val="a1"/>
    <w:link w:val="af"/>
    <w:uiPriority w:val="99"/>
    <w:rPr>
      <w:kern w:val="2"/>
      <w:sz w:val="18"/>
      <w:szCs w:val="18"/>
    </w:rPr>
  </w:style>
  <w:style w:customStyle="1" w:styleId="10" w:type="character">
    <w:name w:val="标题 1 字符"/>
    <w:basedOn w:val="a1"/>
    <w:link w:val="1"/>
    <w:rPr>
      <w:b/>
      <w:bCs/>
      <w:kern w:val="44"/>
      <w:sz w:val="44"/>
      <w:szCs w:val="44"/>
    </w:rPr>
  </w:style>
  <w:style w:customStyle="1" w:styleId="ac" w:type="character">
    <w:name w:val="日期 字符"/>
    <w:basedOn w:val="a1"/>
    <w:link w:val="ab"/>
    <w:rPr>
      <w:kern w:val="2"/>
      <w:sz w:val="24"/>
    </w:rPr>
  </w:style>
  <w:style w:customStyle="1" w:styleId="30" w:type="character">
    <w:name w:val="标题 3 字符"/>
    <w:basedOn w:val="a1"/>
    <w:link w:val="3"/>
    <w:uiPriority w:val="9"/>
    <w:qFormat/>
    <w:rPr>
      <w:rFonts w:asciiTheme="minorHAnsi" w:cstheme="minorBidi" w:eastAsiaTheme="minorEastAsia" w:hAnsiTheme="minorHAns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media/image1.jpeg" Type="http://schemas.openxmlformats.org/officeDocument/2006/relationships/image"/>
<Relationship Id="rId11" Target="media/image2.jpeg" Type="http://schemas.openxmlformats.org/officeDocument/2006/relationships/image"/>
<Relationship Id="rId12" Target="footer2.xml" Type="http://schemas.openxmlformats.org/officeDocument/2006/relationships/footer"/>
<Relationship Id="rId13" Target="footer3.xml" Type="http://schemas.openxmlformats.org/officeDocument/2006/relationships/footer"/>
<Relationship Id="rId14" Target="fontTable.xml" Type="http://schemas.openxmlformats.org/officeDocument/2006/relationships/fontTable"/>
<Relationship Id="rId15" Target="theme/theme1.xml" Type="http://schemas.openxmlformats.org/officeDocument/2006/relationships/theme"/>
<Relationship Id="rId2" Target="../customXml/item2.xml" Type="http://schemas.openxmlformats.org/officeDocument/2006/relationships/customXml"/>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settings.xml.rels><?xml version="1.0" encoding="UTF-8" standalone="no"?>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no"?>
<Relationships xmlns="http://schemas.openxmlformats.org/package/2006/relationships">
<Relationship Id="rId1" Target="itemProps2.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22</TotalTime>
  <Pages>28</Pages>
  <Words>4809</Words>
  <Characters>27413</Characters>
  <Application>Microsoft Office Word</Application>
  <DocSecurity>0</DocSecurity>
  <Lines>228</Lines>
  <Paragraphs>64</Paragraphs>
  <ScaleCrop>false</ScaleCrop>
  <Company>TRT. Ltd. Co.</Company>
  <LinksUpToDate>false</LinksUpToDate>
  <CharactersWithSpaces>32158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2013-06-21T06:56:00Z</dcterms:created>
  <dc:creator>bonnieliu</dc:creator>
  <cp:lastModifiedBy>良 虢</cp:lastModifiedBy>
  <cp:lastPrinted>2007-07-19T00:46:00Z</cp:lastPrinted>
  <dcterms:modified xsi:type="dcterms:W3CDTF">2021-06-04T04:10:00Z</dcterms:modified>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2052-10.1.0.6235</vt:lpwstr>
  </property>
</Properties>
</file>