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上投摩根瑞益纯债债券型证券投资基金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2021</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基金托管人：兴业银行股份有限公司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报告送出日期：二〇二一年四月二十二日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基金托管人兴业银行股份有限公司根据本基金合同规定，于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上投摩根瑞益纯债债券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007329</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169,858,567.06</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在严格控制风险的前提下，通过积极主动地投资管理，力争实现长期稳定的投资回报。</w:t>
            </w:r>
            <w:r>
              <w:rPr>
                <w:rFonts w:eastAsiaTheme="minorEastAsia"/>
                <w:color w:val="000000" w:themeColor="text1"/>
                <w:kern w:val="0"/>
                <w:szCs w:val="21"/>
              </w:rPr>
              <w:t xml:space="preserve">  </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评估不同债券类型之间的相对投资价值，确定债券类属配置策略，基于对市场利率的变化趋势的预判，相应的调整债券组合的久期。资产组合中的长、中、短期债券主要根据收益率曲线形状的变化进行合理配置，适时各种投资策略策略构造组合，并进行动态调整。</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中证综合债券指数收益率</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本基金为债券型基金，预期风险和预期收益高于货币市场基金，低于混合型基金和股票型基金。</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兴业银行股份有限公司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A</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C</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007329</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007330</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166,955,498.08</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2,903,068.98</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A</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C</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1,234,455.57</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5,723.89</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1,371,334.75</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5,842.77</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0.0082</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0.0079</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171,983,161.09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2,980,588.87</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1.0301</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1.0267</w:t>
            </w:r>
          </w:p>
        </w:tc>
      </w:tr>
    </w:tbl>
    <w:p w:rsidR="005D3333" w:rsidRDefault="003971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上投摩根瑞益纯债债券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D3333">
        <w:tc>
          <w:tcPr>
            <w:tcW w:w="1290" w:type="dxa"/>
            <w:vAlign w:val="center"/>
          </w:tcPr>
          <w:p w:rsidR="005D3333" w:rsidRDefault="00397194">
            <w:pPr>
              <w:jc w:val="left"/>
            </w:pPr>
            <w:r>
              <w:rPr>
                <w:rFonts w:eastAsiaTheme="minorEastAsia"/>
                <w:color w:val="000000" w:themeColor="text1"/>
                <w:szCs w:val="21"/>
              </w:rPr>
              <w:t>过去三个月</w:t>
            </w:r>
          </w:p>
        </w:tc>
        <w:tc>
          <w:tcPr>
            <w:tcW w:w="1291" w:type="dxa"/>
            <w:vAlign w:val="center"/>
          </w:tcPr>
          <w:p w:rsidR="005D3333" w:rsidRDefault="00397194">
            <w:pPr>
              <w:jc w:val="right"/>
            </w:pPr>
            <w:r>
              <w:rPr>
                <w:rFonts w:eastAsiaTheme="minorEastAsia"/>
                <w:color w:val="000000" w:themeColor="text1"/>
                <w:szCs w:val="21"/>
              </w:rPr>
              <w:t>0.80%</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0.95%</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-0.15%</w:t>
            </w:r>
          </w:p>
        </w:tc>
        <w:tc>
          <w:tcPr>
            <w:tcW w:w="1291" w:type="dxa"/>
            <w:vAlign w:val="center"/>
          </w:tcPr>
          <w:p w:rsidR="005D3333" w:rsidRDefault="00397194">
            <w:pPr>
              <w:jc w:val="right"/>
            </w:pPr>
            <w:r>
              <w:rPr>
                <w:rFonts w:eastAsiaTheme="minorEastAsia"/>
                <w:color w:val="000000" w:themeColor="text1"/>
                <w:szCs w:val="21"/>
              </w:rPr>
              <w:t>0.00%</w:t>
            </w:r>
          </w:p>
        </w:tc>
      </w:tr>
      <w:tr w:rsidR="005D3333">
        <w:tc>
          <w:tcPr>
            <w:tcW w:w="1290" w:type="dxa"/>
            <w:vAlign w:val="center"/>
          </w:tcPr>
          <w:p w:rsidR="005D3333" w:rsidRDefault="00397194">
            <w:pPr>
              <w:jc w:val="left"/>
            </w:pPr>
            <w:r>
              <w:rPr>
                <w:rFonts w:eastAsiaTheme="minorEastAsia"/>
                <w:color w:val="000000" w:themeColor="text1"/>
                <w:szCs w:val="21"/>
              </w:rPr>
              <w:t>过去六个月</w:t>
            </w:r>
          </w:p>
        </w:tc>
        <w:tc>
          <w:tcPr>
            <w:tcW w:w="1291" w:type="dxa"/>
            <w:vAlign w:val="center"/>
          </w:tcPr>
          <w:p w:rsidR="005D3333" w:rsidRDefault="00397194">
            <w:pPr>
              <w:jc w:val="right"/>
            </w:pPr>
            <w:r>
              <w:rPr>
                <w:rFonts w:eastAsiaTheme="minorEastAsia"/>
                <w:color w:val="000000" w:themeColor="text1"/>
                <w:szCs w:val="21"/>
              </w:rPr>
              <w:t>1.67%</w:t>
            </w:r>
          </w:p>
        </w:tc>
        <w:tc>
          <w:tcPr>
            <w:tcW w:w="1291" w:type="dxa"/>
            <w:vAlign w:val="center"/>
          </w:tcPr>
          <w:p w:rsidR="005D3333" w:rsidRDefault="00397194">
            <w:pPr>
              <w:jc w:val="right"/>
            </w:pPr>
            <w:r>
              <w:rPr>
                <w:rFonts w:eastAsiaTheme="minorEastAsia"/>
                <w:color w:val="000000" w:themeColor="text1"/>
                <w:szCs w:val="21"/>
              </w:rPr>
              <w:t>0.03%</w:t>
            </w:r>
          </w:p>
        </w:tc>
        <w:tc>
          <w:tcPr>
            <w:tcW w:w="1291" w:type="dxa"/>
            <w:vAlign w:val="center"/>
          </w:tcPr>
          <w:p w:rsidR="005D3333" w:rsidRDefault="00397194">
            <w:pPr>
              <w:jc w:val="right"/>
            </w:pPr>
            <w:r>
              <w:rPr>
                <w:rFonts w:eastAsiaTheme="minorEastAsia"/>
                <w:color w:val="000000" w:themeColor="text1"/>
                <w:szCs w:val="21"/>
              </w:rPr>
              <w:t>2.17%</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-0.50%</w:t>
            </w:r>
          </w:p>
        </w:tc>
        <w:tc>
          <w:tcPr>
            <w:tcW w:w="1291" w:type="dxa"/>
            <w:vAlign w:val="center"/>
          </w:tcPr>
          <w:p w:rsidR="005D3333" w:rsidRDefault="00397194">
            <w:pPr>
              <w:jc w:val="right"/>
            </w:pPr>
            <w:r>
              <w:rPr>
                <w:rFonts w:eastAsiaTheme="minorEastAsia"/>
                <w:color w:val="000000" w:themeColor="text1"/>
                <w:szCs w:val="21"/>
              </w:rPr>
              <w:t>-0.01%</w:t>
            </w:r>
          </w:p>
        </w:tc>
      </w:tr>
      <w:tr w:rsidR="005D3333">
        <w:tc>
          <w:tcPr>
            <w:tcW w:w="1290" w:type="dxa"/>
            <w:vAlign w:val="center"/>
          </w:tcPr>
          <w:p w:rsidR="005D3333" w:rsidRDefault="00397194">
            <w:pPr>
              <w:jc w:val="left"/>
            </w:pPr>
            <w:r>
              <w:rPr>
                <w:rFonts w:eastAsiaTheme="minorEastAsia"/>
                <w:color w:val="000000" w:themeColor="text1"/>
                <w:szCs w:val="21"/>
              </w:rPr>
              <w:t>过去一年</w:t>
            </w:r>
          </w:p>
        </w:tc>
        <w:tc>
          <w:tcPr>
            <w:tcW w:w="1291" w:type="dxa"/>
            <w:vAlign w:val="center"/>
          </w:tcPr>
          <w:p w:rsidR="005D3333" w:rsidRDefault="00397194">
            <w:pPr>
              <w:jc w:val="right"/>
            </w:pPr>
            <w:r>
              <w:rPr>
                <w:rFonts w:eastAsiaTheme="minorEastAsia"/>
                <w:color w:val="000000" w:themeColor="text1"/>
                <w:szCs w:val="21"/>
              </w:rPr>
              <w:t>1.41%</w:t>
            </w:r>
          </w:p>
        </w:tc>
        <w:tc>
          <w:tcPr>
            <w:tcW w:w="1291" w:type="dxa"/>
            <w:vAlign w:val="center"/>
          </w:tcPr>
          <w:p w:rsidR="005D3333" w:rsidRDefault="00397194">
            <w:pPr>
              <w:jc w:val="right"/>
            </w:pPr>
            <w:r>
              <w:rPr>
                <w:rFonts w:eastAsiaTheme="minorEastAsia"/>
                <w:color w:val="000000" w:themeColor="text1"/>
                <w:szCs w:val="21"/>
              </w:rPr>
              <w:t>0.06%</w:t>
            </w:r>
          </w:p>
        </w:tc>
        <w:tc>
          <w:tcPr>
            <w:tcW w:w="1291" w:type="dxa"/>
            <w:vAlign w:val="center"/>
          </w:tcPr>
          <w:p w:rsidR="005D3333" w:rsidRDefault="00397194">
            <w:pPr>
              <w:jc w:val="right"/>
            </w:pPr>
            <w:r>
              <w:rPr>
                <w:rFonts w:eastAsiaTheme="minorEastAsia"/>
                <w:color w:val="000000" w:themeColor="text1"/>
                <w:szCs w:val="21"/>
              </w:rPr>
              <w:t>1.33%</w:t>
            </w:r>
          </w:p>
        </w:tc>
        <w:tc>
          <w:tcPr>
            <w:tcW w:w="1291" w:type="dxa"/>
            <w:vAlign w:val="center"/>
          </w:tcPr>
          <w:p w:rsidR="005D3333" w:rsidRDefault="00397194">
            <w:pPr>
              <w:jc w:val="right"/>
            </w:pPr>
            <w:r>
              <w:rPr>
                <w:rFonts w:eastAsiaTheme="minorEastAsia"/>
                <w:color w:val="000000" w:themeColor="text1"/>
                <w:szCs w:val="21"/>
              </w:rPr>
              <w:t>0.07%</w:t>
            </w:r>
          </w:p>
        </w:tc>
        <w:tc>
          <w:tcPr>
            <w:tcW w:w="1291" w:type="dxa"/>
            <w:vAlign w:val="center"/>
          </w:tcPr>
          <w:p w:rsidR="005D3333" w:rsidRDefault="00397194">
            <w:pPr>
              <w:jc w:val="right"/>
            </w:pPr>
            <w:r>
              <w:rPr>
                <w:rFonts w:eastAsiaTheme="minorEastAsia"/>
                <w:color w:val="000000" w:themeColor="text1"/>
                <w:szCs w:val="21"/>
              </w:rPr>
              <w:t>0.08%</w:t>
            </w:r>
          </w:p>
        </w:tc>
        <w:tc>
          <w:tcPr>
            <w:tcW w:w="1291" w:type="dxa"/>
            <w:vAlign w:val="center"/>
          </w:tcPr>
          <w:p w:rsidR="005D3333" w:rsidRDefault="00397194">
            <w:pPr>
              <w:jc w:val="right"/>
            </w:pPr>
            <w:r>
              <w:rPr>
                <w:rFonts w:eastAsiaTheme="minorEastAsia"/>
                <w:color w:val="000000" w:themeColor="text1"/>
                <w:szCs w:val="21"/>
              </w:rPr>
              <w:t>-0.01%</w:t>
            </w:r>
          </w:p>
        </w:tc>
      </w:tr>
      <w:tr w:rsidR="005D3333">
        <w:tc>
          <w:tcPr>
            <w:tcW w:w="1290" w:type="dxa"/>
            <w:vAlign w:val="center"/>
          </w:tcPr>
          <w:p w:rsidR="005D3333" w:rsidRDefault="00397194">
            <w:pPr>
              <w:jc w:val="left"/>
            </w:pPr>
            <w:r>
              <w:rPr>
                <w:rFonts w:eastAsiaTheme="minorEastAsia"/>
                <w:color w:val="000000" w:themeColor="text1"/>
                <w:szCs w:val="21"/>
              </w:rPr>
              <w:t>过去三年</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r>
      <w:tr w:rsidR="005D3333">
        <w:tc>
          <w:tcPr>
            <w:tcW w:w="1290" w:type="dxa"/>
            <w:vAlign w:val="center"/>
          </w:tcPr>
          <w:p w:rsidR="005D3333" w:rsidRDefault="00397194">
            <w:pPr>
              <w:jc w:val="left"/>
            </w:pPr>
            <w:r>
              <w:rPr>
                <w:rFonts w:eastAsiaTheme="minorEastAsia"/>
                <w:color w:val="000000" w:themeColor="text1"/>
                <w:szCs w:val="21"/>
              </w:rPr>
              <w:t>过去五年</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r>
      <w:tr w:rsidR="005D3333">
        <w:tc>
          <w:tcPr>
            <w:tcW w:w="1290" w:type="dxa"/>
            <w:vAlign w:val="center"/>
          </w:tcPr>
          <w:p w:rsidR="005D3333" w:rsidRDefault="00397194">
            <w:pPr>
              <w:jc w:val="left"/>
            </w:pPr>
            <w:r>
              <w:rPr>
                <w:rFonts w:eastAsiaTheme="minorEastAsia"/>
                <w:color w:val="000000" w:themeColor="text1"/>
                <w:szCs w:val="21"/>
              </w:rPr>
              <w:t>自基金合同生效起至今</w:t>
            </w:r>
          </w:p>
        </w:tc>
        <w:tc>
          <w:tcPr>
            <w:tcW w:w="1291" w:type="dxa"/>
            <w:vAlign w:val="center"/>
          </w:tcPr>
          <w:p w:rsidR="005D3333" w:rsidRDefault="00397194">
            <w:pPr>
              <w:jc w:val="right"/>
            </w:pPr>
            <w:r>
              <w:rPr>
                <w:rFonts w:eastAsiaTheme="minorEastAsia"/>
                <w:color w:val="000000" w:themeColor="text1"/>
                <w:szCs w:val="21"/>
              </w:rPr>
              <w:t>3.01%</w:t>
            </w:r>
          </w:p>
        </w:tc>
        <w:tc>
          <w:tcPr>
            <w:tcW w:w="1291" w:type="dxa"/>
            <w:vAlign w:val="center"/>
          </w:tcPr>
          <w:p w:rsidR="005D3333" w:rsidRDefault="00397194">
            <w:pPr>
              <w:jc w:val="right"/>
            </w:pPr>
            <w:r>
              <w:rPr>
                <w:rFonts w:eastAsiaTheme="minorEastAsia"/>
                <w:color w:val="000000" w:themeColor="text1"/>
                <w:szCs w:val="21"/>
              </w:rPr>
              <w:t>0.05%</w:t>
            </w:r>
          </w:p>
        </w:tc>
        <w:tc>
          <w:tcPr>
            <w:tcW w:w="1291" w:type="dxa"/>
            <w:vAlign w:val="center"/>
          </w:tcPr>
          <w:p w:rsidR="005D3333" w:rsidRDefault="00397194">
            <w:pPr>
              <w:jc w:val="right"/>
            </w:pPr>
            <w:r>
              <w:rPr>
                <w:rFonts w:eastAsiaTheme="minorEastAsia"/>
                <w:color w:val="000000" w:themeColor="text1"/>
                <w:szCs w:val="21"/>
              </w:rPr>
              <w:t>4.65%</w:t>
            </w:r>
          </w:p>
        </w:tc>
        <w:tc>
          <w:tcPr>
            <w:tcW w:w="1291" w:type="dxa"/>
            <w:vAlign w:val="center"/>
          </w:tcPr>
          <w:p w:rsidR="005D3333" w:rsidRDefault="00397194">
            <w:pPr>
              <w:jc w:val="right"/>
            </w:pPr>
            <w:r>
              <w:rPr>
                <w:rFonts w:eastAsiaTheme="minorEastAsia"/>
                <w:color w:val="000000" w:themeColor="text1"/>
                <w:szCs w:val="21"/>
              </w:rPr>
              <w:t>0.08%</w:t>
            </w:r>
          </w:p>
        </w:tc>
        <w:tc>
          <w:tcPr>
            <w:tcW w:w="1291" w:type="dxa"/>
            <w:vAlign w:val="center"/>
          </w:tcPr>
          <w:p w:rsidR="005D3333" w:rsidRDefault="00397194">
            <w:pPr>
              <w:jc w:val="right"/>
            </w:pPr>
            <w:r>
              <w:rPr>
                <w:rFonts w:eastAsiaTheme="minorEastAsia"/>
                <w:color w:val="000000" w:themeColor="text1"/>
                <w:szCs w:val="21"/>
              </w:rPr>
              <w:t>-1.64%</w:t>
            </w:r>
          </w:p>
        </w:tc>
        <w:tc>
          <w:tcPr>
            <w:tcW w:w="1291" w:type="dxa"/>
            <w:vAlign w:val="center"/>
          </w:tcPr>
          <w:p w:rsidR="005D3333" w:rsidRDefault="00397194">
            <w:pPr>
              <w:jc w:val="right"/>
            </w:pPr>
            <w:r>
              <w:rPr>
                <w:rFonts w:eastAsiaTheme="minorEastAsia"/>
                <w:color w:val="000000" w:themeColor="text1"/>
                <w:szCs w:val="21"/>
              </w:rPr>
              <w:t>-0.03%</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上投摩根瑞益纯债债券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D3333">
        <w:tc>
          <w:tcPr>
            <w:tcW w:w="1290" w:type="dxa"/>
            <w:vAlign w:val="center"/>
          </w:tcPr>
          <w:p w:rsidR="005D3333" w:rsidRDefault="00397194">
            <w:pPr>
              <w:jc w:val="left"/>
            </w:pPr>
            <w:r>
              <w:rPr>
                <w:rFonts w:eastAsiaTheme="minorEastAsia"/>
                <w:color w:val="000000" w:themeColor="text1"/>
                <w:szCs w:val="21"/>
              </w:rPr>
              <w:t>过去三个月</w:t>
            </w:r>
          </w:p>
        </w:tc>
        <w:tc>
          <w:tcPr>
            <w:tcW w:w="1291" w:type="dxa"/>
            <w:vAlign w:val="center"/>
          </w:tcPr>
          <w:p w:rsidR="005D3333" w:rsidRDefault="00397194">
            <w:pPr>
              <w:jc w:val="right"/>
            </w:pPr>
            <w:r>
              <w:rPr>
                <w:rFonts w:eastAsiaTheme="minorEastAsia"/>
                <w:color w:val="000000" w:themeColor="text1"/>
                <w:szCs w:val="21"/>
              </w:rPr>
              <w:t>0.78%</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0.95%</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-0.17%</w:t>
            </w:r>
          </w:p>
        </w:tc>
        <w:tc>
          <w:tcPr>
            <w:tcW w:w="1291" w:type="dxa"/>
            <w:vAlign w:val="center"/>
          </w:tcPr>
          <w:p w:rsidR="005D3333" w:rsidRDefault="00397194">
            <w:pPr>
              <w:jc w:val="right"/>
            </w:pPr>
            <w:r>
              <w:rPr>
                <w:rFonts w:eastAsiaTheme="minorEastAsia"/>
                <w:color w:val="000000" w:themeColor="text1"/>
                <w:szCs w:val="21"/>
              </w:rPr>
              <w:t>0.00%</w:t>
            </w:r>
          </w:p>
        </w:tc>
      </w:tr>
      <w:tr w:rsidR="005D3333">
        <w:tc>
          <w:tcPr>
            <w:tcW w:w="1290" w:type="dxa"/>
            <w:vAlign w:val="center"/>
          </w:tcPr>
          <w:p w:rsidR="005D3333" w:rsidRDefault="00397194">
            <w:pPr>
              <w:jc w:val="left"/>
            </w:pPr>
            <w:r>
              <w:rPr>
                <w:rFonts w:eastAsiaTheme="minorEastAsia"/>
                <w:color w:val="000000" w:themeColor="text1"/>
                <w:szCs w:val="21"/>
              </w:rPr>
              <w:t>过去六个月</w:t>
            </w:r>
          </w:p>
        </w:tc>
        <w:tc>
          <w:tcPr>
            <w:tcW w:w="1291" w:type="dxa"/>
            <w:vAlign w:val="center"/>
          </w:tcPr>
          <w:p w:rsidR="005D3333" w:rsidRDefault="00397194">
            <w:pPr>
              <w:jc w:val="right"/>
            </w:pPr>
            <w:r>
              <w:rPr>
                <w:rFonts w:eastAsiaTheme="minorEastAsia"/>
                <w:color w:val="000000" w:themeColor="text1"/>
                <w:szCs w:val="21"/>
              </w:rPr>
              <w:t>1.60%</w:t>
            </w:r>
          </w:p>
        </w:tc>
        <w:tc>
          <w:tcPr>
            <w:tcW w:w="1291" w:type="dxa"/>
            <w:vAlign w:val="center"/>
          </w:tcPr>
          <w:p w:rsidR="005D3333" w:rsidRDefault="00397194">
            <w:pPr>
              <w:jc w:val="right"/>
            </w:pPr>
            <w:r>
              <w:rPr>
                <w:rFonts w:eastAsiaTheme="minorEastAsia"/>
                <w:color w:val="000000" w:themeColor="text1"/>
                <w:szCs w:val="21"/>
              </w:rPr>
              <w:t>0.03%</w:t>
            </w:r>
          </w:p>
        </w:tc>
        <w:tc>
          <w:tcPr>
            <w:tcW w:w="1291" w:type="dxa"/>
            <w:vAlign w:val="center"/>
          </w:tcPr>
          <w:p w:rsidR="005D3333" w:rsidRDefault="00397194">
            <w:pPr>
              <w:jc w:val="right"/>
            </w:pPr>
            <w:r>
              <w:rPr>
                <w:rFonts w:eastAsiaTheme="minorEastAsia"/>
                <w:color w:val="000000" w:themeColor="text1"/>
                <w:szCs w:val="21"/>
              </w:rPr>
              <w:t>2.17%</w:t>
            </w:r>
          </w:p>
        </w:tc>
        <w:tc>
          <w:tcPr>
            <w:tcW w:w="1291" w:type="dxa"/>
            <w:vAlign w:val="center"/>
          </w:tcPr>
          <w:p w:rsidR="005D3333" w:rsidRDefault="00397194">
            <w:pPr>
              <w:jc w:val="right"/>
            </w:pPr>
            <w:r>
              <w:rPr>
                <w:rFonts w:eastAsiaTheme="minorEastAsia"/>
                <w:color w:val="000000" w:themeColor="text1"/>
                <w:szCs w:val="21"/>
              </w:rPr>
              <w:t>0.04%</w:t>
            </w:r>
          </w:p>
        </w:tc>
        <w:tc>
          <w:tcPr>
            <w:tcW w:w="1291" w:type="dxa"/>
            <w:vAlign w:val="center"/>
          </w:tcPr>
          <w:p w:rsidR="005D3333" w:rsidRDefault="00397194">
            <w:pPr>
              <w:jc w:val="right"/>
            </w:pPr>
            <w:r>
              <w:rPr>
                <w:rFonts w:eastAsiaTheme="minorEastAsia"/>
                <w:color w:val="000000" w:themeColor="text1"/>
                <w:szCs w:val="21"/>
              </w:rPr>
              <w:t>-0.57%</w:t>
            </w:r>
          </w:p>
        </w:tc>
        <w:tc>
          <w:tcPr>
            <w:tcW w:w="1291" w:type="dxa"/>
            <w:vAlign w:val="center"/>
          </w:tcPr>
          <w:p w:rsidR="005D3333" w:rsidRDefault="00397194">
            <w:pPr>
              <w:jc w:val="right"/>
            </w:pPr>
            <w:r>
              <w:rPr>
                <w:rFonts w:eastAsiaTheme="minorEastAsia"/>
                <w:color w:val="000000" w:themeColor="text1"/>
                <w:szCs w:val="21"/>
              </w:rPr>
              <w:t>-0.01%</w:t>
            </w:r>
          </w:p>
        </w:tc>
      </w:tr>
      <w:tr w:rsidR="005D3333">
        <w:tc>
          <w:tcPr>
            <w:tcW w:w="1290" w:type="dxa"/>
            <w:vAlign w:val="center"/>
          </w:tcPr>
          <w:p w:rsidR="005D3333" w:rsidRDefault="00397194">
            <w:pPr>
              <w:jc w:val="left"/>
            </w:pPr>
            <w:r>
              <w:rPr>
                <w:rFonts w:eastAsiaTheme="minorEastAsia"/>
                <w:color w:val="000000" w:themeColor="text1"/>
                <w:szCs w:val="21"/>
              </w:rPr>
              <w:t>过去一年</w:t>
            </w:r>
          </w:p>
        </w:tc>
        <w:tc>
          <w:tcPr>
            <w:tcW w:w="1291" w:type="dxa"/>
            <w:vAlign w:val="center"/>
          </w:tcPr>
          <w:p w:rsidR="005D3333" w:rsidRDefault="00397194">
            <w:pPr>
              <w:jc w:val="right"/>
            </w:pPr>
            <w:r>
              <w:rPr>
                <w:rFonts w:eastAsiaTheme="minorEastAsia"/>
                <w:color w:val="000000" w:themeColor="text1"/>
                <w:szCs w:val="21"/>
              </w:rPr>
              <w:t>1.10%</w:t>
            </w:r>
          </w:p>
        </w:tc>
        <w:tc>
          <w:tcPr>
            <w:tcW w:w="1291" w:type="dxa"/>
            <w:vAlign w:val="center"/>
          </w:tcPr>
          <w:p w:rsidR="005D3333" w:rsidRDefault="00397194">
            <w:pPr>
              <w:jc w:val="right"/>
            </w:pPr>
            <w:r>
              <w:rPr>
                <w:rFonts w:eastAsiaTheme="minorEastAsia"/>
                <w:color w:val="000000" w:themeColor="text1"/>
                <w:szCs w:val="21"/>
              </w:rPr>
              <w:t>0.06%</w:t>
            </w:r>
          </w:p>
        </w:tc>
        <w:tc>
          <w:tcPr>
            <w:tcW w:w="1291" w:type="dxa"/>
            <w:vAlign w:val="center"/>
          </w:tcPr>
          <w:p w:rsidR="005D3333" w:rsidRDefault="00397194">
            <w:pPr>
              <w:jc w:val="right"/>
            </w:pPr>
            <w:r>
              <w:rPr>
                <w:rFonts w:eastAsiaTheme="minorEastAsia"/>
                <w:color w:val="000000" w:themeColor="text1"/>
                <w:szCs w:val="21"/>
              </w:rPr>
              <w:t>1.33%</w:t>
            </w:r>
          </w:p>
        </w:tc>
        <w:tc>
          <w:tcPr>
            <w:tcW w:w="1291" w:type="dxa"/>
            <w:vAlign w:val="center"/>
          </w:tcPr>
          <w:p w:rsidR="005D3333" w:rsidRDefault="00397194">
            <w:pPr>
              <w:jc w:val="right"/>
            </w:pPr>
            <w:r>
              <w:rPr>
                <w:rFonts w:eastAsiaTheme="minorEastAsia"/>
                <w:color w:val="000000" w:themeColor="text1"/>
                <w:szCs w:val="21"/>
              </w:rPr>
              <w:t>0.07%</w:t>
            </w:r>
          </w:p>
        </w:tc>
        <w:tc>
          <w:tcPr>
            <w:tcW w:w="1291" w:type="dxa"/>
            <w:vAlign w:val="center"/>
          </w:tcPr>
          <w:p w:rsidR="005D3333" w:rsidRDefault="00397194">
            <w:pPr>
              <w:jc w:val="right"/>
            </w:pPr>
            <w:r>
              <w:rPr>
                <w:rFonts w:eastAsiaTheme="minorEastAsia"/>
                <w:color w:val="000000" w:themeColor="text1"/>
                <w:szCs w:val="21"/>
              </w:rPr>
              <w:t>-0.23%</w:t>
            </w:r>
          </w:p>
        </w:tc>
        <w:tc>
          <w:tcPr>
            <w:tcW w:w="1291" w:type="dxa"/>
            <w:vAlign w:val="center"/>
          </w:tcPr>
          <w:p w:rsidR="005D3333" w:rsidRDefault="00397194">
            <w:pPr>
              <w:jc w:val="right"/>
            </w:pPr>
            <w:r>
              <w:rPr>
                <w:rFonts w:eastAsiaTheme="minorEastAsia"/>
                <w:color w:val="000000" w:themeColor="text1"/>
                <w:szCs w:val="21"/>
              </w:rPr>
              <w:t>-0.01%</w:t>
            </w:r>
          </w:p>
        </w:tc>
      </w:tr>
      <w:tr w:rsidR="005D3333">
        <w:tc>
          <w:tcPr>
            <w:tcW w:w="1290" w:type="dxa"/>
            <w:vAlign w:val="center"/>
          </w:tcPr>
          <w:p w:rsidR="005D3333" w:rsidRDefault="00397194">
            <w:pPr>
              <w:jc w:val="left"/>
            </w:pPr>
            <w:r>
              <w:rPr>
                <w:rFonts w:eastAsiaTheme="minorEastAsia"/>
                <w:color w:val="000000" w:themeColor="text1"/>
                <w:szCs w:val="21"/>
              </w:rPr>
              <w:t>过去三年</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r>
      <w:tr w:rsidR="005D3333">
        <w:tc>
          <w:tcPr>
            <w:tcW w:w="1290" w:type="dxa"/>
            <w:vAlign w:val="center"/>
          </w:tcPr>
          <w:p w:rsidR="005D3333" w:rsidRDefault="00397194">
            <w:pPr>
              <w:jc w:val="left"/>
            </w:pPr>
            <w:r>
              <w:rPr>
                <w:rFonts w:eastAsiaTheme="minorEastAsia"/>
                <w:color w:val="000000" w:themeColor="text1"/>
                <w:szCs w:val="21"/>
              </w:rPr>
              <w:t>过去五年</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c>
          <w:tcPr>
            <w:tcW w:w="1291" w:type="dxa"/>
            <w:vAlign w:val="center"/>
          </w:tcPr>
          <w:p w:rsidR="005D3333" w:rsidRDefault="00397194">
            <w:pPr>
              <w:jc w:val="right"/>
            </w:pPr>
            <w:r>
              <w:rPr>
                <w:rFonts w:eastAsiaTheme="minorEastAsia"/>
                <w:color w:val="000000" w:themeColor="text1"/>
                <w:szCs w:val="21"/>
              </w:rPr>
              <w:t>-</w:t>
            </w:r>
          </w:p>
        </w:tc>
      </w:tr>
      <w:tr w:rsidR="005D3333">
        <w:tc>
          <w:tcPr>
            <w:tcW w:w="1290" w:type="dxa"/>
            <w:vAlign w:val="center"/>
          </w:tcPr>
          <w:p w:rsidR="005D3333" w:rsidRDefault="00397194">
            <w:pPr>
              <w:jc w:val="left"/>
            </w:pPr>
            <w:r>
              <w:rPr>
                <w:rFonts w:eastAsiaTheme="minorEastAsia"/>
                <w:color w:val="000000" w:themeColor="text1"/>
                <w:szCs w:val="21"/>
              </w:rPr>
              <w:t>自基金合同生效起至今</w:t>
            </w:r>
          </w:p>
        </w:tc>
        <w:tc>
          <w:tcPr>
            <w:tcW w:w="1291" w:type="dxa"/>
            <w:vAlign w:val="center"/>
          </w:tcPr>
          <w:p w:rsidR="005D3333" w:rsidRDefault="00397194">
            <w:pPr>
              <w:jc w:val="right"/>
            </w:pPr>
            <w:r>
              <w:rPr>
                <w:rFonts w:eastAsiaTheme="minorEastAsia"/>
                <w:color w:val="000000" w:themeColor="text1"/>
                <w:szCs w:val="21"/>
              </w:rPr>
              <w:t>2.67%</w:t>
            </w:r>
          </w:p>
        </w:tc>
        <w:tc>
          <w:tcPr>
            <w:tcW w:w="1291" w:type="dxa"/>
            <w:vAlign w:val="center"/>
          </w:tcPr>
          <w:p w:rsidR="005D3333" w:rsidRDefault="00397194">
            <w:pPr>
              <w:jc w:val="right"/>
            </w:pPr>
            <w:r>
              <w:rPr>
                <w:rFonts w:eastAsiaTheme="minorEastAsia"/>
                <w:color w:val="000000" w:themeColor="text1"/>
                <w:szCs w:val="21"/>
              </w:rPr>
              <w:t>0.05%</w:t>
            </w:r>
          </w:p>
        </w:tc>
        <w:tc>
          <w:tcPr>
            <w:tcW w:w="1291" w:type="dxa"/>
            <w:vAlign w:val="center"/>
          </w:tcPr>
          <w:p w:rsidR="005D3333" w:rsidRDefault="00397194">
            <w:pPr>
              <w:jc w:val="right"/>
            </w:pPr>
            <w:r>
              <w:rPr>
                <w:rFonts w:eastAsiaTheme="minorEastAsia"/>
                <w:color w:val="000000" w:themeColor="text1"/>
                <w:szCs w:val="21"/>
              </w:rPr>
              <w:t>4.65%</w:t>
            </w:r>
          </w:p>
        </w:tc>
        <w:tc>
          <w:tcPr>
            <w:tcW w:w="1291" w:type="dxa"/>
            <w:vAlign w:val="center"/>
          </w:tcPr>
          <w:p w:rsidR="005D3333" w:rsidRDefault="00397194">
            <w:pPr>
              <w:jc w:val="right"/>
            </w:pPr>
            <w:r>
              <w:rPr>
                <w:rFonts w:eastAsiaTheme="minorEastAsia"/>
                <w:color w:val="000000" w:themeColor="text1"/>
                <w:szCs w:val="21"/>
              </w:rPr>
              <w:t>0.08%</w:t>
            </w:r>
          </w:p>
        </w:tc>
        <w:tc>
          <w:tcPr>
            <w:tcW w:w="1291" w:type="dxa"/>
            <w:vAlign w:val="center"/>
          </w:tcPr>
          <w:p w:rsidR="005D3333" w:rsidRDefault="00397194">
            <w:pPr>
              <w:jc w:val="right"/>
            </w:pPr>
            <w:r>
              <w:rPr>
                <w:rFonts w:eastAsiaTheme="minorEastAsia"/>
                <w:color w:val="000000" w:themeColor="text1"/>
                <w:szCs w:val="21"/>
              </w:rPr>
              <w:t>-1.98%</w:t>
            </w:r>
          </w:p>
        </w:tc>
        <w:tc>
          <w:tcPr>
            <w:tcW w:w="1291" w:type="dxa"/>
            <w:vAlign w:val="center"/>
          </w:tcPr>
          <w:p w:rsidR="005D3333" w:rsidRDefault="00397194">
            <w:pPr>
              <w:jc w:val="right"/>
            </w:pPr>
            <w:r>
              <w:rPr>
                <w:rFonts w:eastAsiaTheme="minorEastAsia"/>
                <w:color w:val="000000" w:themeColor="text1"/>
                <w:szCs w:val="21"/>
              </w:rPr>
              <w:t>-0.03%</w:t>
            </w:r>
          </w:p>
        </w:tc>
      </w:tr>
    </w:tbl>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上投摩根瑞益纯债债券型证券投资基金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26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．上投摩根瑞益纯债债券</w:t>
      </w:r>
      <w:r>
        <w:rPr>
          <w:rFonts w:eastAsiaTheme="minorEastAsia"/>
          <w:color w:val="000000" w:themeColor="text1"/>
          <w:szCs w:val="21"/>
        </w:rPr>
        <w:t>A</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w:t>
      </w:r>
      <w:r>
        <w:rPr>
          <w:rFonts w:eastAsiaTheme="minorEastAsia"/>
          <w:color w:val="000000" w:themeColor="text1"/>
          <w:szCs w:val="21"/>
        </w:rPr>
        <w:t>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w:t>
      </w:r>
      <w:r>
        <w:rPr>
          <w:rFonts w:eastAsiaTheme="minorEastAsia"/>
          <w:color w:val="000000" w:themeColor="text1"/>
          <w:szCs w:val="21"/>
        </w:rPr>
        <w:t>个月，建仓期结束时资产配置比例符合本基金基金合同规定。</w:t>
      </w:r>
      <w:r>
        <w:rPr>
          <w:rFonts w:eastAsiaTheme="minorEastAsia"/>
          <w:color w:val="000000" w:themeColor="text1"/>
          <w:szCs w:val="21"/>
        </w:rPr>
        <w:t>"</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．上投摩根瑞益纯债债券</w:t>
      </w:r>
      <w:r>
        <w:rPr>
          <w:rFonts w:eastAsiaTheme="minorEastAsia"/>
          <w:color w:val="000000" w:themeColor="text1"/>
          <w:szCs w:val="21"/>
        </w:rPr>
        <w:t>C</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w:t>
      </w:r>
      <w:r>
        <w:rPr>
          <w:rFonts w:eastAsiaTheme="minorEastAsia"/>
          <w:color w:val="000000" w:themeColor="text1"/>
          <w:szCs w:val="21"/>
        </w:rPr>
        <w:t>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w:t>
      </w:r>
      <w:r>
        <w:rPr>
          <w:rFonts w:eastAsiaTheme="minorEastAsia"/>
          <w:color w:val="000000" w:themeColor="text1"/>
          <w:szCs w:val="21"/>
        </w:rPr>
        <w:t>个月，建仓期结束时资产配置比例符合本基金基金合同规定。</w:t>
      </w:r>
      <w:r>
        <w:rPr>
          <w:rFonts w:eastAsiaTheme="minorEastAsia"/>
          <w:color w:val="000000" w:themeColor="text1"/>
          <w:szCs w:val="21"/>
        </w:rPr>
        <w:t>"</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D3333">
        <w:tc>
          <w:tcPr>
            <w:tcW w:w="952" w:type="dxa"/>
            <w:vAlign w:val="center"/>
          </w:tcPr>
          <w:p w:rsidR="005D3333" w:rsidRDefault="00397194">
            <w:pPr>
              <w:jc w:val="center"/>
            </w:pPr>
            <w:r>
              <w:rPr>
                <w:rFonts w:eastAsiaTheme="minorEastAsia"/>
                <w:color w:val="000000" w:themeColor="text1"/>
                <w:szCs w:val="21"/>
              </w:rPr>
              <w:t>任翔</w:t>
            </w:r>
          </w:p>
        </w:tc>
        <w:tc>
          <w:tcPr>
            <w:tcW w:w="930" w:type="dxa"/>
            <w:vAlign w:val="center"/>
          </w:tcPr>
          <w:p w:rsidR="005D3333" w:rsidRDefault="00397194">
            <w:pPr>
              <w:jc w:val="center"/>
            </w:pPr>
            <w:r>
              <w:rPr>
                <w:rFonts w:eastAsiaTheme="minorEastAsia"/>
                <w:color w:val="000000" w:themeColor="text1"/>
                <w:szCs w:val="21"/>
              </w:rPr>
              <w:t>本基金基金经理、固收研究部总监</w:t>
            </w:r>
          </w:p>
        </w:tc>
        <w:tc>
          <w:tcPr>
            <w:tcW w:w="1210" w:type="dxa"/>
            <w:vAlign w:val="center"/>
          </w:tcPr>
          <w:p w:rsidR="005D3333" w:rsidRDefault="00397194">
            <w:pPr>
              <w:jc w:val="center"/>
            </w:pPr>
            <w:r>
              <w:rPr>
                <w:rFonts w:eastAsiaTheme="minorEastAsia"/>
                <w:color w:val="000000" w:themeColor="text1"/>
                <w:szCs w:val="21"/>
              </w:rPr>
              <w:t>2019-11-26</w:t>
            </w:r>
          </w:p>
        </w:tc>
        <w:tc>
          <w:tcPr>
            <w:tcW w:w="1309" w:type="dxa"/>
            <w:vAlign w:val="center"/>
          </w:tcPr>
          <w:p w:rsidR="005D3333" w:rsidRDefault="00397194">
            <w:pPr>
              <w:jc w:val="center"/>
            </w:pPr>
            <w:r>
              <w:rPr>
                <w:rFonts w:eastAsiaTheme="minorEastAsia"/>
                <w:color w:val="000000" w:themeColor="text1"/>
                <w:szCs w:val="21"/>
              </w:rPr>
              <w:t>-</w:t>
            </w:r>
          </w:p>
        </w:tc>
        <w:tc>
          <w:tcPr>
            <w:tcW w:w="1254" w:type="dxa"/>
            <w:vAlign w:val="center"/>
          </w:tcPr>
          <w:p w:rsidR="005D3333" w:rsidRDefault="00397194">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5D3333" w:rsidRDefault="00397194">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w:t>
            </w:r>
            <w:r>
              <w:rPr>
                <w:rFonts w:eastAsiaTheme="minorEastAsia"/>
                <w:color w:val="000000" w:themeColor="text1"/>
                <w:szCs w:val="21"/>
              </w:rPr>
              <w:t>定期开放债券型证券投资基金基金经理，自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月起同时担任上投摩根岁岁益定期开放债券型证券投资基金基金经理。</w:t>
            </w:r>
          </w:p>
        </w:tc>
      </w:tr>
    </w:tbl>
    <w:p w:rsidR="005D3333" w:rsidRDefault="003971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D3333" w:rsidRDefault="003971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任翔先生为本基金首任基金经理，其任职日期为本基金基金合同生效之日。</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瑞益纯债债券型证券投资基金基金合同》的规定。基金经理对个股和投资组合的比例遵循了投资决策委员会的授权限制，基金投资比例符合基金合同和法律法规的要求。</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w:t>
      </w:r>
      <w:r>
        <w:rPr>
          <w:rFonts w:eastAsiaTheme="minorEastAsia"/>
          <w:color w:val="000000" w:themeColor="text1"/>
          <w:szCs w:val="21"/>
        </w:rPr>
        <w:t>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w:t>
      </w:r>
      <w:r>
        <w:rPr>
          <w:rFonts w:eastAsiaTheme="minorEastAsia"/>
          <w:color w:val="000000" w:themeColor="text1"/>
          <w:szCs w:val="21"/>
        </w:rPr>
        <w:t>公司遵循价格优先、比例分配的原则，根据事前独立申报的价格和数量对交易结果进行公平分配。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跨过</w:t>
      </w:r>
      <w:r>
        <w:rPr>
          <w:rFonts w:eastAsiaTheme="minorEastAsia"/>
          <w:color w:val="000000" w:themeColor="text1"/>
          <w:szCs w:val="21"/>
        </w:rPr>
        <w:t>2020</w:t>
      </w:r>
      <w:r>
        <w:rPr>
          <w:rFonts w:eastAsiaTheme="minorEastAsia"/>
          <w:color w:val="000000" w:themeColor="text1"/>
          <w:szCs w:val="21"/>
        </w:rPr>
        <w:t>年底后，资金面极度宽松，</w:t>
      </w:r>
      <w:r>
        <w:rPr>
          <w:rFonts w:eastAsiaTheme="minorEastAsia"/>
          <w:color w:val="000000" w:themeColor="text1"/>
          <w:szCs w:val="21"/>
        </w:rPr>
        <w:t>12</w:t>
      </w:r>
      <w:r>
        <w:rPr>
          <w:rFonts w:eastAsiaTheme="minorEastAsia"/>
          <w:color w:val="000000" w:themeColor="text1"/>
          <w:szCs w:val="21"/>
        </w:rPr>
        <w:t>月社融数据不及预期，但经济数据延续强势，影响债市的因素多空交织，收益率横盘震荡。后续资金面边际收紧，</w:t>
      </w:r>
      <w:r>
        <w:rPr>
          <w:rFonts w:eastAsiaTheme="minorEastAsia"/>
          <w:color w:val="000000" w:themeColor="text1"/>
          <w:szCs w:val="21"/>
        </w:rPr>
        <w:t>A</w:t>
      </w:r>
      <w:r>
        <w:rPr>
          <w:rFonts w:eastAsiaTheme="minorEastAsia"/>
          <w:color w:val="000000" w:themeColor="text1"/>
          <w:szCs w:val="21"/>
        </w:rPr>
        <w:t>股连续快速上涨以及部分一线城市房价的快速上行加剧了市场对于央行或收紧流动性的担忧，在此情形下，收益率缓步上行。随着全球疫情拐点出现以及美国财政刺激方案的逐步明晰，美债收益率大幅上行，带动风险资产价格回落，</w:t>
      </w:r>
      <w:r>
        <w:rPr>
          <w:rFonts w:eastAsiaTheme="minorEastAsia"/>
          <w:color w:val="000000" w:themeColor="text1"/>
          <w:szCs w:val="21"/>
        </w:rPr>
        <w:t>A</w:t>
      </w:r>
      <w:r>
        <w:rPr>
          <w:rFonts w:eastAsiaTheme="minorEastAsia"/>
          <w:color w:val="000000" w:themeColor="text1"/>
          <w:szCs w:val="21"/>
        </w:rPr>
        <w:t>股亦受此影响迎来下跌，一定程度上对债市形成支撑，收益率稳中有降。</w:t>
      </w:r>
      <w:r>
        <w:rPr>
          <w:rFonts w:eastAsiaTheme="minorEastAsia"/>
          <w:color w:val="000000" w:themeColor="text1"/>
          <w:szCs w:val="21"/>
        </w:rPr>
        <w:t>3</w:t>
      </w:r>
      <w:r>
        <w:rPr>
          <w:rFonts w:eastAsiaTheme="minorEastAsia"/>
          <w:color w:val="000000" w:themeColor="text1"/>
          <w:szCs w:val="21"/>
        </w:rPr>
        <w:t>月，中美阿拉斯加会谈结果并不乐观，市场避险情绪升温，同时由于机构普遍久期较低，存在一定欠配，市场做</w:t>
      </w:r>
      <w:r>
        <w:rPr>
          <w:rFonts w:eastAsiaTheme="minorEastAsia"/>
          <w:color w:val="000000" w:themeColor="text1"/>
          <w:szCs w:val="21"/>
        </w:rPr>
        <w:t>多情绪升温，债券收益率迎来一波下行。</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本基金在第一季度继续坚持前期策略，保持中短久期，严控信用风险。期间把握利率行情并结合对信用利差的判断，对利率及信用类资产进行了再分配以争取更高收益。</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展望后市，经济修复进程仍在持续，当前基本面形势良好，社融虽已见顶回落但仍处高位，第二季度</w:t>
      </w:r>
      <w:r>
        <w:rPr>
          <w:rFonts w:eastAsiaTheme="minorEastAsia"/>
          <w:color w:val="000000" w:themeColor="text1"/>
          <w:szCs w:val="21"/>
        </w:rPr>
        <w:t>PPI</w:t>
      </w:r>
      <w:r>
        <w:rPr>
          <w:rFonts w:eastAsiaTheme="minorEastAsia"/>
          <w:color w:val="000000" w:themeColor="text1"/>
          <w:szCs w:val="21"/>
        </w:rPr>
        <w:t>可能迎来阶段性高点。在此情形下，货币政策易紧难松，收益率难有趋势性机会。技术面上，当前市场估值较为合理，投资者整体久期较低，因此风险亦不高，存在交易性机会。后续将关注经济复苏的可持续性，特别是国际关系演绎及全球经济复苏背景下中国出口的走势。</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本报告期上投摩根瑞益纯债债券</w:t>
      </w:r>
      <w:r>
        <w:rPr>
          <w:rFonts w:eastAsiaTheme="minorEastAsia"/>
          <w:color w:val="000000" w:themeColor="text1"/>
          <w:szCs w:val="21"/>
        </w:rPr>
        <w:t xml:space="preserve">A </w:t>
      </w:r>
      <w:r>
        <w:rPr>
          <w:rFonts w:eastAsiaTheme="minorEastAsia"/>
          <w:color w:val="000000" w:themeColor="text1"/>
          <w:szCs w:val="21"/>
        </w:rPr>
        <w:t>份额净值增长率为</w:t>
      </w:r>
      <w:r>
        <w:rPr>
          <w:rFonts w:eastAsiaTheme="minorEastAsia"/>
          <w:color w:val="000000" w:themeColor="text1"/>
          <w:szCs w:val="21"/>
        </w:rPr>
        <w:t>:0.80%</w:t>
      </w:r>
      <w:r>
        <w:rPr>
          <w:rFonts w:eastAsiaTheme="minorEastAsia"/>
          <w:color w:val="000000" w:themeColor="text1"/>
          <w:szCs w:val="21"/>
        </w:rPr>
        <w:t>，同期业绩比较基准收益率为</w:t>
      </w:r>
      <w:r>
        <w:rPr>
          <w:rFonts w:eastAsiaTheme="minorEastAsia"/>
          <w:color w:val="000000" w:themeColor="text1"/>
          <w:szCs w:val="21"/>
        </w:rPr>
        <w:t>:0.95%,</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:0.78%</w:t>
      </w:r>
      <w:r>
        <w:rPr>
          <w:rFonts w:eastAsiaTheme="minorEastAsia"/>
          <w:color w:val="000000" w:themeColor="text1"/>
          <w:szCs w:val="21"/>
        </w:rPr>
        <w:t>，同期业绩比较基准收益率为</w:t>
      </w:r>
      <w:r>
        <w:rPr>
          <w:rFonts w:eastAsiaTheme="minorEastAsia"/>
          <w:color w:val="000000" w:themeColor="text1"/>
          <w:szCs w:val="21"/>
        </w:rPr>
        <w:t>:0.95%</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177,717,219.50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96.92</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177,717,219.50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96.92</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2,201,610.23</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1.20</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3,451,029.69</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1.88</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183,369,859.42</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581,220.00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0.33</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20,201,599.50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11.55</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20,201,599.50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11.55</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117,000,400.00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66.87</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39,934,000.00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22.82</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177,717,219.50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101.57</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5D3333">
        <w:tc>
          <w:tcPr>
            <w:tcW w:w="1504" w:type="dxa"/>
            <w:vAlign w:val="center"/>
          </w:tcPr>
          <w:p w:rsidR="005D3333" w:rsidRDefault="00397194">
            <w:pPr>
              <w:jc w:val="center"/>
            </w:pPr>
            <w:r>
              <w:rPr>
                <w:rFonts w:eastAsiaTheme="minorEastAsia"/>
                <w:color w:val="000000" w:themeColor="text1"/>
                <w:szCs w:val="21"/>
              </w:rPr>
              <w:t>1</w:t>
            </w:r>
          </w:p>
        </w:tc>
        <w:tc>
          <w:tcPr>
            <w:tcW w:w="1504" w:type="dxa"/>
            <w:vAlign w:val="center"/>
          </w:tcPr>
          <w:p w:rsidR="005D3333" w:rsidRDefault="00397194">
            <w:pPr>
              <w:jc w:val="center"/>
            </w:pPr>
            <w:r>
              <w:rPr>
                <w:rFonts w:eastAsiaTheme="minorEastAsia"/>
                <w:color w:val="000000" w:themeColor="text1"/>
                <w:szCs w:val="21"/>
              </w:rPr>
              <w:t>143674</w:t>
            </w:r>
          </w:p>
        </w:tc>
        <w:tc>
          <w:tcPr>
            <w:tcW w:w="1504" w:type="dxa"/>
            <w:vAlign w:val="center"/>
          </w:tcPr>
          <w:p w:rsidR="005D3333" w:rsidRDefault="00397194">
            <w:pPr>
              <w:jc w:val="center"/>
            </w:pPr>
            <w:r>
              <w:rPr>
                <w:rFonts w:eastAsiaTheme="minorEastAsia"/>
                <w:color w:val="000000" w:themeColor="text1"/>
                <w:szCs w:val="21"/>
              </w:rPr>
              <w:t>18</w:t>
            </w:r>
            <w:r>
              <w:rPr>
                <w:rFonts w:eastAsiaTheme="minorEastAsia"/>
                <w:color w:val="000000" w:themeColor="text1"/>
                <w:szCs w:val="21"/>
              </w:rPr>
              <w:t>临债</w:t>
            </w:r>
            <w:r>
              <w:rPr>
                <w:rFonts w:eastAsiaTheme="minorEastAsia"/>
                <w:color w:val="000000" w:themeColor="text1"/>
                <w:szCs w:val="21"/>
              </w:rPr>
              <w:t>01</w:t>
            </w:r>
          </w:p>
        </w:tc>
        <w:tc>
          <w:tcPr>
            <w:tcW w:w="1503" w:type="dxa"/>
            <w:vAlign w:val="center"/>
          </w:tcPr>
          <w:p w:rsidR="005D3333" w:rsidRDefault="00397194">
            <w:pPr>
              <w:jc w:val="right"/>
            </w:pPr>
            <w:r>
              <w:rPr>
                <w:rFonts w:eastAsiaTheme="minorEastAsia"/>
                <w:color w:val="000000" w:themeColor="text1"/>
                <w:szCs w:val="21"/>
              </w:rPr>
              <w:t>105,000</w:t>
            </w:r>
          </w:p>
        </w:tc>
        <w:tc>
          <w:tcPr>
            <w:tcW w:w="1503" w:type="dxa"/>
            <w:vAlign w:val="center"/>
          </w:tcPr>
          <w:p w:rsidR="005D3333" w:rsidRDefault="00397194">
            <w:pPr>
              <w:jc w:val="right"/>
            </w:pPr>
            <w:r>
              <w:rPr>
                <w:rFonts w:eastAsiaTheme="minorEastAsia"/>
                <w:color w:val="000000" w:themeColor="text1"/>
                <w:szCs w:val="21"/>
              </w:rPr>
              <w:t>10,403,400.00</w:t>
            </w:r>
          </w:p>
        </w:tc>
        <w:tc>
          <w:tcPr>
            <w:tcW w:w="1503" w:type="dxa"/>
            <w:vAlign w:val="center"/>
          </w:tcPr>
          <w:p w:rsidR="005D3333" w:rsidRDefault="00397194">
            <w:pPr>
              <w:jc w:val="right"/>
            </w:pPr>
            <w:r>
              <w:rPr>
                <w:rFonts w:eastAsiaTheme="minorEastAsia"/>
                <w:color w:val="000000" w:themeColor="text1"/>
                <w:szCs w:val="21"/>
              </w:rPr>
              <w:t>5.95</w:t>
            </w:r>
          </w:p>
        </w:tc>
      </w:tr>
      <w:tr w:rsidR="005D3333">
        <w:tc>
          <w:tcPr>
            <w:tcW w:w="1504" w:type="dxa"/>
            <w:vAlign w:val="center"/>
          </w:tcPr>
          <w:p w:rsidR="005D3333" w:rsidRDefault="00397194">
            <w:pPr>
              <w:jc w:val="center"/>
            </w:pPr>
            <w:r>
              <w:rPr>
                <w:rFonts w:eastAsiaTheme="minorEastAsia"/>
                <w:color w:val="000000" w:themeColor="text1"/>
                <w:szCs w:val="21"/>
              </w:rPr>
              <w:t>2</w:t>
            </w:r>
          </w:p>
        </w:tc>
        <w:tc>
          <w:tcPr>
            <w:tcW w:w="1504" w:type="dxa"/>
            <w:vAlign w:val="center"/>
          </w:tcPr>
          <w:p w:rsidR="005D3333" w:rsidRDefault="00397194">
            <w:pPr>
              <w:jc w:val="center"/>
            </w:pPr>
            <w:r>
              <w:rPr>
                <w:rFonts w:eastAsiaTheme="minorEastAsia"/>
                <w:color w:val="000000" w:themeColor="text1"/>
                <w:szCs w:val="21"/>
              </w:rPr>
              <w:t>143065</w:t>
            </w:r>
          </w:p>
        </w:tc>
        <w:tc>
          <w:tcPr>
            <w:tcW w:w="1504" w:type="dxa"/>
            <w:vAlign w:val="center"/>
          </w:tcPr>
          <w:p w:rsidR="005D3333" w:rsidRDefault="00397194">
            <w:pPr>
              <w:jc w:val="center"/>
            </w:pPr>
            <w:r>
              <w:rPr>
                <w:rFonts w:eastAsiaTheme="minorEastAsia"/>
                <w:color w:val="000000" w:themeColor="text1"/>
                <w:szCs w:val="21"/>
              </w:rPr>
              <w:t>17</w:t>
            </w:r>
            <w:r>
              <w:rPr>
                <w:rFonts w:eastAsiaTheme="minorEastAsia"/>
                <w:color w:val="000000" w:themeColor="text1"/>
                <w:szCs w:val="21"/>
              </w:rPr>
              <w:t>海资</w:t>
            </w:r>
            <w:r>
              <w:rPr>
                <w:rFonts w:eastAsiaTheme="minorEastAsia"/>
                <w:color w:val="000000" w:themeColor="text1"/>
                <w:szCs w:val="21"/>
              </w:rPr>
              <w:t>01</w:t>
            </w:r>
          </w:p>
        </w:tc>
        <w:tc>
          <w:tcPr>
            <w:tcW w:w="1503" w:type="dxa"/>
            <w:vAlign w:val="center"/>
          </w:tcPr>
          <w:p w:rsidR="005D3333" w:rsidRDefault="00397194">
            <w:pPr>
              <w:jc w:val="right"/>
            </w:pPr>
            <w:r>
              <w:rPr>
                <w:rFonts w:eastAsiaTheme="minorEastAsia"/>
                <w:color w:val="000000" w:themeColor="text1"/>
                <w:szCs w:val="21"/>
              </w:rPr>
              <w:t>100,000</w:t>
            </w:r>
          </w:p>
        </w:tc>
        <w:tc>
          <w:tcPr>
            <w:tcW w:w="1503" w:type="dxa"/>
            <w:vAlign w:val="center"/>
          </w:tcPr>
          <w:p w:rsidR="005D3333" w:rsidRDefault="00397194">
            <w:pPr>
              <w:jc w:val="right"/>
            </w:pPr>
            <w:r>
              <w:rPr>
                <w:rFonts w:eastAsiaTheme="minorEastAsia"/>
                <w:color w:val="000000" w:themeColor="text1"/>
                <w:szCs w:val="21"/>
              </w:rPr>
              <w:t>10,166,000.00</w:t>
            </w:r>
          </w:p>
        </w:tc>
        <w:tc>
          <w:tcPr>
            <w:tcW w:w="1503" w:type="dxa"/>
            <w:vAlign w:val="center"/>
          </w:tcPr>
          <w:p w:rsidR="005D3333" w:rsidRDefault="00397194">
            <w:pPr>
              <w:jc w:val="right"/>
            </w:pPr>
            <w:r>
              <w:rPr>
                <w:rFonts w:eastAsiaTheme="minorEastAsia"/>
                <w:color w:val="000000" w:themeColor="text1"/>
                <w:szCs w:val="21"/>
              </w:rPr>
              <w:t>5.81</w:t>
            </w:r>
          </w:p>
        </w:tc>
      </w:tr>
      <w:tr w:rsidR="005D3333">
        <w:tc>
          <w:tcPr>
            <w:tcW w:w="1504" w:type="dxa"/>
            <w:vAlign w:val="center"/>
          </w:tcPr>
          <w:p w:rsidR="005D3333" w:rsidRDefault="00397194">
            <w:pPr>
              <w:jc w:val="center"/>
            </w:pPr>
            <w:r>
              <w:rPr>
                <w:rFonts w:eastAsiaTheme="minorEastAsia"/>
                <w:color w:val="000000" w:themeColor="text1"/>
                <w:szCs w:val="21"/>
              </w:rPr>
              <w:t>3</w:t>
            </w:r>
          </w:p>
        </w:tc>
        <w:tc>
          <w:tcPr>
            <w:tcW w:w="1504" w:type="dxa"/>
            <w:vAlign w:val="center"/>
          </w:tcPr>
          <w:p w:rsidR="005D3333" w:rsidRDefault="00397194">
            <w:pPr>
              <w:jc w:val="center"/>
            </w:pPr>
            <w:r>
              <w:rPr>
                <w:rFonts w:eastAsiaTheme="minorEastAsia"/>
                <w:color w:val="000000" w:themeColor="text1"/>
                <w:szCs w:val="21"/>
              </w:rPr>
              <w:t>136881</w:t>
            </w:r>
          </w:p>
        </w:tc>
        <w:tc>
          <w:tcPr>
            <w:tcW w:w="1504" w:type="dxa"/>
            <w:vAlign w:val="center"/>
          </w:tcPr>
          <w:p w:rsidR="005D3333" w:rsidRDefault="00397194">
            <w:pPr>
              <w:jc w:val="center"/>
            </w:pPr>
            <w:r>
              <w:rPr>
                <w:rFonts w:eastAsiaTheme="minorEastAsia"/>
                <w:color w:val="000000" w:themeColor="text1"/>
                <w:szCs w:val="21"/>
              </w:rPr>
              <w:t>17</w:t>
            </w:r>
            <w:r>
              <w:rPr>
                <w:rFonts w:eastAsiaTheme="minorEastAsia"/>
                <w:color w:val="000000" w:themeColor="text1"/>
                <w:szCs w:val="21"/>
              </w:rPr>
              <w:t>甬开投</w:t>
            </w:r>
          </w:p>
        </w:tc>
        <w:tc>
          <w:tcPr>
            <w:tcW w:w="1503" w:type="dxa"/>
            <w:vAlign w:val="center"/>
          </w:tcPr>
          <w:p w:rsidR="005D3333" w:rsidRDefault="00397194">
            <w:pPr>
              <w:jc w:val="right"/>
            </w:pPr>
            <w:r>
              <w:rPr>
                <w:rFonts w:eastAsiaTheme="minorEastAsia"/>
                <w:color w:val="000000" w:themeColor="text1"/>
                <w:szCs w:val="21"/>
              </w:rPr>
              <w:t>100,000</w:t>
            </w:r>
          </w:p>
        </w:tc>
        <w:tc>
          <w:tcPr>
            <w:tcW w:w="1503" w:type="dxa"/>
            <w:vAlign w:val="center"/>
          </w:tcPr>
          <w:p w:rsidR="005D3333" w:rsidRDefault="00397194">
            <w:pPr>
              <w:jc w:val="right"/>
            </w:pPr>
            <w:r>
              <w:rPr>
                <w:rFonts w:eastAsiaTheme="minorEastAsia"/>
                <w:color w:val="000000" w:themeColor="text1"/>
                <w:szCs w:val="21"/>
              </w:rPr>
              <w:t>10,129,000.00</w:t>
            </w:r>
          </w:p>
        </w:tc>
        <w:tc>
          <w:tcPr>
            <w:tcW w:w="1503" w:type="dxa"/>
            <w:vAlign w:val="center"/>
          </w:tcPr>
          <w:p w:rsidR="005D3333" w:rsidRDefault="00397194">
            <w:pPr>
              <w:jc w:val="right"/>
            </w:pPr>
            <w:r>
              <w:rPr>
                <w:rFonts w:eastAsiaTheme="minorEastAsia"/>
                <w:color w:val="000000" w:themeColor="text1"/>
                <w:szCs w:val="21"/>
              </w:rPr>
              <w:t>5.79</w:t>
            </w:r>
          </w:p>
        </w:tc>
      </w:tr>
      <w:tr w:rsidR="005D3333">
        <w:tc>
          <w:tcPr>
            <w:tcW w:w="1504" w:type="dxa"/>
            <w:vAlign w:val="center"/>
          </w:tcPr>
          <w:p w:rsidR="005D3333" w:rsidRDefault="00397194">
            <w:pPr>
              <w:jc w:val="center"/>
            </w:pPr>
            <w:r>
              <w:rPr>
                <w:rFonts w:eastAsiaTheme="minorEastAsia"/>
                <w:color w:val="000000" w:themeColor="text1"/>
                <w:szCs w:val="21"/>
              </w:rPr>
              <w:t>4</w:t>
            </w:r>
          </w:p>
        </w:tc>
        <w:tc>
          <w:tcPr>
            <w:tcW w:w="1504" w:type="dxa"/>
            <w:vAlign w:val="center"/>
          </w:tcPr>
          <w:p w:rsidR="005D3333" w:rsidRDefault="00397194">
            <w:pPr>
              <w:jc w:val="center"/>
            </w:pPr>
            <w:r>
              <w:rPr>
                <w:rFonts w:eastAsiaTheme="minorEastAsia"/>
                <w:color w:val="000000" w:themeColor="text1"/>
                <w:szCs w:val="21"/>
              </w:rPr>
              <w:t>155450</w:t>
            </w:r>
          </w:p>
        </w:tc>
        <w:tc>
          <w:tcPr>
            <w:tcW w:w="1504" w:type="dxa"/>
            <w:vAlign w:val="center"/>
          </w:tcPr>
          <w:p w:rsidR="005D3333" w:rsidRDefault="00397194">
            <w:pPr>
              <w:jc w:val="center"/>
            </w:pPr>
            <w:r>
              <w:rPr>
                <w:rFonts w:eastAsiaTheme="minorEastAsia"/>
                <w:color w:val="000000" w:themeColor="text1"/>
                <w:szCs w:val="21"/>
              </w:rPr>
              <w:t>19</w:t>
            </w:r>
            <w:r>
              <w:rPr>
                <w:rFonts w:eastAsiaTheme="minorEastAsia"/>
                <w:color w:val="000000" w:themeColor="text1"/>
                <w:szCs w:val="21"/>
              </w:rPr>
              <w:t>小商</w:t>
            </w:r>
            <w:r>
              <w:rPr>
                <w:rFonts w:eastAsiaTheme="minorEastAsia"/>
                <w:color w:val="000000" w:themeColor="text1"/>
                <w:szCs w:val="21"/>
              </w:rPr>
              <w:t>01</w:t>
            </w:r>
          </w:p>
        </w:tc>
        <w:tc>
          <w:tcPr>
            <w:tcW w:w="1503" w:type="dxa"/>
            <w:vAlign w:val="center"/>
          </w:tcPr>
          <w:p w:rsidR="005D3333" w:rsidRDefault="00397194">
            <w:pPr>
              <w:jc w:val="right"/>
            </w:pPr>
            <w:r>
              <w:rPr>
                <w:rFonts w:eastAsiaTheme="minorEastAsia"/>
                <w:color w:val="000000" w:themeColor="text1"/>
                <w:szCs w:val="21"/>
              </w:rPr>
              <w:t>100,000</w:t>
            </w:r>
          </w:p>
        </w:tc>
        <w:tc>
          <w:tcPr>
            <w:tcW w:w="1503" w:type="dxa"/>
            <w:vAlign w:val="center"/>
          </w:tcPr>
          <w:p w:rsidR="005D3333" w:rsidRDefault="00397194">
            <w:pPr>
              <w:jc w:val="right"/>
            </w:pPr>
            <w:r>
              <w:rPr>
                <w:rFonts w:eastAsiaTheme="minorEastAsia"/>
                <w:color w:val="000000" w:themeColor="text1"/>
                <w:szCs w:val="21"/>
              </w:rPr>
              <w:t>10,119,000.00</w:t>
            </w:r>
          </w:p>
        </w:tc>
        <w:tc>
          <w:tcPr>
            <w:tcW w:w="1503" w:type="dxa"/>
            <w:vAlign w:val="center"/>
          </w:tcPr>
          <w:p w:rsidR="005D3333" w:rsidRDefault="00397194">
            <w:pPr>
              <w:jc w:val="right"/>
            </w:pPr>
            <w:r>
              <w:rPr>
                <w:rFonts w:eastAsiaTheme="minorEastAsia"/>
                <w:color w:val="000000" w:themeColor="text1"/>
                <w:szCs w:val="21"/>
              </w:rPr>
              <w:t>5.78</w:t>
            </w:r>
          </w:p>
        </w:tc>
      </w:tr>
      <w:tr w:rsidR="005D3333">
        <w:tc>
          <w:tcPr>
            <w:tcW w:w="1504" w:type="dxa"/>
            <w:vAlign w:val="center"/>
          </w:tcPr>
          <w:p w:rsidR="005D3333" w:rsidRDefault="00397194">
            <w:pPr>
              <w:jc w:val="center"/>
            </w:pPr>
            <w:r>
              <w:rPr>
                <w:rFonts w:eastAsiaTheme="minorEastAsia"/>
                <w:color w:val="000000" w:themeColor="text1"/>
                <w:szCs w:val="21"/>
              </w:rPr>
              <w:t>5</w:t>
            </w:r>
          </w:p>
        </w:tc>
        <w:tc>
          <w:tcPr>
            <w:tcW w:w="1504" w:type="dxa"/>
            <w:vAlign w:val="center"/>
          </w:tcPr>
          <w:p w:rsidR="005D3333" w:rsidRDefault="00397194">
            <w:pPr>
              <w:jc w:val="center"/>
            </w:pPr>
            <w:r>
              <w:rPr>
                <w:rFonts w:eastAsiaTheme="minorEastAsia"/>
                <w:color w:val="000000" w:themeColor="text1"/>
                <w:szCs w:val="21"/>
              </w:rPr>
              <w:t>155784</w:t>
            </w:r>
          </w:p>
        </w:tc>
        <w:tc>
          <w:tcPr>
            <w:tcW w:w="1504" w:type="dxa"/>
            <w:vAlign w:val="center"/>
          </w:tcPr>
          <w:p w:rsidR="005D3333" w:rsidRDefault="00397194">
            <w:pPr>
              <w:jc w:val="center"/>
            </w:pPr>
            <w:r>
              <w:rPr>
                <w:rFonts w:eastAsiaTheme="minorEastAsia"/>
                <w:color w:val="000000" w:themeColor="text1"/>
                <w:szCs w:val="21"/>
              </w:rPr>
              <w:t>19</w:t>
            </w:r>
            <w:r>
              <w:rPr>
                <w:rFonts w:eastAsiaTheme="minorEastAsia"/>
                <w:color w:val="000000" w:themeColor="text1"/>
                <w:szCs w:val="21"/>
              </w:rPr>
              <w:t>义乌</w:t>
            </w:r>
            <w:r>
              <w:rPr>
                <w:rFonts w:eastAsiaTheme="minorEastAsia"/>
                <w:color w:val="000000" w:themeColor="text1"/>
                <w:szCs w:val="21"/>
              </w:rPr>
              <w:t>01</w:t>
            </w:r>
          </w:p>
        </w:tc>
        <w:tc>
          <w:tcPr>
            <w:tcW w:w="1503" w:type="dxa"/>
            <w:vAlign w:val="center"/>
          </w:tcPr>
          <w:p w:rsidR="005D3333" w:rsidRDefault="00397194">
            <w:pPr>
              <w:jc w:val="right"/>
            </w:pPr>
            <w:r>
              <w:rPr>
                <w:rFonts w:eastAsiaTheme="minorEastAsia"/>
                <w:color w:val="000000" w:themeColor="text1"/>
                <w:szCs w:val="21"/>
              </w:rPr>
              <w:t>100,000</w:t>
            </w:r>
          </w:p>
        </w:tc>
        <w:tc>
          <w:tcPr>
            <w:tcW w:w="1503" w:type="dxa"/>
            <w:vAlign w:val="center"/>
          </w:tcPr>
          <w:p w:rsidR="005D3333" w:rsidRDefault="00397194">
            <w:pPr>
              <w:jc w:val="right"/>
            </w:pPr>
            <w:r>
              <w:rPr>
                <w:rFonts w:eastAsiaTheme="minorEastAsia"/>
                <w:color w:val="000000" w:themeColor="text1"/>
                <w:szCs w:val="21"/>
              </w:rPr>
              <w:t>10,097,000.00</w:t>
            </w:r>
          </w:p>
        </w:tc>
        <w:tc>
          <w:tcPr>
            <w:tcW w:w="1503" w:type="dxa"/>
            <w:vAlign w:val="center"/>
          </w:tcPr>
          <w:p w:rsidR="005D3333" w:rsidRDefault="00397194">
            <w:pPr>
              <w:jc w:val="right"/>
            </w:pPr>
            <w:r>
              <w:rPr>
                <w:rFonts w:eastAsiaTheme="minorEastAsia"/>
                <w:color w:val="000000" w:themeColor="text1"/>
                <w:szCs w:val="21"/>
              </w:rPr>
              <w:t>5.77</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3,140.85</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3,174,402.89</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273,485.95</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3,451,029.69</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上投摩根瑞益纯债债券</w:t>
            </w:r>
            <w:r>
              <w:rPr>
                <w:rFonts w:eastAsiaTheme="minorEastAsia"/>
                <w:color w:val="000000" w:themeColor="text1"/>
                <w:szCs w:val="21"/>
              </w:rPr>
              <w:t>C</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166,446,109.19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629,072.21</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643,863.12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5,072,818.22</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134,474.23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2,798,821.45</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166,955,498.08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2,903,068.98</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tc>
          <w:tcPr>
            <w:tcW w:w="993" w:type="dxa"/>
            <w:vMerge w:val="restart"/>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5E6DF3">
        <w:tc>
          <w:tcPr>
            <w:tcW w:w="993" w:type="dxa"/>
            <w:vMerge/>
            <w:vAlign w:val="center"/>
          </w:tcPr>
          <w:p w:rsidR="005E6DF3" w:rsidRDefault="005E6DF3">
            <w:pPr>
              <w:autoSpaceDE w:val="0"/>
              <w:autoSpaceDN w:val="0"/>
              <w:adjustRightInd w:val="0"/>
              <w:jc w:val="center"/>
              <w:rPr>
                <w:rFonts w:ascii="宋体" w:hAnsi="宋体"/>
                <w:b/>
                <w:bCs/>
                <w:color w:val="000000"/>
                <w:kern w:val="0"/>
                <w:szCs w:val="21"/>
              </w:rPr>
            </w:pPr>
          </w:p>
        </w:tc>
        <w:tc>
          <w:tcPr>
            <w:tcW w:w="992"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D3333">
        <w:tc>
          <w:tcPr>
            <w:tcW w:w="993" w:type="dxa"/>
            <w:vMerge w:val="restart"/>
            <w:vAlign w:val="center"/>
          </w:tcPr>
          <w:p w:rsidR="005D3333" w:rsidRDefault="00397194">
            <w:r>
              <w:rPr>
                <w:rFonts w:ascii="宋体" w:hAnsi="宋体" w:hint="eastAsia"/>
                <w:bCs/>
                <w:color w:val="000000"/>
                <w:kern w:val="0"/>
                <w:szCs w:val="21"/>
              </w:rPr>
              <w:t>机构</w:t>
            </w:r>
          </w:p>
        </w:tc>
        <w:tc>
          <w:tcPr>
            <w:tcW w:w="992" w:type="dxa"/>
            <w:vAlign w:val="center"/>
          </w:tcPr>
          <w:p w:rsidR="005D3333" w:rsidRDefault="00397194">
            <w:pPr>
              <w:jc w:val="center"/>
            </w:pPr>
            <w:r>
              <w:rPr>
                <w:rFonts w:ascii="宋体" w:hAnsi="宋体"/>
                <w:color w:val="000000"/>
                <w:kern w:val="0"/>
                <w:szCs w:val="21"/>
              </w:rPr>
              <w:t>1</w:t>
            </w:r>
          </w:p>
        </w:tc>
        <w:tc>
          <w:tcPr>
            <w:tcW w:w="1843" w:type="dxa"/>
            <w:vAlign w:val="center"/>
          </w:tcPr>
          <w:p w:rsidR="005D3333" w:rsidRDefault="00397194">
            <w:pPr>
              <w:jc w:val="center"/>
            </w:pPr>
            <w:r>
              <w:rPr>
                <w:rFonts w:ascii="宋体" w:hAnsi="宋体"/>
                <w:color w:val="000000"/>
                <w:kern w:val="0"/>
                <w:szCs w:val="21"/>
              </w:rPr>
              <w:t>20210101-20210331</w:t>
            </w:r>
          </w:p>
        </w:tc>
        <w:tc>
          <w:tcPr>
            <w:tcW w:w="851" w:type="dxa"/>
            <w:vAlign w:val="center"/>
          </w:tcPr>
          <w:p w:rsidR="005D3333" w:rsidRDefault="00397194">
            <w:pPr>
              <w:jc w:val="center"/>
            </w:pPr>
            <w:r>
              <w:rPr>
                <w:rFonts w:ascii="宋体" w:hAnsi="宋体"/>
                <w:color w:val="000000"/>
                <w:kern w:val="0"/>
                <w:szCs w:val="21"/>
              </w:rPr>
              <w:t>97,521,942.66</w:t>
            </w:r>
          </w:p>
        </w:tc>
        <w:tc>
          <w:tcPr>
            <w:tcW w:w="850" w:type="dxa"/>
            <w:vAlign w:val="center"/>
          </w:tcPr>
          <w:p w:rsidR="005D3333" w:rsidRDefault="00397194">
            <w:pPr>
              <w:jc w:val="center"/>
            </w:pPr>
            <w:r>
              <w:rPr>
                <w:rFonts w:ascii="宋体" w:hAnsi="宋体"/>
                <w:color w:val="000000"/>
                <w:kern w:val="0"/>
                <w:szCs w:val="21"/>
              </w:rPr>
              <w:t>0.00</w:t>
            </w:r>
          </w:p>
        </w:tc>
        <w:tc>
          <w:tcPr>
            <w:tcW w:w="1134" w:type="dxa"/>
            <w:vAlign w:val="center"/>
          </w:tcPr>
          <w:p w:rsidR="005D3333" w:rsidRDefault="00397194">
            <w:pPr>
              <w:jc w:val="center"/>
            </w:pPr>
            <w:r>
              <w:rPr>
                <w:rFonts w:ascii="宋体" w:hAnsi="宋体"/>
                <w:color w:val="000000"/>
                <w:kern w:val="0"/>
                <w:szCs w:val="21"/>
              </w:rPr>
              <w:t>0.00</w:t>
            </w:r>
          </w:p>
        </w:tc>
        <w:tc>
          <w:tcPr>
            <w:tcW w:w="1419" w:type="dxa"/>
            <w:vAlign w:val="center"/>
          </w:tcPr>
          <w:p w:rsidR="005D3333" w:rsidRDefault="00397194">
            <w:pPr>
              <w:jc w:val="center"/>
            </w:pPr>
            <w:r>
              <w:rPr>
                <w:rFonts w:ascii="宋体" w:hAnsi="宋体"/>
                <w:color w:val="000000"/>
                <w:kern w:val="0"/>
                <w:szCs w:val="21"/>
              </w:rPr>
              <w:t>97,521,942.66</w:t>
            </w:r>
          </w:p>
        </w:tc>
        <w:tc>
          <w:tcPr>
            <w:tcW w:w="1130" w:type="dxa"/>
            <w:vAlign w:val="center"/>
          </w:tcPr>
          <w:p w:rsidR="005D3333" w:rsidRDefault="00397194">
            <w:pPr>
              <w:jc w:val="center"/>
            </w:pPr>
            <w:r>
              <w:rPr>
                <w:rFonts w:ascii="宋体" w:hAnsi="宋体"/>
                <w:color w:val="000000"/>
                <w:kern w:val="0"/>
                <w:szCs w:val="21"/>
              </w:rPr>
              <w:t>57.41%</w:t>
            </w:r>
          </w:p>
        </w:tc>
      </w:tr>
      <w:tr w:rsidR="005D3333">
        <w:tc>
          <w:tcPr>
            <w:tcW w:w="993" w:type="dxa"/>
            <w:vMerge/>
          </w:tcPr>
          <w:p w:rsidR="005D3333" w:rsidRDefault="005D3333"/>
        </w:tc>
        <w:tc>
          <w:tcPr>
            <w:tcW w:w="992" w:type="dxa"/>
            <w:vAlign w:val="center"/>
          </w:tcPr>
          <w:p w:rsidR="005D3333" w:rsidRDefault="00397194">
            <w:pPr>
              <w:jc w:val="center"/>
            </w:pPr>
            <w:r>
              <w:rPr>
                <w:rFonts w:ascii="宋体" w:hAnsi="宋体"/>
                <w:color w:val="000000"/>
                <w:kern w:val="0"/>
                <w:szCs w:val="21"/>
              </w:rPr>
              <w:t>2</w:t>
            </w:r>
          </w:p>
        </w:tc>
        <w:tc>
          <w:tcPr>
            <w:tcW w:w="1843" w:type="dxa"/>
            <w:vAlign w:val="center"/>
          </w:tcPr>
          <w:p w:rsidR="005D3333" w:rsidRDefault="00397194">
            <w:pPr>
              <w:jc w:val="center"/>
            </w:pPr>
            <w:r>
              <w:rPr>
                <w:rFonts w:ascii="宋体" w:hAnsi="宋体"/>
                <w:color w:val="000000"/>
                <w:kern w:val="0"/>
                <w:szCs w:val="21"/>
              </w:rPr>
              <w:t>20210101-20210331</w:t>
            </w:r>
          </w:p>
        </w:tc>
        <w:tc>
          <w:tcPr>
            <w:tcW w:w="851" w:type="dxa"/>
            <w:vAlign w:val="center"/>
          </w:tcPr>
          <w:p w:rsidR="005D3333" w:rsidRDefault="00397194">
            <w:pPr>
              <w:jc w:val="center"/>
            </w:pPr>
            <w:r>
              <w:rPr>
                <w:rFonts w:ascii="宋体" w:hAnsi="宋体"/>
                <w:color w:val="000000"/>
                <w:kern w:val="0"/>
                <w:szCs w:val="21"/>
              </w:rPr>
              <w:t>48,760,483.71</w:t>
            </w:r>
          </w:p>
        </w:tc>
        <w:tc>
          <w:tcPr>
            <w:tcW w:w="850" w:type="dxa"/>
            <w:vAlign w:val="center"/>
          </w:tcPr>
          <w:p w:rsidR="005D3333" w:rsidRDefault="00397194">
            <w:pPr>
              <w:jc w:val="center"/>
            </w:pPr>
            <w:r>
              <w:rPr>
                <w:rFonts w:ascii="宋体" w:hAnsi="宋体"/>
                <w:color w:val="000000"/>
                <w:kern w:val="0"/>
                <w:szCs w:val="21"/>
              </w:rPr>
              <w:t>0.00</w:t>
            </w:r>
          </w:p>
        </w:tc>
        <w:tc>
          <w:tcPr>
            <w:tcW w:w="1134" w:type="dxa"/>
            <w:vAlign w:val="center"/>
          </w:tcPr>
          <w:p w:rsidR="005D3333" w:rsidRDefault="00397194">
            <w:pPr>
              <w:jc w:val="center"/>
            </w:pPr>
            <w:r>
              <w:rPr>
                <w:rFonts w:ascii="宋体" w:hAnsi="宋体"/>
                <w:color w:val="000000"/>
                <w:kern w:val="0"/>
                <w:szCs w:val="21"/>
              </w:rPr>
              <w:t>0.00</w:t>
            </w:r>
          </w:p>
        </w:tc>
        <w:tc>
          <w:tcPr>
            <w:tcW w:w="1419" w:type="dxa"/>
            <w:vAlign w:val="center"/>
          </w:tcPr>
          <w:p w:rsidR="005D3333" w:rsidRDefault="00397194">
            <w:pPr>
              <w:jc w:val="center"/>
            </w:pPr>
            <w:r>
              <w:rPr>
                <w:rFonts w:ascii="宋体" w:hAnsi="宋体"/>
                <w:color w:val="000000"/>
                <w:kern w:val="0"/>
                <w:szCs w:val="21"/>
              </w:rPr>
              <w:t>48,760,483.71</w:t>
            </w:r>
          </w:p>
        </w:tc>
        <w:tc>
          <w:tcPr>
            <w:tcW w:w="1130" w:type="dxa"/>
            <w:vAlign w:val="center"/>
          </w:tcPr>
          <w:p w:rsidR="005D3333" w:rsidRDefault="00397194">
            <w:pPr>
              <w:jc w:val="center"/>
            </w:pPr>
            <w:r>
              <w:rPr>
                <w:rFonts w:ascii="宋体" w:hAnsi="宋体"/>
                <w:color w:val="000000"/>
                <w:kern w:val="0"/>
                <w:szCs w:val="21"/>
              </w:rPr>
              <w:t>28.71%</w:t>
            </w:r>
          </w:p>
        </w:tc>
      </w:tr>
      <w:tr w:rsidR="005E6DF3">
        <w:tc>
          <w:tcPr>
            <w:tcW w:w="9212" w:type="dxa"/>
            <w:gridSpan w:val="8"/>
            <w:vAlign w:val="center"/>
          </w:tcPr>
          <w:p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5E6DF3">
        <w:tc>
          <w:tcPr>
            <w:tcW w:w="9212" w:type="dxa"/>
            <w:gridSpan w:val="8"/>
            <w:vAlign w:val="center"/>
          </w:tcPr>
          <w:p w:rsidR="005E6DF3" w:rsidRDefault="005C671B">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、中国证监会准予上投摩根瑞益纯债债券型证券投资基金募集注册的文件；</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、《上投摩根瑞益纯债债券型证券投资基金合同》；</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、《上投摩根瑞益纯债债券型证券投资基金托管协议》；</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5D3333" w:rsidRDefault="0039719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二〇二一年四月二十二日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9719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9719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9719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上投摩根瑞益纯债债券型证券投资基金</w:t>
    </w:r>
    <w:r>
      <w:t>2021</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194"/>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3333"/>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DF9CC-511A-4BA1-BCF8-7D711437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13</Pages>
  <Words>1037</Words>
  <Characters>5917</Characters>
  <Application>Microsoft Office Word</Application>
  <DocSecurity>0</DocSecurity>
  <Lines>49</Lines>
  <Paragraphs>13</Paragraphs>
  <ScaleCrop>false</ScaleCrop>
  <Company>TRT. Ltd. Co.</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217</cp:revision>
  <cp:lastPrinted>2007-07-19T00:46:00Z</cp:lastPrinted>
  <dcterms:created xsi:type="dcterms:W3CDTF">2013-06-21T06:56:00Z</dcterms:created>
  <dcterms:modified xsi:type="dcterms:W3CDTF">2021-04-20T10:00:00Z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