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上投摩根日本精选股票型证券投资基金（QDII）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2019年第4季度报告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2019年12月31日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中国银行股份有限公司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二〇二〇年一月二十日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基金托管人中国银行股份有限公司根据本基金合同规定，于2020年1月17日复核了本报告中的财务指标、净值表现和投资组合报告等内容，保证复核内容不存在虚假记载、误导性陈述或者重大遗漏。 </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本报告期自2019年10月1日起至12月31日止。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上投摩根日本精选股票(QDII)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007280</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007280</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2019年7月31日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131,460,899.73</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本基金主要投资于日本上市公司股票，在严格控制风险的前提下追求超越业绩比较基准的回报。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个股选择方面，本基金通过对上市公司的财务状况、业绩持</w:t>
            </w:r>
            <w:r w:rsidRPr="008277FF">
              <w:rPr>
                <w:rFonts w:asciiTheme="minorEastAsia" w:eastAsiaTheme="minorEastAsia" w:hAnsiTheme="minorEastAsia"/>
                <w:color w:val="000000" w:themeColor="text1"/>
                <w:kern w:val="0"/>
                <w:szCs w:val="21"/>
              </w:rPr>
              <w:lastRenderedPageBreak/>
              <w:t>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lastRenderedPageBreak/>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本基金的业绩比较基准：90%×东京证券交易所股价总指数收益率+ 10%×税后银行活期存款收益率</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本基金属于股票型基金产品，预期风险和收益水平高于混合型基金、债券型基金和货币市场基金。本基金风险收益特征会定期评估并在公司网站发布，请投资者关注。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中国银行股份有限公司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ASSET MANAGEMENT (ASIA PACIFIC)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摩根资产管理（亚太）有限公司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Bank of China (Hong Kong)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中国银行(香港)有限公司</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6A4E62" w:rsidRPr="008277FF" w:rsidTr="006A4E62">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2019年10月1日-2019年12月31日</w:t>
            </w:r>
            <w:r w:rsidRPr="008277FF">
              <w:rPr>
                <w:rFonts w:asciiTheme="minorEastAsia" w:eastAsiaTheme="minorEastAsia" w:hAnsiTheme="minorEastAsia" w:cs="宋体" w:hint="eastAsia"/>
                <w:color w:val="000000" w:themeColor="text1"/>
                <w:szCs w:val="21"/>
              </w:rPr>
              <w:t>)</w:t>
            </w:r>
          </w:p>
        </w:tc>
      </w:tr>
      <w:tr w:rsidR="006A4E62" w:rsidRPr="008277FF" w:rsidTr="006A4E62">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6,849,766.79</w:t>
            </w:r>
          </w:p>
        </w:tc>
      </w:tr>
      <w:tr w:rsidR="006A4E62" w:rsidRPr="008277FF" w:rsidTr="006A4E62">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16,764,246.79</w:t>
            </w:r>
          </w:p>
        </w:tc>
      </w:tr>
      <w:tr w:rsidR="006A4E62" w:rsidRPr="008277FF" w:rsidTr="006A4E62">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0.0890</w:t>
            </w:r>
          </w:p>
        </w:tc>
      </w:tr>
      <w:tr w:rsidR="006A4E62" w:rsidRPr="008277FF" w:rsidTr="006A4E62">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142,529,232.56</w:t>
            </w:r>
          </w:p>
        </w:tc>
      </w:tr>
      <w:tr w:rsidR="006A4E62" w:rsidRPr="008277FF" w:rsidTr="006A4E62">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1.0842</w:t>
            </w:r>
          </w:p>
        </w:tc>
      </w:tr>
    </w:tbl>
    <w:p w:rsidR="00093073" w:rsidRDefault="00093073" w:rsidP="0009307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76518F" w:rsidRDefault="00093073" w:rsidP="0009307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093073" w:rsidRPr="008277FF" w:rsidRDefault="00093073" w:rsidP="0009307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026ED3">
        <w:tc>
          <w:tcPr>
            <w:tcW w:w="1395" w:type="dxa"/>
            <w:vAlign w:val="center"/>
          </w:tcPr>
          <w:p w:rsidR="00026ED3" w:rsidRDefault="006A4E62">
            <w:pPr>
              <w:jc w:val="left"/>
            </w:pPr>
            <w:r>
              <w:rPr>
                <w:rFonts w:asciiTheme="minorEastAsia" w:eastAsiaTheme="minorEastAsia" w:hAnsiTheme="minorEastAsia"/>
                <w:color w:val="000000" w:themeColor="text1"/>
                <w:szCs w:val="21"/>
              </w:rPr>
              <w:t>过去三个月</w:t>
            </w:r>
          </w:p>
        </w:tc>
        <w:tc>
          <w:tcPr>
            <w:tcW w:w="1092" w:type="dxa"/>
            <w:vAlign w:val="center"/>
          </w:tcPr>
          <w:p w:rsidR="00026ED3" w:rsidRDefault="006A4E62">
            <w:pPr>
              <w:jc w:val="right"/>
            </w:pPr>
            <w:r>
              <w:rPr>
                <w:rFonts w:asciiTheme="minorEastAsia" w:eastAsiaTheme="minorEastAsia" w:hAnsiTheme="minorEastAsia"/>
                <w:color w:val="000000" w:themeColor="text1"/>
                <w:szCs w:val="21"/>
              </w:rPr>
              <w:t>8.84%</w:t>
            </w:r>
          </w:p>
        </w:tc>
        <w:tc>
          <w:tcPr>
            <w:tcW w:w="1161" w:type="dxa"/>
            <w:vAlign w:val="center"/>
          </w:tcPr>
          <w:p w:rsidR="00026ED3" w:rsidRDefault="006A4E62">
            <w:pPr>
              <w:jc w:val="right"/>
            </w:pPr>
            <w:r>
              <w:rPr>
                <w:rFonts w:asciiTheme="minorEastAsia" w:eastAsiaTheme="minorEastAsia" w:hAnsiTheme="minorEastAsia"/>
                <w:color w:val="000000" w:themeColor="text1"/>
                <w:szCs w:val="21"/>
              </w:rPr>
              <w:t>0.58%</w:t>
            </w:r>
          </w:p>
        </w:tc>
        <w:tc>
          <w:tcPr>
            <w:tcW w:w="1181" w:type="dxa"/>
            <w:vAlign w:val="center"/>
          </w:tcPr>
          <w:p w:rsidR="00026ED3" w:rsidRDefault="006A4E62">
            <w:pPr>
              <w:jc w:val="right"/>
            </w:pPr>
            <w:r>
              <w:rPr>
                <w:rFonts w:asciiTheme="minorEastAsia" w:eastAsiaTheme="minorEastAsia" w:hAnsiTheme="minorEastAsia"/>
                <w:color w:val="000000" w:themeColor="text1"/>
                <w:szCs w:val="21"/>
              </w:rPr>
              <w:t>6.76%</w:t>
            </w:r>
          </w:p>
        </w:tc>
        <w:tc>
          <w:tcPr>
            <w:tcW w:w="1188" w:type="dxa"/>
            <w:vAlign w:val="center"/>
          </w:tcPr>
          <w:p w:rsidR="00026ED3" w:rsidRDefault="006A4E62">
            <w:pPr>
              <w:jc w:val="right"/>
            </w:pPr>
            <w:r>
              <w:rPr>
                <w:rFonts w:asciiTheme="minorEastAsia" w:eastAsiaTheme="minorEastAsia" w:hAnsiTheme="minorEastAsia"/>
                <w:color w:val="000000" w:themeColor="text1"/>
                <w:szCs w:val="21"/>
              </w:rPr>
              <w:t>0.50%</w:t>
            </w:r>
          </w:p>
        </w:tc>
        <w:tc>
          <w:tcPr>
            <w:tcW w:w="1199" w:type="dxa"/>
            <w:vAlign w:val="center"/>
          </w:tcPr>
          <w:p w:rsidR="00026ED3" w:rsidRDefault="006A4E62">
            <w:pPr>
              <w:jc w:val="right"/>
            </w:pPr>
            <w:r>
              <w:rPr>
                <w:rFonts w:asciiTheme="minorEastAsia" w:eastAsiaTheme="minorEastAsia" w:hAnsiTheme="minorEastAsia"/>
                <w:color w:val="000000" w:themeColor="text1"/>
                <w:szCs w:val="21"/>
              </w:rPr>
              <w:t>2.08%</w:t>
            </w:r>
          </w:p>
        </w:tc>
        <w:tc>
          <w:tcPr>
            <w:tcW w:w="1204" w:type="dxa"/>
            <w:vAlign w:val="center"/>
          </w:tcPr>
          <w:p w:rsidR="00026ED3" w:rsidRDefault="006A4E62">
            <w:pPr>
              <w:jc w:val="right"/>
            </w:pPr>
            <w:r>
              <w:rPr>
                <w:rFonts w:asciiTheme="minorEastAsia" w:eastAsiaTheme="minorEastAsia" w:hAnsiTheme="minorEastAsia"/>
                <w:color w:val="000000" w:themeColor="text1"/>
                <w:szCs w:val="21"/>
              </w:rPr>
              <w:t>0.08%</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b"/>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上投摩根日本精选股票型证券投资基金（QDII）</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2019年7月31日</w:t>
      </w:r>
      <w:r w:rsidRPr="008277FF">
        <w:rPr>
          <w:rFonts w:asciiTheme="minorEastAsia" w:eastAsiaTheme="minorEastAsia" w:hAnsiTheme="minorEastAsia" w:hint="eastAsia"/>
          <w:color w:val="000000" w:themeColor="text1"/>
          <w:kern w:val="0"/>
          <w:szCs w:val="21"/>
        </w:rPr>
        <w:t>至2019年12月31日）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026ED3" w:rsidRDefault="006A4E62">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注：本基金合同生效日为2019年7月31日，图示时间段为2019年7月31日至2019年12月31日。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本基金建仓期自2019年7月31日至2020年1月30日，本基金本报告期内仍处于建仓期。</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026ED3">
        <w:tc>
          <w:tcPr>
            <w:tcW w:w="851" w:type="dxa"/>
            <w:vAlign w:val="center"/>
          </w:tcPr>
          <w:p w:rsidR="00026ED3" w:rsidRDefault="006A4E62">
            <w:pPr>
              <w:jc w:val="center"/>
            </w:pPr>
            <w:r>
              <w:rPr>
                <w:rFonts w:asciiTheme="minorEastAsia" w:eastAsiaTheme="minorEastAsia" w:hAnsiTheme="minorEastAsia"/>
                <w:color w:val="000000" w:themeColor="text1"/>
                <w:szCs w:val="21"/>
              </w:rPr>
              <w:t>张军</w:t>
            </w:r>
          </w:p>
        </w:tc>
        <w:tc>
          <w:tcPr>
            <w:tcW w:w="850" w:type="dxa"/>
            <w:vAlign w:val="center"/>
          </w:tcPr>
          <w:p w:rsidR="00026ED3" w:rsidRDefault="006A4E62">
            <w:pPr>
              <w:jc w:val="center"/>
            </w:pPr>
            <w:r>
              <w:rPr>
                <w:rFonts w:asciiTheme="minorEastAsia" w:eastAsiaTheme="minorEastAsia" w:hAnsiTheme="minorEastAsia"/>
                <w:color w:val="000000" w:themeColor="text1"/>
                <w:szCs w:val="21"/>
              </w:rPr>
              <w:t>本基金基金经理、投资董事</w:t>
            </w:r>
          </w:p>
        </w:tc>
        <w:tc>
          <w:tcPr>
            <w:tcW w:w="1560" w:type="dxa"/>
            <w:vAlign w:val="center"/>
          </w:tcPr>
          <w:p w:rsidR="00026ED3" w:rsidRDefault="006A4E62">
            <w:pPr>
              <w:jc w:val="center"/>
            </w:pPr>
            <w:r>
              <w:rPr>
                <w:rFonts w:asciiTheme="minorEastAsia" w:eastAsiaTheme="minorEastAsia" w:hAnsiTheme="minorEastAsia"/>
                <w:color w:val="000000" w:themeColor="text1"/>
                <w:szCs w:val="21"/>
              </w:rPr>
              <w:t>2019-07-31</w:t>
            </w:r>
          </w:p>
        </w:tc>
        <w:tc>
          <w:tcPr>
            <w:tcW w:w="1559" w:type="dxa"/>
            <w:vAlign w:val="center"/>
          </w:tcPr>
          <w:p w:rsidR="00026ED3" w:rsidRDefault="006A4E62">
            <w:pPr>
              <w:jc w:val="center"/>
            </w:pPr>
            <w:r>
              <w:rPr>
                <w:rFonts w:asciiTheme="minorEastAsia" w:eastAsiaTheme="minorEastAsia" w:hAnsiTheme="minorEastAsia"/>
                <w:color w:val="000000" w:themeColor="text1"/>
                <w:szCs w:val="21"/>
              </w:rPr>
              <w:t>-</w:t>
            </w:r>
          </w:p>
        </w:tc>
        <w:tc>
          <w:tcPr>
            <w:tcW w:w="1417" w:type="dxa"/>
            <w:vAlign w:val="center"/>
          </w:tcPr>
          <w:p w:rsidR="00026ED3" w:rsidRDefault="006A4E62">
            <w:pPr>
              <w:jc w:val="center"/>
            </w:pPr>
            <w:r>
              <w:rPr>
                <w:rFonts w:asciiTheme="minorEastAsia" w:eastAsiaTheme="minorEastAsia" w:hAnsiTheme="minorEastAsia"/>
                <w:color w:val="000000" w:themeColor="text1"/>
                <w:szCs w:val="21"/>
              </w:rPr>
              <w:t>27年</w:t>
            </w:r>
          </w:p>
        </w:tc>
        <w:tc>
          <w:tcPr>
            <w:tcW w:w="2694" w:type="dxa"/>
            <w:vAlign w:val="center"/>
          </w:tcPr>
          <w:p w:rsidR="00026ED3" w:rsidRDefault="006A4E62">
            <w:pPr>
              <w:jc w:val="left"/>
            </w:pPr>
            <w:r>
              <w:rPr>
                <w:rFonts w:asciiTheme="minorEastAsia" w:eastAsiaTheme="minorEastAsia" w:hAnsiTheme="minorEastAsia"/>
                <w:color w:val="000000" w:themeColor="text1"/>
                <w:szCs w:val="21"/>
              </w:rPr>
              <w:t>基金经理张军先生，毕业于上海复旦大学。曾担任上海国际信托有限公司国际业务部经理，交易部经理。2004年6月加入上投摩根基金管理有限公司，先后担任交易部总监、投资经理、基金经理、投资组合管理部总监、投资绩效评估总监、国际投资部总监、组合基金投资部总监，现担任投资董事。2008年3月起担任上投摩根亚太优势混合型证券投资基金基金经理，自2012年3月起同时担任上投摩根全球天然资源混合型证券投资基金基金经理，自2016年12月起同时担任上投摩根全球多元配置证券投资基金基金经理，自2018年10月起担任上投摩根欧洲动力策略股票型证券投资基金（QDII）基金经理，自2019年7月起同时担任上投摩根日本精选股票型证券投资基金（QDII）基金经理。</w:t>
            </w:r>
          </w:p>
        </w:tc>
      </w:tr>
    </w:tbl>
    <w:p w:rsidR="00026ED3" w:rsidRDefault="006A4E62">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 任职日期和离任日期均指根据公司决定确定的聘任日期和解聘日期。</w:t>
      </w:r>
    </w:p>
    <w:p w:rsidR="00026ED3" w:rsidRDefault="006A4E62">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 张军先生为本基金首任基金经理，其任职日期为本基金基金合同生效之日；</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 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F077D2" w:rsidRPr="008277FF">
        <w:rPr>
          <w:rFonts w:asciiTheme="minorEastAsia" w:eastAsiaTheme="minorEastAsia" w:hAnsiTheme="minorEastAsia" w:cs="Arial" w:hint="eastAsia"/>
          <w:b/>
          <w:color w:val="000000" w:themeColor="text1"/>
          <w:kern w:val="0"/>
          <w:sz w:val="24"/>
        </w:rPr>
        <w:t>2</w:t>
      </w:r>
      <w:r w:rsidR="00A32FDA" w:rsidRPr="008277FF">
        <w:rPr>
          <w:rFonts w:asciiTheme="minorEastAsia" w:eastAsiaTheme="minorEastAsia" w:hAnsiTheme="minorEastAsia" w:cs="Arial" w:hint="eastAsia"/>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049"/>
        <w:gridCol w:w="3737"/>
        <w:gridCol w:w="1049"/>
        <w:gridCol w:w="2678"/>
      </w:tblGrid>
      <w:tr w:rsidR="008277FF" w:rsidRPr="008277FF" w:rsidTr="00797DD2">
        <w:tc>
          <w:tcPr>
            <w:tcW w:w="2129"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姓名</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证券从业年限</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说明</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水泽祥一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摩根资产管理(亚太)基金经理、日本股票国家专家，新兴市场和亚太地区股票团队日本团队负责人</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27年</w:t>
            </w:r>
          </w:p>
        </w:tc>
        <w:tc>
          <w:tcPr>
            <w:tcW w:w="0" w:type="auto"/>
            <w:vAlign w:val="center"/>
          </w:tcPr>
          <w:p w:rsidR="00026ED3" w:rsidRDefault="006A4E62">
            <w:pPr>
              <w:jc w:val="left"/>
            </w:pPr>
            <w:r>
              <w:rPr>
                <w:rFonts w:asciiTheme="minorEastAsia" w:eastAsiaTheme="minorEastAsia" w:hAnsiTheme="minorEastAsia"/>
                <w:color w:val="000000" w:themeColor="text1"/>
                <w:szCs w:val="21"/>
              </w:rPr>
              <w:t>日本早稻田大学政治科学和经济学士、加拿大西蒙弗雷泽大学硕士</w:t>
            </w:r>
          </w:p>
        </w:tc>
      </w:tr>
    </w:tbl>
    <w:p w:rsidR="00FB47E0" w:rsidRPr="008277FF" w:rsidRDefault="00FB47E0"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QDII）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公平交易制度的执行情况</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5.1</w:t>
      </w:r>
      <w:r w:rsidRPr="008277FF">
        <w:rPr>
          <w:rFonts w:asciiTheme="minorEastAsia" w:eastAsiaTheme="minorEastAsia" w:hAnsiTheme="minorEastAsia" w:hint="eastAsia"/>
          <w:color w:val="000000" w:themeColor="text1"/>
          <w:sz w:val="24"/>
        </w:rPr>
        <w:t>报告期内基金投资策略和运作分析</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日本精选基金于2019年7月底正式成立，整个第四季度正处于建仓期内。</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考虑到历史上的大部分时期内弱势日元对促进日本经济有利，进而有利于日股上涨，自从基金购汇日元汇出境外进行投资开始，就通过与托管行签订远期外汇协议规避日元兑人民币汇率贬值可能对基金净值的负面影响。基金卖出日元外汇远期也使得基金放弃了日元升值对基金净值的正贡献。</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日本股市正在经历着结构性改革，老龄少子化、5G技术应用、高端制造的优势地位将赋予相关日本上市公司未来增长的机会。然而，相比美欧、日本股市的研究覆盖明显不足，这就为自下而上研究个股，发掘不为大众所知的投资机会，创造高于指数的超额收益提供了空间。</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本基金通过自主研究，从质量、动能和成长性三方面要素考量，投资未来有长期增长潜力的日本上市公司。</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展望后市，日本是受到全球经济增长影响较明显的国家。目前，我们注意到疲软已久的全球制造业出现了止跌企稳的迹象，加上中美达成“第一阶段”贸易协议，英国有望在年1月底“有协议脱欧”，萦绕在资本市场上的几大风险事件都向着好的方向有所进展，这些因素的边际改善为一季度的投资奠定了良好的宏观环境，预计未来投资者对权益资产的偏好也随之提升。</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本报告期日本精选份额净值增长率为:8.84%，同期业绩比较基准收益率为:6.76%。</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135,741,846.04</w:t>
            </w:r>
          </w:p>
        </w:tc>
        <w:tc>
          <w:tcPr>
            <w:tcW w:w="1559" w:type="dxa"/>
            <w:shd w:val="clear" w:color="auto" w:fill="auto"/>
            <w:vAlign w:val="center"/>
          </w:tcPr>
          <w:p w:rsidR="00363E15" w:rsidRPr="008277FF" w:rsidRDefault="006A4E62"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86.13</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135,741,846.04</w:t>
            </w:r>
          </w:p>
        </w:tc>
        <w:tc>
          <w:tcPr>
            <w:tcW w:w="1559" w:type="dxa"/>
            <w:shd w:val="clear" w:color="auto" w:fill="auto"/>
            <w:vAlign w:val="center"/>
          </w:tcPr>
          <w:p w:rsidR="00363E15" w:rsidRPr="008277FF" w:rsidRDefault="006A4E62"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86.13</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2,013,541.40</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1.28</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2,013,541.40</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1.28</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9,197,736.70</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5.84</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6A4E62"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10,651,883.82</w:t>
            </w:r>
          </w:p>
        </w:tc>
        <w:tc>
          <w:tcPr>
            <w:tcW w:w="1559" w:type="dxa"/>
            <w:shd w:val="clear" w:color="auto" w:fill="auto"/>
            <w:vAlign w:val="center"/>
          </w:tcPr>
          <w:p w:rsidR="00E462F4" w:rsidRPr="008277FF" w:rsidRDefault="006A4E62"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6.76</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6A4E62"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157,605,007.96</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026ED3">
        <w:trPr>
          <w:jc w:val="center"/>
        </w:trPr>
        <w:tc>
          <w:tcPr>
            <w:tcW w:w="2410" w:type="dxa"/>
            <w:vAlign w:val="center"/>
          </w:tcPr>
          <w:p w:rsidR="00026ED3" w:rsidRDefault="006A4E62">
            <w:pPr>
              <w:jc w:val="left"/>
            </w:pPr>
            <w:r>
              <w:rPr>
                <w:rFonts w:asciiTheme="minorEastAsia" w:eastAsiaTheme="minorEastAsia" w:hAnsiTheme="minorEastAsia"/>
                <w:color w:val="000000" w:themeColor="text1"/>
                <w:szCs w:val="21"/>
              </w:rPr>
              <w:t>日本</w:t>
            </w:r>
          </w:p>
        </w:tc>
        <w:tc>
          <w:tcPr>
            <w:tcW w:w="3118" w:type="dxa"/>
            <w:vAlign w:val="center"/>
          </w:tcPr>
          <w:p w:rsidR="00026ED3" w:rsidRDefault="006A4E62">
            <w:pPr>
              <w:jc w:val="right"/>
            </w:pPr>
            <w:r>
              <w:rPr>
                <w:rFonts w:asciiTheme="minorEastAsia" w:eastAsiaTheme="minorEastAsia" w:hAnsiTheme="minorEastAsia"/>
                <w:color w:val="000000" w:themeColor="text1"/>
                <w:szCs w:val="21"/>
              </w:rPr>
              <w:t>135,741,846.04</w:t>
            </w:r>
          </w:p>
        </w:tc>
        <w:tc>
          <w:tcPr>
            <w:tcW w:w="3076" w:type="dxa"/>
            <w:vAlign w:val="center"/>
          </w:tcPr>
          <w:p w:rsidR="00026ED3" w:rsidRDefault="006A4E62">
            <w:pPr>
              <w:jc w:val="right"/>
            </w:pPr>
            <w:r>
              <w:rPr>
                <w:rFonts w:asciiTheme="minorEastAsia" w:eastAsiaTheme="minorEastAsia" w:hAnsiTheme="minorEastAsia"/>
                <w:color w:val="000000" w:themeColor="text1"/>
                <w:szCs w:val="21"/>
              </w:rPr>
              <w:t>95.24</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135,741,846.04</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95.24</w:t>
            </w:r>
          </w:p>
        </w:tc>
      </w:tr>
    </w:tbl>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注：国家（地区）类别根据其所在的证券交易所确定，ADR、GDR按照存托凭证本身挂牌的证券交易所确定。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8277FF" w:rsidTr="008B2EAD">
        <w:tc>
          <w:tcPr>
            <w:tcW w:w="2787"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行业类别</w:t>
            </w:r>
          </w:p>
        </w:tc>
        <w:tc>
          <w:tcPr>
            <w:tcW w:w="2551"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3175" w:type="dxa"/>
            <w:vAlign w:val="center"/>
          </w:tcPr>
          <w:p w:rsidR="00C37E98" w:rsidRPr="008277FF" w:rsidRDefault="00C37E98"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电子设备、仪器和元件</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20,096,709.52</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14.10</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娱乐</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13,111,162.48</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9.20</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化学制品</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10,388,167.57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7.29</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个人用品</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8,235,102.27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5.78</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专营零售</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6,768,327.54</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4.75</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家庭耐用消费品</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5,928,756.07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4.16</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综合金融服务</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5,083,416.87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3.57</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资本市场</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4,668,889.40</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3.28</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媒体</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4,449,683.24</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3.12</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机械制造</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4,443,825.78</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3.12</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建筑产品</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4,296,389.53</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3.01</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建筑与工程</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4,241,012.82</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2.98</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保险</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3,960,636.56</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2.78</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信息技术服务</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3,600,736.00</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2.53</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互动媒体与服务</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3,312,669.43</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2.32</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房地产管理和开发</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3,187,554.33</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2.24</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制药</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3,087,080.29</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2.17</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半导体产品与设备</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2,969,379.95</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2.08</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专业服务</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2,834,132.86</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1.99</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休闲设备与用品</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2,417,029.12</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1.70</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综合消费者服务</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2,139,786.68</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1.50</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综合电信业务</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2,031,878.67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1.43</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经销商</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1,947,701.71</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1.37</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生物科技</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1,937,960.64</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1.36</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多元化零售</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1,900,124.27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1.33</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商业银行</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1,889,088.66</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1.33</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软件</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1,597,663.98</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1.12</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电气设备</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1,469,302.93</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1.03</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石油、天然气与消费用燃料</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998,733.53</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0.70</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容器与包装</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790,244.47</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0.55</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商业服务与商业用品</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650,415.22</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0.46</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酒店、餐馆与休闲</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596,384.32</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0.42</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互联网与直销零售</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415,373.41</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0.29</w:t>
            </w:r>
          </w:p>
        </w:tc>
      </w:tr>
      <w:tr w:rsidR="00026ED3">
        <w:tc>
          <w:tcPr>
            <w:tcW w:w="2787" w:type="dxa"/>
            <w:vAlign w:val="center"/>
          </w:tcPr>
          <w:p w:rsidR="00026ED3" w:rsidRDefault="006A4E62">
            <w:pPr>
              <w:jc w:val="left"/>
            </w:pPr>
            <w:r>
              <w:rPr>
                <w:rFonts w:asciiTheme="minorEastAsia" w:eastAsiaTheme="minorEastAsia" w:hAnsiTheme="minorEastAsia"/>
                <w:color w:val="000000" w:themeColor="text1"/>
                <w:szCs w:val="21"/>
              </w:rPr>
              <w:t>医疗保健技术</w:t>
            </w:r>
          </w:p>
        </w:tc>
        <w:tc>
          <w:tcPr>
            <w:tcW w:w="2551" w:type="dxa"/>
            <w:vAlign w:val="center"/>
          </w:tcPr>
          <w:p w:rsidR="00026ED3" w:rsidRDefault="006A4E62">
            <w:pPr>
              <w:jc w:val="right"/>
            </w:pPr>
            <w:r>
              <w:rPr>
                <w:rFonts w:asciiTheme="minorEastAsia" w:eastAsiaTheme="minorEastAsia" w:hAnsiTheme="minorEastAsia"/>
                <w:color w:val="000000" w:themeColor="text1"/>
                <w:szCs w:val="21"/>
              </w:rPr>
              <w:t>296,525.92</w:t>
            </w:r>
          </w:p>
        </w:tc>
        <w:tc>
          <w:tcPr>
            <w:tcW w:w="3175" w:type="dxa"/>
            <w:vAlign w:val="center"/>
          </w:tcPr>
          <w:p w:rsidR="00026ED3" w:rsidRDefault="006A4E62">
            <w:pPr>
              <w:jc w:val="right"/>
            </w:pPr>
            <w:r>
              <w:rPr>
                <w:rFonts w:asciiTheme="minorEastAsia" w:eastAsiaTheme="minorEastAsia" w:hAnsiTheme="minorEastAsia"/>
                <w:color w:val="000000" w:themeColor="text1"/>
                <w:szCs w:val="21"/>
              </w:rPr>
              <w:t>0.21</w:t>
            </w:r>
          </w:p>
        </w:tc>
      </w:tr>
      <w:tr w:rsidR="008277FF" w:rsidRPr="008277FF" w:rsidTr="00877D98">
        <w:tc>
          <w:tcPr>
            <w:tcW w:w="2787" w:type="dxa"/>
            <w:vAlign w:val="center"/>
          </w:tcPr>
          <w:p w:rsidR="00C37E98" w:rsidRPr="008277FF" w:rsidRDefault="00C37E98" w:rsidP="00877D98">
            <w:pPr>
              <w:autoSpaceDE w:val="0"/>
              <w:autoSpaceDN w:val="0"/>
              <w:adjustRightInd w:val="0"/>
              <w:spacing w:before="29" w:line="360" w:lineRule="auto"/>
              <w:ind w:left="15"/>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2551"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135,741,846.04</w:t>
            </w:r>
          </w:p>
        </w:tc>
        <w:tc>
          <w:tcPr>
            <w:tcW w:w="3175" w:type="dxa"/>
            <w:vAlign w:val="center"/>
          </w:tcPr>
          <w:p w:rsidR="00C37E98" w:rsidRPr="008277FF" w:rsidRDefault="00C37E98" w:rsidP="00C9504A">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95.24</w:t>
            </w:r>
          </w:p>
        </w:tc>
      </w:tr>
    </w:tbl>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注：行业分类标准：MSCI</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93"/>
        <w:gridCol w:w="1681"/>
        <w:gridCol w:w="825"/>
        <w:gridCol w:w="646"/>
        <w:gridCol w:w="628"/>
        <w:gridCol w:w="699"/>
        <w:gridCol w:w="1161"/>
        <w:gridCol w:w="1476"/>
        <w:gridCol w:w="904"/>
      </w:tblGrid>
      <w:tr w:rsidR="008277FF" w:rsidRPr="008277FF" w:rsidTr="001C7D5D">
        <w:tc>
          <w:tcPr>
            <w:tcW w:w="794"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序号</w:t>
            </w:r>
          </w:p>
        </w:tc>
        <w:tc>
          <w:tcPr>
            <w:tcW w:w="974" w:type="dxa"/>
            <w:vAlign w:val="center"/>
          </w:tcPr>
          <w:p w:rsidR="001C7D5D" w:rsidRPr="008277FF" w:rsidRDefault="001C7D5D" w:rsidP="001C7D5D">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公司名称（英文）</w:t>
            </w:r>
          </w:p>
        </w:tc>
        <w:tc>
          <w:tcPr>
            <w:tcW w:w="1019"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公司名称（中文）</w:t>
            </w:r>
          </w:p>
        </w:tc>
        <w:tc>
          <w:tcPr>
            <w:tcW w:w="703" w:type="dxa"/>
            <w:vAlign w:val="center"/>
          </w:tcPr>
          <w:p w:rsidR="001C7D5D" w:rsidRPr="008277FF" w:rsidRDefault="001C7D5D" w:rsidP="00797DD2">
            <w:pPr>
              <w:adjustRightInd w:val="0"/>
              <w:snapToGrid w:val="0"/>
              <w:spacing w:line="400" w:lineRule="exact"/>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证券代码</w:t>
            </w:r>
          </w:p>
        </w:tc>
        <w:tc>
          <w:tcPr>
            <w:tcW w:w="793"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所在证</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券市场</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所属国家</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（地区</w:t>
            </w:r>
            <w:r w:rsidRPr="008277FF">
              <w:rPr>
                <w:rFonts w:asciiTheme="minorEastAsia" w:eastAsiaTheme="minorEastAsia" w:hAnsiTheme="minorEastAsia" w:cs="Arial"/>
                <w:color w:val="000000" w:themeColor="text1"/>
                <w:kern w:val="0"/>
                <w:szCs w:val="21"/>
              </w:rPr>
              <w:t>)</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数量</w:t>
            </w:r>
          </w:p>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（股）</w:t>
            </w:r>
          </w:p>
        </w:tc>
        <w:tc>
          <w:tcPr>
            <w:tcW w:w="969"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公允价值（人民币元）</w:t>
            </w:r>
          </w:p>
        </w:tc>
        <w:tc>
          <w:tcPr>
            <w:tcW w:w="1146" w:type="dxa"/>
            <w:vAlign w:val="center"/>
          </w:tcPr>
          <w:p w:rsidR="001C7D5D" w:rsidRPr="008277FF" w:rsidRDefault="001C7D5D"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1</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Kao Corp.</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花王</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4452</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12,600.00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7,287,539.49</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5.11</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2</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Nintendo Co., Ltd.</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任天堂</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7974</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2,200.00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6,199,295.12</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4.35</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3</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Sony Corporation</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索尼</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6758</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12,500.00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5,928,756.07</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4.16</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4</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Shin-Etsu Chemical Co Ltd</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信越化学工业</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4063</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7,600.00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5,873,866.42</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4.12</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5</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FAST RETAILING CO., LTD.</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迅销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9983</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1,400.00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5,831,826.00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4.09</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6</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ORIX Corporation</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欧力士株式会社</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8591</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43,800.00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5,083,416.87</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3.57</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7</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Hitachi,Ltd.</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日立</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6501</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16,300.00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4,832,327.93</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3.39</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8</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CyberAgent, Inc.</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4751</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18,200.00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4,449,683.24</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3.12</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9</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Taiyo Yuden Co., Ltd.</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太阳诱电株式会社</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6976</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20,100.00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4,321,671.45</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3.03</w:t>
            </w:r>
          </w:p>
        </w:tc>
      </w:tr>
      <w:tr w:rsidR="00026ED3">
        <w:tc>
          <w:tcPr>
            <w:tcW w:w="0" w:type="auto"/>
            <w:vAlign w:val="center"/>
          </w:tcPr>
          <w:p w:rsidR="00026ED3" w:rsidRDefault="006A4E62">
            <w:pPr>
              <w:jc w:val="center"/>
            </w:pPr>
            <w:r>
              <w:rPr>
                <w:rFonts w:asciiTheme="minorEastAsia" w:eastAsiaTheme="minorEastAsia" w:hAnsiTheme="minorEastAsia"/>
                <w:color w:val="000000" w:themeColor="text1"/>
                <w:szCs w:val="21"/>
              </w:rPr>
              <w:t>10</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Keyence Corporation</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基恩士</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6861</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东京证券交易所</w:t>
            </w:r>
          </w:p>
        </w:tc>
        <w:tc>
          <w:tcPr>
            <w:tcW w:w="0" w:type="auto"/>
            <w:vAlign w:val="center"/>
          </w:tcPr>
          <w:p w:rsidR="00026ED3" w:rsidRDefault="006A4E62">
            <w:pPr>
              <w:jc w:val="center"/>
            </w:pPr>
            <w:r>
              <w:rPr>
                <w:rFonts w:asciiTheme="minorEastAsia" w:eastAsiaTheme="minorEastAsia" w:hAnsiTheme="minorEastAsia"/>
                <w:color w:val="000000" w:themeColor="text1"/>
                <w:szCs w:val="21"/>
              </w:rPr>
              <w:t>日本</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1,700.00</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4,193,339.24</w:t>
            </w:r>
          </w:p>
        </w:tc>
        <w:tc>
          <w:tcPr>
            <w:tcW w:w="0" w:type="auto"/>
            <w:vAlign w:val="center"/>
          </w:tcPr>
          <w:p w:rsidR="00026ED3" w:rsidRDefault="006A4E62">
            <w:pPr>
              <w:jc w:val="right"/>
            </w:pPr>
            <w:r>
              <w:rPr>
                <w:rFonts w:asciiTheme="minorEastAsia" w:eastAsiaTheme="minorEastAsia" w:hAnsiTheme="minorEastAsia"/>
                <w:color w:val="000000" w:themeColor="text1"/>
                <w:szCs w:val="21"/>
              </w:rPr>
              <w:t>2.94</w:t>
            </w:r>
          </w:p>
        </w:tc>
      </w:tr>
    </w:tbl>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702"/>
        <w:gridCol w:w="1702"/>
        <w:gridCol w:w="1703"/>
        <w:gridCol w:w="1703"/>
        <w:gridCol w:w="1703"/>
      </w:tblGrid>
      <w:tr w:rsidR="00171698" w:rsidRPr="008277FF" w:rsidTr="00DA7925">
        <w:tc>
          <w:tcPr>
            <w:tcW w:w="1702" w:type="dxa"/>
            <w:vAlign w:val="center"/>
          </w:tcPr>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序号</w:t>
            </w:r>
          </w:p>
        </w:tc>
        <w:tc>
          <w:tcPr>
            <w:tcW w:w="1702" w:type="dxa"/>
            <w:vAlign w:val="center"/>
          </w:tcPr>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衍生品类别</w:t>
            </w:r>
          </w:p>
        </w:tc>
        <w:tc>
          <w:tcPr>
            <w:tcW w:w="1703" w:type="dxa"/>
            <w:vAlign w:val="center"/>
          </w:tcPr>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衍生品名称</w:t>
            </w:r>
          </w:p>
        </w:tc>
        <w:tc>
          <w:tcPr>
            <w:tcW w:w="1703" w:type="dxa"/>
            <w:vAlign w:val="center"/>
          </w:tcPr>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p>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1703" w:type="dxa"/>
            <w:vAlign w:val="center"/>
          </w:tcPr>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w:t>
            </w:r>
          </w:p>
          <w:p w:rsidR="00171698" w:rsidRPr="008277FF" w:rsidRDefault="00171698" w:rsidP="00DA7925">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净值比例（</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w:t>
            </w:r>
          </w:p>
        </w:tc>
      </w:tr>
      <w:tr w:rsidR="00171698" w:rsidTr="00DA7925">
        <w:tc>
          <w:tcPr>
            <w:tcW w:w="0" w:type="auto"/>
            <w:vAlign w:val="center"/>
          </w:tcPr>
          <w:p w:rsidR="00171698" w:rsidRDefault="00171698" w:rsidP="00DA7925">
            <w:pPr>
              <w:jc w:val="center"/>
            </w:pPr>
            <w:r>
              <w:rPr>
                <w:rFonts w:asciiTheme="minorEastAsia" w:eastAsiaTheme="minorEastAsia" w:hAnsiTheme="minorEastAsia" w:cs="宋体"/>
                <w:color w:val="000000" w:themeColor="text1"/>
                <w:szCs w:val="21"/>
              </w:rPr>
              <w:t>1</w:t>
            </w:r>
          </w:p>
        </w:tc>
        <w:tc>
          <w:tcPr>
            <w:tcW w:w="0" w:type="auto"/>
            <w:vAlign w:val="center"/>
          </w:tcPr>
          <w:p w:rsidR="00171698" w:rsidRDefault="00171698" w:rsidP="00DA7925">
            <w:pPr>
              <w:jc w:val="center"/>
            </w:pPr>
            <w:r>
              <w:rPr>
                <w:rFonts w:asciiTheme="minorEastAsia" w:eastAsiaTheme="minorEastAsia" w:hAnsiTheme="minorEastAsia" w:cs="宋体"/>
                <w:color w:val="000000" w:themeColor="text1"/>
                <w:szCs w:val="21"/>
              </w:rPr>
              <w:t>远期</w:t>
            </w:r>
          </w:p>
        </w:tc>
        <w:tc>
          <w:tcPr>
            <w:tcW w:w="0" w:type="auto"/>
            <w:vAlign w:val="center"/>
          </w:tcPr>
          <w:p w:rsidR="00171698" w:rsidRDefault="00171698" w:rsidP="00DA7925">
            <w:pPr>
              <w:jc w:val="center"/>
            </w:pPr>
            <w:r>
              <w:rPr>
                <w:rFonts w:asciiTheme="minorEastAsia" w:eastAsiaTheme="minorEastAsia" w:hAnsiTheme="minorEastAsia" w:cs="宋体"/>
                <w:color w:val="000000" w:themeColor="text1"/>
                <w:szCs w:val="21"/>
              </w:rPr>
              <w:t>外汇远期</w:t>
            </w:r>
          </w:p>
        </w:tc>
        <w:tc>
          <w:tcPr>
            <w:tcW w:w="0" w:type="auto"/>
            <w:vAlign w:val="center"/>
          </w:tcPr>
          <w:p w:rsidR="00171698" w:rsidRDefault="00171698" w:rsidP="00DA7925">
            <w:pPr>
              <w:jc w:val="right"/>
            </w:pPr>
            <w:r>
              <w:rPr>
                <w:rFonts w:asciiTheme="minorEastAsia" w:eastAsiaTheme="minorEastAsia" w:hAnsiTheme="minorEastAsia" w:cs="宋体"/>
                <w:color w:val="000000" w:themeColor="text1"/>
                <w:szCs w:val="21"/>
              </w:rPr>
              <w:t>2,013,541.40</w:t>
            </w:r>
          </w:p>
        </w:tc>
        <w:tc>
          <w:tcPr>
            <w:tcW w:w="0" w:type="auto"/>
            <w:vAlign w:val="center"/>
          </w:tcPr>
          <w:p w:rsidR="00171698" w:rsidRDefault="00171698" w:rsidP="00DA7925">
            <w:pPr>
              <w:jc w:val="right"/>
            </w:pPr>
            <w:r>
              <w:rPr>
                <w:rFonts w:asciiTheme="minorEastAsia" w:eastAsiaTheme="minorEastAsia" w:hAnsiTheme="minorEastAsia" w:cs="宋体"/>
                <w:color w:val="000000" w:themeColor="text1"/>
                <w:szCs w:val="21"/>
              </w:rPr>
              <w:t>1.41</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本基金本报告期末未持有基金。</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5.10.1报告期内本基金投资的前十名证券的发行主体本期没有出现被监管部门立案调查，或在报告编制日前一年内受到公开谴责、处罚的情形。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5D6EDA" w:rsidRDefault="005D6EDA" w:rsidP="005D6EDA">
            <w:pPr>
              <w:widowControl/>
              <w:jc w:val="right"/>
              <w:rPr>
                <w:rFonts w:asciiTheme="minorEastAsia" w:eastAsiaTheme="minorEastAsia" w:hAnsiTheme="minorEastAsia"/>
                <w:color w:val="000000" w:themeColor="text1"/>
                <w:kern w:val="0"/>
                <w:szCs w:val="21"/>
              </w:rPr>
            </w:pPr>
            <w:r w:rsidRPr="005D6EDA">
              <w:rPr>
                <w:rFonts w:asciiTheme="minorEastAsia" w:eastAsiaTheme="minorEastAsia" w:hAnsiTheme="minorEastAsia" w:hint="eastAsia"/>
                <w:color w:val="000000" w:themeColor="text1"/>
                <w:kern w:val="0"/>
                <w:szCs w:val="21"/>
              </w:rPr>
              <w:t>124,215.93</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5D6EDA"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color w:val="000000"/>
              </w:rPr>
              <w:t>6,371,603.88</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5D6EDA"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Pr>
                <w:color w:val="000000"/>
              </w:rPr>
              <w:t>100,008.26</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5,048.30</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1,487,567.45</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2,563,440.00</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5D6EDA"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5D6EDA">
              <w:rPr>
                <w:rFonts w:asciiTheme="minorEastAsia" w:eastAsiaTheme="minorEastAsia" w:hAnsiTheme="minorEastAsia"/>
                <w:color w:val="000000" w:themeColor="text1"/>
                <w:kern w:val="0"/>
                <w:szCs w:val="21"/>
              </w:rPr>
              <w:t>10,651,883.82</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本基金本报告期末前十名股票中不存在流通受限情况。</w:t>
      </w:r>
    </w:p>
    <w:p w:rsidR="000E3B88" w:rsidRPr="008277FF" w:rsidRDefault="000E3B88" w:rsidP="002236BC">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因四舍五入原因,投资组合报告中分项之和与合计可能存在尾差。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217,670,921.66</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21,114,886.06</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107,324,907.99</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131,460,899.73</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696B8B" w:rsidRDefault="00BB5F3D" w:rsidP="00BB5F3D">
      <w:pPr>
        <w:spacing w:line="360" w:lineRule="auto"/>
        <w:jc w:val="left"/>
        <w:rPr>
          <w:color w:val="000000" w:themeColor="text1"/>
          <w:sz w:val="24"/>
        </w:rPr>
      </w:pPr>
      <w:r w:rsidRPr="00696B8B">
        <w:rPr>
          <w:b/>
          <w:color w:val="000000" w:themeColor="text1"/>
          <w:sz w:val="24"/>
        </w:rPr>
        <w:t xml:space="preserve">7.1 </w:t>
      </w:r>
      <w:r w:rsidRPr="00696B8B">
        <w:rPr>
          <w:rFonts w:hint="eastAsia"/>
          <w:b/>
          <w:color w:val="000000" w:themeColor="text1"/>
          <w:sz w:val="24"/>
        </w:rPr>
        <w:t>基金管理人持有本基金份额变动情况</w:t>
      </w:r>
    </w:p>
    <w:p w:rsidR="00BB5F3D" w:rsidRPr="00285ABF" w:rsidRDefault="00BB5F3D" w:rsidP="00BB5F3D">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单位：份</w:t>
      </w:r>
    </w:p>
    <w:tbl>
      <w:tblPr>
        <w:tblW w:w="9215" w:type="dxa"/>
        <w:tblInd w:w="-318" w:type="dxa"/>
        <w:tblLayout w:type="fixed"/>
        <w:tblLook w:val="04A0" w:firstRow="1" w:lastRow="0" w:firstColumn="1" w:lastColumn="0" w:noHBand="0" w:noVBand="1"/>
      </w:tblPr>
      <w:tblGrid>
        <w:gridCol w:w="5463"/>
        <w:gridCol w:w="3752"/>
      </w:tblGrid>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pStyle w:val="af"/>
              <w:adjustRightInd w:val="0"/>
              <w:snapToGrid w:val="0"/>
              <w:spacing w:line="360" w:lineRule="exact"/>
              <w:rPr>
                <w:rFonts w:asciiTheme="minorEastAsia" w:eastAsiaTheme="minorEastAsia" w:hAnsiTheme="minorEastAsia"/>
                <w:color w:val="000000" w:themeColor="text1"/>
                <w:sz w:val="21"/>
                <w:szCs w:val="21"/>
              </w:rPr>
            </w:pPr>
            <w:r w:rsidRPr="00285ABF">
              <w:rPr>
                <w:rFonts w:asciiTheme="minorEastAsia" w:eastAsiaTheme="minorEastAsia" w:hAnsiTheme="minorEastAsia"/>
                <w:color w:val="000000" w:themeColor="text1"/>
                <w:sz w:val="21"/>
                <w:szCs w:val="21"/>
              </w:rPr>
              <w:t>报告期期初管理人持有的本基金份额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20,002,600.00</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报告期期间</w:t>
            </w:r>
            <w:r w:rsidRPr="00285ABF">
              <w:rPr>
                <w:rFonts w:asciiTheme="minorEastAsia" w:eastAsiaTheme="minorEastAsia" w:hAnsiTheme="minorEastAsia"/>
                <w:color w:val="000000" w:themeColor="text1"/>
                <w:szCs w:val="21"/>
              </w:rPr>
              <w:t>买入/申购总份额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hint="eastAsia"/>
                <w:color w:val="000000" w:themeColor="text1"/>
                <w:szCs w:val="21"/>
              </w:rPr>
              <w:t>报告期期间</w:t>
            </w:r>
            <w:r w:rsidRPr="00285ABF">
              <w:rPr>
                <w:rFonts w:asciiTheme="minorEastAsia" w:eastAsiaTheme="minorEastAsia" w:hAnsiTheme="minorEastAsia"/>
                <w:color w:val="000000" w:themeColor="text1"/>
                <w:szCs w:val="21"/>
              </w:rPr>
              <w:t>卖出/赎回总份额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报告期期末管理人持有的本基金份额</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20,002,600.00</w:t>
            </w:r>
          </w:p>
        </w:tc>
      </w:tr>
      <w:tr w:rsidR="00BB5F3D" w:rsidRPr="00285ABF" w:rsidTr="00285ABF">
        <w:tc>
          <w:tcPr>
            <w:tcW w:w="5463"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adjustRightInd w:val="0"/>
              <w:snapToGrid w:val="0"/>
              <w:spacing w:line="360" w:lineRule="exac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报告期期末持有的本基金份额占基金总份额比例（%）</w:t>
            </w:r>
          </w:p>
        </w:tc>
        <w:tc>
          <w:tcPr>
            <w:tcW w:w="3752" w:type="dxa"/>
            <w:tcBorders>
              <w:top w:val="single" w:sz="8" w:space="0" w:color="000000"/>
              <w:left w:val="single" w:sz="8" w:space="0" w:color="000000"/>
              <w:bottom w:val="single" w:sz="8" w:space="0" w:color="000000"/>
              <w:right w:val="single" w:sz="8" w:space="0" w:color="000000"/>
            </w:tcBorders>
            <w:vAlign w:val="center"/>
            <w:hideMark/>
          </w:tcPr>
          <w:p w:rsidR="00BB5F3D" w:rsidRPr="00285ABF" w:rsidRDefault="00BB5F3D" w:rsidP="00FF6B7C">
            <w:pPr>
              <w:jc w:val="righ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15.22</w:t>
            </w:r>
          </w:p>
        </w:tc>
      </w:tr>
    </w:tbl>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1.中国证监会准予上投摩根日本精选股票型证券投资（QDII）基金募集注册的文件</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2.《上投摩根日本精选股票型证券投资基金（QDII）基金合同》</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3.《上投摩根日本精选股票型证券投资基金（QDII）托管协议》</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4.法律意见书</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5.基金管理人业务资格批件、营业执照</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6.基金托管人业务资格批件、营业执照</w:t>
      </w:r>
    </w:p>
    <w:p w:rsidR="00026ED3" w:rsidRDefault="006A4E6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7.《上投摩根基金管理有限公司开放式基金业务规则》</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8.中国证监会要求的其他文件</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w:t>
      </w:r>
      <w:r w:rsidR="004C59C0">
        <w:rPr>
          <w:rFonts w:asciiTheme="minorEastAsia" w:eastAsiaTheme="minorEastAsia" w:hAnsiTheme="minorEastAsia" w:hint="eastAsia"/>
          <w:color w:val="000000" w:themeColor="text1"/>
          <w:szCs w:val="21"/>
        </w:rPr>
        <w:t>住所</w:t>
      </w:r>
      <w:bookmarkStart w:id="0" w:name="_GoBack"/>
      <w:bookmarkEnd w:id="0"/>
      <w:r w:rsidRPr="008277FF">
        <w:rPr>
          <w:rFonts w:asciiTheme="minorEastAsia" w:eastAsiaTheme="minorEastAsia" w:hAnsiTheme="minorEastAsia" w:hint="eastAsia"/>
          <w:color w:val="000000" w:themeColor="text1"/>
          <w:szCs w:val="21"/>
        </w:rPr>
        <w:t>。</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二〇二〇年一月二十日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4C59C0">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4C59C0">
      <w:rPr>
        <w:noProof/>
        <w:kern w:val="0"/>
        <w:szCs w:val="21"/>
      </w:rPr>
      <w:t>14</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4C59C0">
      <w:rPr>
        <w:rStyle w:val="a8"/>
        <w:noProof/>
      </w:rPr>
      <w:t>14</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上投摩根日本精选股票型证券投资基金（</w:t>
    </w:r>
    <w:r w:rsidRPr="006669C9">
      <w:t>QDII</w:t>
    </w:r>
    <w:r w:rsidRPr="006669C9">
      <w:t>）</w:t>
    </w:r>
    <w:r w:rsidRPr="006669C9">
      <w:t>2019</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26ED3"/>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073"/>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698"/>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59C0"/>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D6EDA"/>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4E62"/>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5:docId w15:val="{6CBDBD4E-FF16-4799-8AF5-0219F144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9987544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206722195">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1004609">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29</TotalTime>
  <Pages>14</Pages>
  <Words>1156</Words>
  <Characters>6590</Characters>
  <Application>Microsoft Office Word</Application>
  <DocSecurity>0</DocSecurity>
  <Lines>54</Lines>
  <Paragraphs>15</Paragraphs>
  <ScaleCrop>false</ScaleCrop>
  <Company>TRT. Ltd. Co.</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Patrick.Jin</cp:lastModifiedBy>
  <cp:revision>15</cp:revision>
  <cp:lastPrinted>2007-07-19T00:46:00Z</cp:lastPrinted>
  <dcterms:created xsi:type="dcterms:W3CDTF">2014-12-16T02:40:00Z</dcterms:created>
  <dcterms:modified xsi:type="dcterms:W3CDTF">2020-01-16T03:31:00Z</dcterms:modified>
</cp:coreProperties>
</file>