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1F7B5D">
      <w:pPr>
        <w:spacing w:line="360" w:lineRule="auto"/>
        <w:rPr>
          <w:rFonts w:ascii="宋体" w:hAnsi="宋体"/>
          <w:sz w:val="48"/>
        </w:rPr>
      </w:pPr>
      <w:r>
        <w:rPr>
          <w:rFonts w:ascii="宋体" w:hAnsi="宋体" w:hint="eastAsia"/>
          <w:sz w:val="48"/>
        </w:rPr>
        <w:t xml:space="preserve">　</w:t>
      </w:r>
      <w:r>
        <w:rPr>
          <w:rFonts w:ascii="宋体" w:hAnsi="宋体" w:hint="eastAsia"/>
          <w:sz w:val="48"/>
        </w:rPr>
        <w:t xml:space="preserve"> </w:t>
      </w:r>
    </w:p>
    <w:p w:rsidR="00000000" w:rsidRDefault="001F7B5D">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1F7B5D">
      <w:pPr>
        <w:spacing w:line="360" w:lineRule="auto"/>
        <w:jc w:val="center"/>
        <w:rPr>
          <w:rFonts w:hint="eastAsia"/>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摩根锦程均衡养老目标三年持有期混合型基金中基金</w:t>
      </w:r>
      <w:r>
        <w:rPr>
          <w:rFonts w:ascii="宋体" w:hAnsi="宋体" w:hint="eastAsia"/>
          <w:b/>
          <w:bCs/>
          <w:color w:val="000000" w:themeColor="text1"/>
          <w:sz w:val="48"/>
          <w:szCs w:val="30"/>
        </w:rPr>
        <w:t>(FOF)</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1F7B5D">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1F7B5D">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1F7B5D">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1F7B5D">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中国建设银行股份有限公</w:t>
      </w:r>
      <w:r>
        <w:rPr>
          <w:rFonts w:ascii="宋体" w:hAnsi="宋体" w:hint="eastAsia"/>
          <w:b/>
          <w:bCs/>
          <w:sz w:val="28"/>
          <w:szCs w:val="30"/>
        </w:rPr>
        <w:t>司</w:t>
      </w:r>
    </w:p>
    <w:p w:rsidR="00000000" w:rsidRDefault="001F7B5D">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1F7B5D">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r>
        <w:rPr>
          <w:rFonts w:hAnsi="宋体" w:hint="eastAsia"/>
        </w:rPr>
        <w:t xml:space="preserve"> </w:t>
      </w:r>
    </w:p>
    <w:p w:rsidR="00000000" w:rsidRDefault="001F7B5D">
      <w:pPr>
        <w:spacing w:line="360" w:lineRule="auto"/>
        <w:ind w:firstLineChars="200" w:firstLine="420"/>
        <w:rPr>
          <w:rFonts w:hint="eastAsia"/>
        </w:rPr>
      </w:pPr>
      <w:bookmarkStart w:id="17" w:name="m08QD_01"/>
      <w:bookmarkStart w:id="18" w:name="m504"/>
      <w:bookmarkStart w:id="19" w:name="_Toc438646470"/>
      <w:bookmarkStart w:id="20" w:name="m502"/>
      <w:bookmarkStart w:id="21" w:name="m201"/>
      <w:bookmarkStart w:id="22"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基金托管人中国建设银行股份有限公司根据本基金合同规定，于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w:t>
      </w:r>
      <w:r>
        <w:rPr>
          <w:rFonts w:ascii="宋体" w:hAnsi="宋体" w:hint="eastAsia"/>
        </w:rPr>
        <w:t>募说明书。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1F7B5D">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r>
        <w:rPr>
          <w:rFonts w:hAnsi="宋体" w:hint="eastAsia"/>
        </w:rPr>
        <w:t>基金产品概</w:t>
      </w:r>
      <w:r>
        <w:rPr>
          <w:rFonts w:hAnsi="宋体" w:hint="eastAsia"/>
        </w:rPr>
        <w:t>况</w:t>
      </w:r>
      <w:bookmarkEnd w:id="23"/>
      <w:bookmarkEnd w:id="24"/>
      <w:bookmarkEnd w:id="25"/>
      <w:bookmarkEnd w:id="26"/>
      <w:bookmarkEnd w:id="27"/>
      <w:bookmarkEnd w:id="28"/>
      <w:bookmarkEnd w:id="29"/>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99133026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4"/>
          <w:p w:rsidR="00000000" w:rsidRDefault="001F7B5D">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szCs w:val="24"/>
                <w:lang w:eastAsia="zh-Hans"/>
              </w:rPr>
              <w:t>摩根锦程均衡养老三年持有混合</w:t>
            </w:r>
            <w:r>
              <w:rPr>
                <w:rFonts w:ascii="宋体" w:hAnsi="宋体" w:hint="eastAsia"/>
                <w:szCs w:val="24"/>
                <w:lang w:eastAsia="zh-Hans"/>
              </w:rPr>
              <w:t>(FOF</w:t>
            </w:r>
            <w:r>
              <w:rPr>
                <w:rFonts w:ascii="宋体" w:hAnsi="宋体" w:hint="eastAsia"/>
                <w:szCs w:val="24"/>
                <w:lang w:eastAsia="zh-Hans"/>
              </w:rPr>
              <w:t>)</w:t>
            </w:r>
            <w:r>
              <w:rPr>
                <w:rFonts w:ascii="宋体" w:hAnsi="宋体" w:hint="eastAsia"/>
                <w:lang w:eastAsia="zh-Hans"/>
              </w:rPr>
              <w:t xml:space="preserve"> </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00722</w:t>
            </w:r>
            <w:r>
              <w:rPr>
                <w:rFonts w:ascii="宋体" w:hAnsi="宋体" w:hint="eastAsia"/>
                <w:lang w:eastAsia="zh-Hans"/>
              </w:rPr>
              <w:t>1</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bookmarkStart w:id="30"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契约型开放</w:t>
            </w:r>
            <w:r>
              <w:rPr>
                <w:rFonts w:ascii="宋体" w:hAnsi="宋体" w:hint="eastAsia"/>
                <w:lang w:eastAsia="zh-Hans"/>
              </w:rPr>
              <w:t>式</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2019</w:t>
            </w:r>
            <w:r>
              <w:rPr>
                <w:rFonts w:ascii="宋体" w:hAnsi="宋体" w:hint="eastAsia"/>
                <w:lang w:eastAsia="zh-Hans"/>
              </w:rPr>
              <w:t>年</w:t>
            </w:r>
            <w:r>
              <w:rPr>
                <w:rFonts w:ascii="宋体" w:hAnsi="宋体" w:hint="eastAsia"/>
                <w:lang w:eastAsia="zh-Hans"/>
              </w:rPr>
              <w:t>9</w:t>
            </w:r>
            <w:r>
              <w:rPr>
                <w:rFonts w:ascii="宋体" w:hAnsi="宋体" w:hint="eastAsia"/>
                <w:lang w:eastAsia="zh-Hans"/>
              </w:rPr>
              <w:t>月</w:t>
            </w:r>
            <w:r>
              <w:rPr>
                <w:rFonts w:ascii="宋体" w:hAnsi="宋体" w:hint="eastAsia"/>
                <w:lang w:eastAsia="zh-Hans"/>
              </w:rPr>
              <w:t>2</w:t>
            </w:r>
            <w:r>
              <w:rPr>
                <w:rFonts w:ascii="宋体" w:hAnsi="宋体" w:hint="eastAsia"/>
                <w:lang w:eastAsia="zh-Hans"/>
              </w:rPr>
              <w:t>日</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112,268,383.5</w:t>
            </w:r>
            <w:r>
              <w:rPr>
                <w:rFonts w:ascii="宋体" w:hAnsi="宋体" w:hint="eastAsia"/>
                <w:lang w:eastAsia="zh-Hans"/>
              </w:rPr>
              <w:t>5</w:t>
            </w:r>
            <w:r>
              <w:rPr>
                <w:rFonts w:hint="eastAsia"/>
              </w:rPr>
              <w:t>份</w:t>
            </w:r>
            <w:r>
              <w:rPr>
                <w:rFonts w:ascii="宋体" w:hAnsi="宋体" w:hint="eastAsia"/>
                <w:lang w:eastAsia="zh-Hans"/>
              </w:rPr>
              <w:t xml:space="preserve"> </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本基金通过将资产分别配置于高风险类资产和其他资产，控制投资组合的风险收益水平，并自下而上精选基金，力求实现基金资产持续稳健增值，为投资者提供适应其风险承受水平的养老理财工具</w:t>
            </w:r>
            <w:r>
              <w:rPr>
                <w:rFonts w:ascii="宋体" w:hAnsi="宋体" w:hint="eastAsia"/>
                <w:lang w:eastAsia="zh-Hans"/>
              </w:rPr>
              <w:t>。</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1</w:t>
            </w:r>
            <w:r>
              <w:rPr>
                <w:rFonts w:ascii="宋体" w:hAnsi="宋体" w:hint="eastAsia"/>
                <w:lang w:eastAsia="zh-Hans"/>
              </w:rPr>
              <w:t>、目标风险投资策略</w:t>
            </w:r>
            <w:r>
              <w:rPr>
                <w:rFonts w:ascii="宋体" w:hAnsi="宋体" w:hint="eastAsia"/>
                <w:lang w:eastAsia="zh-Hans"/>
              </w:rPr>
              <w:t>:</w:t>
            </w:r>
            <w:r>
              <w:rPr>
                <w:rFonts w:ascii="宋体" w:hAnsi="宋体" w:hint="eastAsia"/>
                <w:lang w:eastAsia="zh-Hans"/>
              </w:rPr>
              <w:br/>
              <w:t>(1)</w:t>
            </w:r>
            <w:r>
              <w:rPr>
                <w:rFonts w:ascii="宋体" w:hAnsi="宋体" w:hint="eastAsia"/>
                <w:lang w:eastAsia="zh-Hans"/>
              </w:rPr>
              <w:t>大类资产配置策略</w:t>
            </w:r>
            <w:r>
              <w:rPr>
                <w:rFonts w:ascii="宋体" w:hAnsi="宋体" w:hint="eastAsia"/>
                <w:lang w:eastAsia="zh-Hans"/>
              </w:rPr>
              <w:t>:</w:t>
            </w:r>
            <w:r>
              <w:rPr>
                <w:rFonts w:ascii="宋体" w:hAnsi="宋体" w:hint="eastAsia"/>
                <w:lang w:eastAsia="zh-Hans"/>
              </w:rPr>
              <w:t>本基金的目标风险指通过将基金所投资的高风险类资产和其他资产长期保持在相对恒定的比例，以达到目标的风险水平。</w:t>
            </w:r>
            <w:r>
              <w:rPr>
                <w:rFonts w:ascii="宋体" w:hAnsi="宋体" w:hint="eastAsia"/>
                <w:lang w:eastAsia="zh-Hans"/>
              </w:rPr>
              <w:br/>
            </w:r>
            <w:r>
              <w:rPr>
                <w:rFonts w:ascii="宋体" w:hAnsi="宋体" w:hint="eastAsia"/>
                <w:lang w:eastAsia="zh-Hans"/>
              </w:rPr>
              <w:t>管理人根据对各类资产的中长期预期假设和策略观点以及目标客户的风险收益偏好进行自上而下的资产配置，设定本基金在高风险类资产和其他资产之间的基准配置比例为</w:t>
            </w:r>
            <w:r>
              <w:rPr>
                <w:rFonts w:ascii="宋体" w:hAnsi="宋体" w:hint="eastAsia"/>
                <w:lang w:eastAsia="zh-Hans"/>
              </w:rPr>
              <w:t>50%:50%</w:t>
            </w:r>
            <w:r>
              <w:rPr>
                <w:rFonts w:ascii="宋体" w:hAnsi="宋体" w:hint="eastAsia"/>
                <w:lang w:eastAsia="zh-Hans"/>
              </w:rPr>
              <w:t>；高风险类资产指股票型基金、应计入高风险类资产的混合型基金、商品基金</w:t>
            </w:r>
            <w:r>
              <w:rPr>
                <w:rFonts w:ascii="宋体" w:hAnsi="宋体" w:hint="eastAsia"/>
                <w:lang w:eastAsia="zh-Hans"/>
              </w:rPr>
              <w:t>(</w:t>
            </w:r>
            <w:r>
              <w:rPr>
                <w:rFonts w:ascii="宋体" w:hAnsi="宋体" w:hint="eastAsia"/>
                <w:lang w:eastAsia="zh-Hans"/>
              </w:rPr>
              <w:t>含商品期货基金和黄金</w:t>
            </w:r>
            <w:r>
              <w:rPr>
                <w:rFonts w:ascii="宋体" w:hAnsi="宋体" w:hint="eastAsia"/>
                <w:lang w:eastAsia="zh-Hans"/>
              </w:rPr>
              <w:t>ETF)</w:t>
            </w:r>
            <w:r>
              <w:rPr>
                <w:rFonts w:ascii="宋体" w:hAnsi="宋体" w:hint="eastAsia"/>
                <w:lang w:eastAsia="zh-Hans"/>
              </w:rPr>
              <w:t>等品种</w:t>
            </w:r>
            <w:r>
              <w:rPr>
                <w:rFonts w:ascii="宋体" w:hAnsi="宋体" w:hint="eastAsia"/>
                <w:lang w:eastAsia="zh-Hans"/>
              </w:rPr>
              <w:t>(</w:t>
            </w:r>
            <w:r>
              <w:rPr>
                <w:rFonts w:ascii="宋体" w:hAnsi="宋体" w:hint="eastAsia"/>
                <w:lang w:eastAsia="zh-Hans"/>
              </w:rPr>
              <w:t>均包含</w:t>
            </w:r>
            <w:r>
              <w:rPr>
                <w:rFonts w:ascii="宋体" w:hAnsi="宋体" w:hint="eastAsia"/>
                <w:lang w:eastAsia="zh-Hans"/>
              </w:rPr>
              <w:t>QDII)</w:t>
            </w:r>
            <w:r>
              <w:rPr>
                <w:rFonts w:ascii="宋体" w:hAnsi="宋体" w:hint="eastAsia"/>
                <w:lang w:eastAsia="zh-Hans"/>
              </w:rPr>
              <w:t>及股票；其他资产指债券型基金、货币市场基金和不计入高风险类资产的混合型基金</w:t>
            </w:r>
            <w:r>
              <w:rPr>
                <w:rFonts w:ascii="宋体" w:hAnsi="宋体" w:hint="eastAsia"/>
                <w:lang w:eastAsia="zh-Hans"/>
              </w:rPr>
              <w:t>(</w:t>
            </w:r>
            <w:r>
              <w:rPr>
                <w:rFonts w:ascii="宋体" w:hAnsi="宋体" w:hint="eastAsia"/>
                <w:lang w:eastAsia="zh-Hans"/>
              </w:rPr>
              <w:t>均包含</w:t>
            </w:r>
            <w:r>
              <w:rPr>
                <w:rFonts w:ascii="宋体" w:hAnsi="宋体" w:hint="eastAsia"/>
                <w:lang w:eastAsia="zh-Hans"/>
              </w:rPr>
              <w:t>QDII)</w:t>
            </w:r>
            <w:r>
              <w:rPr>
                <w:rFonts w:ascii="宋体" w:hAnsi="宋体" w:hint="eastAsia"/>
                <w:lang w:eastAsia="zh-Hans"/>
              </w:rPr>
              <w:t>、债券、资产支持证券、债券回购、银行存款及同业存单等；本基金高风险类资产的向上、向下调整幅度分别不超过</w:t>
            </w:r>
            <w:r>
              <w:rPr>
                <w:rFonts w:ascii="宋体" w:hAnsi="宋体" w:hint="eastAsia"/>
                <w:lang w:eastAsia="zh-Hans"/>
              </w:rPr>
              <w:t>5%</w:t>
            </w:r>
            <w:r>
              <w:rPr>
                <w:rFonts w:ascii="宋体" w:hAnsi="宋体" w:hint="eastAsia"/>
                <w:lang w:eastAsia="zh-Hans"/>
              </w:rPr>
              <w:t>、</w:t>
            </w:r>
            <w:r>
              <w:rPr>
                <w:rFonts w:ascii="宋体" w:hAnsi="宋体" w:hint="eastAsia"/>
                <w:lang w:eastAsia="zh-Hans"/>
              </w:rPr>
              <w:t>10%</w:t>
            </w:r>
            <w:r>
              <w:rPr>
                <w:rFonts w:ascii="宋体" w:hAnsi="宋体" w:hint="eastAsia"/>
                <w:lang w:eastAsia="zh-Hans"/>
              </w:rPr>
              <w:t>。</w:t>
            </w:r>
            <w:r>
              <w:rPr>
                <w:rFonts w:ascii="宋体" w:hAnsi="宋体" w:hint="eastAsia"/>
                <w:lang w:eastAsia="zh-Hans"/>
              </w:rPr>
              <w:br/>
              <w:t>(2)</w:t>
            </w:r>
            <w:r>
              <w:rPr>
                <w:rFonts w:ascii="宋体" w:hAnsi="宋体" w:hint="eastAsia"/>
                <w:lang w:eastAsia="zh-Hans"/>
              </w:rPr>
              <w:t>细分资产类</w:t>
            </w:r>
            <w:r>
              <w:rPr>
                <w:rFonts w:ascii="宋体" w:hAnsi="宋体" w:hint="eastAsia"/>
                <w:lang w:eastAsia="zh-Hans"/>
              </w:rPr>
              <w:t>别配置策略</w:t>
            </w:r>
            <w:r>
              <w:rPr>
                <w:rFonts w:ascii="宋体" w:hAnsi="宋体" w:hint="eastAsia"/>
                <w:lang w:eastAsia="zh-Hans"/>
              </w:rPr>
              <w:t>:</w:t>
            </w:r>
            <w:r>
              <w:rPr>
                <w:rFonts w:ascii="宋体" w:hAnsi="宋体" w:hint="eastAsia"/>
                <w:lang w:eastAsia="zh-Hans"/>
              </w:rPr>
              <w:t>管理人根据长期资本市场</w:t>
            </w:r>
            <w:r>
              <w:rPr>
                <w:rFonts w:ascii="宋体" w:hAnsi="宋体" w:hint="eastAsia"/>
                <w:lang w:eastAsia="zh-Hans"/>
              </w:rPr>
              <w:lastRenderedPageBreak/>
              <w:t>观点评估各细分资产类别的风险收益特征，形成对不同资产类别的预期。在此基础上，确定基金资产在各细分资产类别间的配置比例。本基金定期结合策略观点，修正资产配置。</w:t>
            </w:r>
            <w:r>
              <w:rPr>
                <w:rFonts w:ascii="宋体" w:hAnsi="宋体" w:hint="eastAsia"/>
                <w:lang w:eastAsia="zh-Hans"/>
              </w:rPr>
              <w:br/>
              <w:t>2</w:t>
            </w:r>
            <w:r>
              <w:rPr>
                <w:rFonts w:ascii="宋体" w:hAnsi="宋体" w:hint="eastAsia"/>
                <w:lang w:eastAsia="zh-Hans"/>
              </w:rPr>
              <w:t>、主动管理型基金投资策略</w:t>
            </w:r>
            <w:r>
              <w:rPr>
                <w:rFonts w:ascii="宋体" w:hAnsi="宋体" w:hint="eastAsia"/>
                <w:lang w:eastAsia="zh-Hans"/>
              </w:rPr>
              <w:t>:</w:t>
            </w:r>
            <w:r>
              <w:rPr>
                <w:rFonts w:ascii="宋体" w:hAnsi="宋体" w:hint="eastAsia"/>
                <w:lang w:eastAsia="zh-Hans"/>
              </w:rPr>
              <w:t>通过自下而上的方式优选基金，研究过程中综合运用定量分析和定性分析，优选符合要求且能在中长期创造超额收益的基金。</w:t>
            </w:r>
            <w:r>
              <w:rPr>
                <w:rFonts w:ascii="宋体" w:hAnsi="宋体" w:hint="eastAsia"/>
                <w:lang w:eastAsia="zh-Hans"/>
              </w:rPr>
              <w:br/>
              <w:t>3</w:t>
            </w:r>
            <w:r>
              <w:rPr>
                <w:rFonts w:ascii="宋体" w:hAnsi="宋体" w:hint="eastAsia"/>
                <w:lang w:eastAsia="zh-Hans"/>
              </w:rPr>
              <w:t>、指数基金投资策略</w:t>
            </w:r>
            <w:r>
              <w:rPr>
                <w:rFonts w:ascii="宋体" w:hAnsi="宋体" w:hint="eastAsia"/>
                <w:lang w:eastAsia="zh-Hans"/>
              </w:rPr>
              <w:t>:</w:t>
            </w:r>
            <w:r>
              <w:rPr>
                <w:rFonts w:ascii="宋体" w:hAnsi="宋体" w:hint="eastAsia"/>
                <w:lang w:eastAsia="zh-Hans"/>
              </w:rPr>
              <w:t>优选中长期景气向好的指数基金进行配置，增厚组合收益，并把握阶段性投资机会，获取超额收益。</w:t>
            </w:r>
            <w:r>
              <w:rPr>
                <w:rFonts w:ascii="宋体" w:hAnsi="宋体" w:hint="eastAsia"/>
                <w:lang w:eastAsia="zh-Hans"/>
              </w:rPr>
              <w:br/>
              <w:t>4</w:t>
            </w:r>
            <w:r>
              <w:rPr>
                <w:rFonts w:ascii="宋体" w:hAnsi="宋体" w:hint="eastAsia"/>
                <w:lang w:eastAsia="zh-Hans"/>
              </w:rPr>
              <w:t>、公募</w:t>
            </w:r>
            <w:r>
              <w:rPr>
                <w:rFonts w:ascii="宋体" w:hAnsi="宋体" w:hint="eastAsia"/>
                <w:lang w:eastAsia="zh-Hans"/>
              </w:rPr>
              <w:t>REITs</w:t>
            </w:r>
            <w:r>
              <w:rPr>
                <w:rFonts w:ascii="宋体" w:hAnsi="宋体" w:hint="eastAsia"/>
                <w:lang w:eastAsia="zh-Hans"/>
              </w:rPr>
              <w:t>投资策略</w:t>
            </w:r>
            <w:r>
              <w:rPr>
                <w:rFonts w:ascii="宋体" w:hAnsi="宋体" w:hint="eastAsia"/>
                <w:lang w:eastAsia="zh-Hans"/>
              </w:rPr>
              <w:t>:</w:t>
            </w:r>
            <w:r>
              <w:rPr>
                <w:rFonts w:ascii="宋体" w:hAnsi="宋体" w:hint="eastAsia"/>
                <w:lang w:eastAsia="zh-Hans"/>
              </w:rPr>
              <w:t>本基金将综合考量宏观经济运行情况、基金资</w:t>
            </w:r>
            <w:r>
              <w:rPr>
                <w:rFonts w:ascii="宋体" w:hAnsi="宋体" w:hint="eastAsia"/>
                <w:lang w:eastAsia="zh-Hans"/>
              </w:rPr>
              <w:t>产配置策略、底层资产运营情况、流动性及估值水平等因素，精选公募</w:t>
            </w:r>
            <w:r>
              <w:rPr>
                <w:rFonts w:ascii="宋体" w:hAnsi="宋体" w:hint="eastAsia"/>
                <w:lang w:eastAsia="zh-Hans"/>
              </w:rPr>
              <w:t>REITs</w:t>
            </w:r>
            <w:r>
              <w:rPr>
                <w:rFonts w:ascii="宋体" w:hAnsi="宋体" w:hint="eastAsia"/>
                <w:lang w:eastAsia="zh-Hans"/>
              </w:rPr>
              <w:t>进行投资。</w:t>
            </w:r>
            <w:r>
              <w:rPr>
                <w:rFonts w:ascii="宋体" w:hAnsi="宋体" w:hint="eastAsia"/>
                <w:lang w:eastAsia="zh-Hans"/>
              </w:rPr>
              <w:br/>
              <w:t>5</w:t>
            </w:r>
            <w:r>
              <w:rPr>
                <w:rFonts w:ascii="宋体" w:hAnsi="宋体" w:hint="eastAsia"/>
                <w:lang w:eastAsia="zh-Hans"/>
              </w:rPr>
              <w:t>、其他投资策略</w:t>
            </w:r>
            <w:r>
              <w:rPr>
                <w:rFonts w:ascii="宋体" w:hAnsi="宋体" w:hint="eastAsia"/>
                <w:lang w:eastAsia="zh-Hans"/>
              </w:rPr>
              <w:t>:</w:t>
            </w:r>
            <w:r>
              <w:rPr>
                <w:rFonts w:ascii="宋体" w:hAnsi="宋体" w:hint="eastAsia"/>
                <w:lang w:eastAsia="zh-Hans"/>
              </w:rPr>
              <w:t>包括股票投资策略、债券投资策略、中小企业私募债投资策略、证券公司短期公司债投资策略、资产支持证券投资策略、存托凭证投资策略</w:t>
            </w:r>
            <w:r>
              <w:rPr>
                <w:rFonts w:ascii="宋体" w:hAnsi="宋体" w:hint="eastAsia"/>
                <w:lang w:eastAsia="zh-Hans"/>
              </w:rPr>
              <w:t>。</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中证</w:t>
            </w:r>
            <w:r>
              <w:rPr>
                <w:rFonts w:ascii="宋体" w:hAnsi="宋体" w:hint="eastAsia"/>
                <w:lang w:eastAsia="zh-Hans"/>
              </w:rPr>
              <w:t>800</w:t>
            </w:r>
            <w:r>
              <w:rPr>
                <w:rFonts w:ascii="宋体" w:hAnsi="宋体" w:hint="eastAsia"/>
                <w:lang w:eastAsia="zh-Hans"/>
              </w:rPr>
              <w:t>指数收益率</w:t>
            </w:r>
            <w:r>
              <w:rPr>
                <w:rFonts w:ascii="宋体" w:hAnsi="宋体" w:hint="eastAsia"/>
                <w:lang w:eastAsia="zh-Hans"/>
              </w:rPr>
              <w:t>*50%+</w:t>
            </w:r>
            <w:r>
              <w:rPr>
                <w:rFonts w:ascii="宋体" w:hAnsi="宋体" w:hint="eastAsia"/>
                <w:lang w:eastAsia="zh-Hans"/>
              </w:rPr>
              <w:t>中证综合债指数收益率</w:t>
            </w:r>
            <w:r>
              <w:rPr>
                <w:rFonts w:ascii="宋体" w:hAnsi="宋体" w:hint="eastAsia"/>
                <w:lang w:eastAsia="zh-Hans"/>
              </w:rPr>
              <w:t>*45%+</w:t>
            </w:r>
            <w:r>
              <w:rPr>
                <w:rFonts w:ascii="宋体" w:hAnsi="宋体" w:hint="eastAsia"/>
                <w:lang w:eastAsia="zh-Hans"/>
              </w:rPr>
              <w:t>活期存款利率（税后）</w:t>
            </w:r>
            <w:r>
              <w:rPr>
                <w:rFonts w:ascii="宋体" w:hAnsi="宋体" w:hint="eastAsia"/>
                <w:lang w:eastAsia="zh-Hans"/>
              </w:rPr>
              <w:t>*5</w:t>
            </w:r>
            <w:r>
              <w:rPr>
                <w:rFonts w:ascii="宋体" w:hAnsi="宋体" w:hint="eastAsia"/>
                <w:lang w:eastAsia="zh-Hans"/>
              </w:rPr>
              <w:t>%</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基金管理人将养老目标风险基金根据不同风险程度进行划分。本基金的高风险类资产和其他资产的基准配置比例为</w:t>
            </w:r>
            <w:r>
              <w:rPr>
                <w:rFonts w:ascii="宋体" w:hAnsi="宋体" w:hint="eastAsia"/>
                <w:lang w:eastAsia="zh-Hans"/>
              </w:rPr>
              <w:t>50%</w:t>
            </w:r>
            <w:r>
              <w:rPr>
                <w:rFonts w:ascii="宋体" w:hAnsi="宋体" w:hint="eastAsia"/>
                <w:lang w:eastAsia="zh-Hans"/>
              </w:rPr>
              <w:t>：</w:t>
            </w:r>
            <w:r>
              <w:rPr>
                <w:rFonts w:ascii="宋体" w:hAnsi="宋体" w:hint="eastAsia"/>
                <w:lang w:eastAsia="zh-Hans"/>
              </w:rPr>
              <w:t>50%</w:t>
            </w:r>
            <w:r>
              <w:rPr>
                <w:rFonts w:ascii="宋体" w:hAnsi="宋体" w:hint="eastAsia"/>
                <w:lang w:eastAsia="zh-Hans"/>
              </w:rPr>
              <w:t>，属于基金管理人管理的养老目标风险基金中高</w:t>
            </w:r>
            <w:r>
              <w:rPr>
                <w:rFonts w:ascii="宋体" w:hAnsi="宋体" w:hint="eastAsia"/>
                <w:lang w:eastAsia="zh-Hans"/>
              </w:rPr>
              <w:t>风险和其他资产配置比例较为平衡的。</w:t>
            </w:r>
            <w:r>
              <w:rPr>
                <w:rFonts w:ascii="宋体" w:hAnsi="宋体" w:hint="eastAsia"/>
                <w:lang w:eastAsia="zh-Hans"/>
              </w:rPr>
              <w:br/>
            </w:r>
            <w:r>
              <w:rPr>
                <w:rFonts w:ascii="宋体" w:hAnsi="宋体" w:hint="eastAsia"/>
                <w:lang w:eastAsia="zh-Hans"/>
              </w:rPr>
              <w:t>本基金属于混合型基金中基金，预期风险和收益水平低于股票型基金中基金，高于债券型基金中基金和货币型基金中基金。</w:t>
            </w:r>
            <w:r>
              <w:rPr>
                <w:rFonts w:ascii="宋体" w:hAnsi="宋体" w:hint="eastAsia"/>
                <w:lang w:eastAsia="zh-Hans"/>
              </w:rPr>
              <w:br/>
            </w:r>
            <w:r>
              <w:rPr>
                <w:rFonts w:ascii="宋体" w:hAnsi="宋体" w:hint="eastAsia"/>
                <w:lang w:eastAsia="zh-Hans"/>
              </w:rPr>
              <w:t>根据</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7</w:t>
            </w:r>
            <w:r>
              <w:rPr>
                <w:rFonts w:ascii="宋体" w:hAnsi="宋体" w:hint="eastAsia"/>
                <w:lang w:eastAsia="zh-Hans"/>
              </w:rPr>
              <w:t>月</w:t>
            </w:r>
            <w:r>
              <w:rPr>
                <w:rFonts w:ascii="宋体" w:hAnsi="宋体" w:hint="eastAsia"/>
                <w:lang w:eastAsia="zh-Hans"/>
              </w:rPr>
              <w:t>1</w:t>
            </w:r>
            <w:r>
              <w:rPr>
                <w:rFonts w:ascii="宋体" w:hAnsi="宋体" w:hint="eastAsia"/>
                <w:lang w:eastAsia="zh-Hans"/>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Pr>
                <w:rFonts w:ascii="宋体" w:hAnsi="宋体" w:hint="eastAsia"/>
                <w:lang w:eastAsia="zh-Hans"/>
              </w:rPr>
              <w:t>。</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99133026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lang w:eastAsia="zh-Hans"/>
              </w:rPr>
              <w:t>中国建设银行股份有限公</w:t>
            </w:r>
            <w:r>
              <w:rPr>
                <w:rFonts w:ascii="宋体" w:hAnsi="宋体" w:hint="eastAsia"/>
                <w:lang w:eastAsia="zh-Hans"/>
              </w:rPr>
              <w:t>司</w:t>
            </w:r>
          </w:p>
        </w:tc>
      </w:tr>
      <w:tr w:rsidR="00000000">
        <w:trPr>
          <w:divId w:val="99133026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bookmarkStart w:id="31"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lang w:eastAsia="zh-Hans"/>
              </w:rPr>
              <w:t>摩根锦程均衡养老三年持有混合</w:t>
            </w:r>
            <w:r>
              <w:rPr>
                <w:rFonts w:ascii="宋体" w:hAnsi="宋体" w:hint="eastAsia"/>
                <w:lang w:eastAsia="zh-Hans"/>
              </w:rPr>
              <w:t>(FOF)</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lang w:eastAsia="zh-Hans"/>
              </w:rPr>
              <w:t>摩根锦程均衡养老三年持有混合</w:t>
            </w:r>
            <w:r>
              <w:rPr>
                <w:rFonts w:ascii="宋体" w:hAnsi="宋体" w:hint="eastAsia"/>
                <w:lang w:eastAsia="zh-Hans"/>
              </w:rPr>
              <w:t>(FOF)</w:t>
            </w:r>
            <w:r>
              <w:rPr>
                <w:rFonts w:ascii="宋体" w:hAnsi="宋体" w:hint="eastAsia"/>
                <w:lang w:eastAsia="zh-Hans"/>
              </w:rPr>
              <w:t>Y</w:t>
            </w:r>
            <w:r>
              <w:rPr>
                <w:rFonts w:ascii="宋体" w:hAnsi="宋体" w:hint="eastAsia"/>
                <w:kern w:val="0"/>
                <w:sz w:val="20"/>
                <w:lang w:eastAsia="zh-Hans"/>
              </w:rPr>
              <w:t xml:space="preserve"> </w:t>
            </w:r>
          </w:p>
        </w:tc>
      </w:tr>
      <w:tr w:rsidR="00000000">
        <w:trPr>
          <w:divId w:val="99133026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lang w:eastAsia="zh-Hans"/>
              </w:rPr>
              <w:t>00722</w:t>
            </w:r>
            <w:r>
              <w:rPr>
                <w:rFonts w:ascii="宋体" w:hAnsi="宋体" w:hint="eastAsia"/>
                <w:lang w:eastAsia="zh-Hans"/>
              </w:rPr>
              <w:t>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lang w:eastAsia="zh-Hans"/>
              </w:rPr>
              <w:t>01734</w:t>
            </w:r>
            <w:r>
              <w:rPr>
                <w:rFonts w:ascii="宋体" w:hAnsi="宋体" w:hint="eastAsia"/>
                <w:lang w:eastAsia="zh-Hans"/>
              </w:rPr>
              <w:t>2</w:t>
            </w:r>
            <w:r>
              <w:rPr>
                <w:rFonts w:ascii="宋体" w:hAnsi="宋体" w:hint="eastAsia"/>
                <w:kern w:val="0"/>
                <w:sz w:val="20"/>
                <w:lang w:eastAsia="zh-Hans"/>
              </w:rPr>
              <w:t xml:space="preserve"> </w:t>
            </w:r>
          </w:p>
        </w:tc>
      </w:tr>
      <w:bookmarkEnd w:id="31"/>
      <w:bookmarkEnd w:id="30"/>
      <w:tr w:rsidR="00000000">
        <w:trPr>
          <w:divId w:val="99133026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1F7B5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lang w:eastAsia="zh-Hans"/>
              </w:rPr>
              <w:t>50,779,714.3</w:t>
            </w:r>
            <w:r>
              <w:rPr>
                <w:rFonts w:ascii="宋体" w:hAnsi="宋体" w:hint="eastAsia"/>
                <w:lang w:eastAsia="zh-Hans"/>
              </w:rPr>
              <w:t>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lang w:eastAsia="zh-Hans"/>
              </w:rPr>
              <w:t>61,488,669.1</w:t>
            </w:r>
            <w:r>
              <w:rPr>
                <w:rFonts w:ascii="宋体" w:hAnsi="宋体" w:hint="eastAsia"/>
                <w:lang w:eastAsia="zh-Hans"/>
              </w:rPr>
              <w:t>8</w:t>
            </w:r>
            <w:r>
              <w:rPr>
                <w:rFonts w:hint="eastAsia"/>
              </w:rPr>
              <w:t>份</w:t>
            </w:r>
            <w:r>
              <w:rPr>
                <w:rFonts w:ascii="宋体" w:hAnsi="宋体" w:hint="eastAsia"/>
                <w:lang w:eastAsia="zh-Hans"/>
              </w:rPr>
              <w:t xml:space="preserve"> </w:t>
            </w:r>
          </w:p>
        </w:tc>
      </w:tr>
    </w:tbl>
    <w:p w:rsidR="00000000" w:rsidRDefault="001F7B5D">
      <w:pPr>
        <w:pStyle w:val="XBRLTitle1"/>
        <w:spacing w:before="156" w:line="360" w:lineRule="auto"/>
        <w:ind w:left="425"/>
      </w:pPr>
      <w:bookmarkStart w:id="32" w:name="_Toc17899954"/>
      <w:bookmarkStart w:id="33" w:name="_Toc512519482"/>
      <w:bookmarkStart w:id="34" w:name="_Toc481075049"/>
      <w:bookmarkStart w:id="35" w:name="_Toc438646455"/>
      <w:bookmarkStart w:id="36" w:name="_Toc490050003"/>
      <w:bookmarkStart w:id="37" w:name="_Toc513295848"/>
      <w:bookmarkStart w:id="38" w:name="_Toc513295894"/>
      <w:bookmarkStart w:id="39" w:name="m401_tab"/>
      <w:bookmarkStart w:id="40" w:name="m401"/>
      <w:r>
        <w:rPr>
          <w:rFonts w:hAnsi="宋体" w:hint="eastAsia"/>
        </w:rPr>
        <w:t>主要财务指标和基金净值表</w:t>
      </w:r>
      <w:r>
        <w:rPr>
          <w:rFonts w:hAnsi="宋体" w:hint="eastAsia"/>
        </w:rPr>
        <w:t>现</w:t>
      </w:r>
      <w:bookmarkEnd w:id="32"/>
      <w:bookmarkEnd w:id="33"/>
      <w:bookmarkEnd w:id="34"/>
      <w:bookmarkEnd w:id="35"/>
      <w:bookmarkEnd w:id="36"/>
      <w:bookmarkEnd w:id="37"/>
      <w:bookmarkEnd w:id="38"/>
      <w:r>
        <w:rPr>
          <w:rFonts w:hAnsi="宋体" w:hint="eastAsia"/>
        </w:rPr>
        <w:t xml:space="preserve"> </w:t>
      </w:r>
    </w:p>
    <w:p w:rsidR="00000000" w:rsidRDefault="001F7B5D">
      <w:pPr>
        <w:pStyle w:val="XBRLTitle2"/>
        <w:spacing w:before="156" w:line="360" w:lineRule="auto"/>
        <w:ind w:left="454"/>
        <w:rPr>
          <w:rFonts w:hint="eastAsia"/>
        </w:rPr>
      </w:pPr>
      <w:bookmarkStart w:id="41" w:name="_Toc17899955"/>
      <w:bookmarkStart w:id="42" w:name="_Toc512519483"/>
      <w:bookmarkStart w:id="43" w:name="_Toc481075050"/>
      <w:bookmarkStart w:id="44" w:name="_Toc438646456"/>
      <w:bookmarkStart w:id="45" w:name="_Toc490050004"/>
      <w:bookmarkStart w:id="46" w:name="_Toc513295849"/>
      <w:bookmarkStart w:id="47" w:name="_Toc513295895"/>
      <w:r>
        <w:rPr>
          <w:rFonts w:hAnsi="宋体" w:hint="eastAsia"/>
        </w:rPr>
        <w:t>主要财务指</w:t>
      </w:r>
      <w:r>
        <w:rPr>
          <w:rFonts w:hAnsi="宋体" w:hint="eastAsia"/>
        </w:rPr>
        <w:t>标</w:t>
      </w:r>
      <w:bookmarkEnd w:id="41"/>
      <w:bookmarkEnd w:id="42"/>
      <w:bookmarkEnd w:id="43"/>
      <w:bookmarkEnd w:id="44"/>
      <w:bookmarkEnd w:id="45"/>
      <w:bookmarkEnd w:id="46"/>
      <w:bookmarkEnd w:id="47"/>
      <w:r>
        <w:rPr>
          <w:rFonts w:hAnsi="宋体" w:hint="eastAsia"/>
        </w:rPr>
        <w:t xml:space="preserve"> </w:t>
      </w:r>
    </w:p>
    <w:p w:rsidR="00000000" w:rsidRDefault="001F7B5D">
      <w:pPr>
        <w:jc w:val="right"/>
        <w:divId w:val="593248333"/>
        <w:rPr>
          <w:rFonts w:hint="eastAsia"/>
        </w:rPr>
      </w:pPr>
      <w:r>
        <w:rPr>
          <w:rFonts w:ascii="宋体" w:hAnsi="宋体" w:hint="eastAsia"/>
        </w:rPr>
        <w:lastRenderedPageBreak/>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3"/>
        <w:gridCol w:w="3241"/>
        <w:gridCol w:w="3241"/>
      </w:tblGrid>
      <w:tr w:rsidR="00000000">
        <w:trPr>
          <w:divId w:val="59324833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1F7B5D">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1F7B5D">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59324833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7B5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1F7B5D">
            <w:pPr>
              <w:jc w:val="center"/>
              <w:rPr>
                <w:rFonts w:hint="eastAsia"/>
              </w:rPr>
            </w:pPr>
            <w:r>
              <w:rPr>
                <w:rFonts w:ascii="宋体" w:hAnsi="宋体" w:hint="eastAsia"/>
                <w:szCs w:val="24"/>
                <w:lang w:eastAsia="zh-Hans"/>
              </w:rPr>
              <w:t>摩根锦程均衡养老三年持有混合</w:t>
            </w:r>
            <w:r>
              <w:rPr>
                <w:rFonts w:ascii="宋体" w:hAnsi="宋体" w:hint="eastAsia"/>
                <w:szCs w:val="24"/>
                <w:lang w:eastAsia="zh-Hans"/>
              </w:rPr>
              <w:t>(FOF)</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1F7B5D">
            <w:pPr>
              <w:jc w:val="center"/>
            </w:pPr>
            <w:r>
              <w:rPr>
                <w:rFonts w:ascii="宋体" w:hAnsi="宋体" w:hint="eastAsia"/>
                <w:szCs w:val="24"/>
                <w:lang w:eastAsia="zh-Hans"/>
              </w:rPr>
              <w:t>摩根锦程均衡养老三年持有混合</w:t>
            </w:r>
            <w:r>
              <w:rPr>
                <w:rFonts w:ascii="宋体" w:hAnsi="宋体" w:hint="eastAsia"/>
                <w:szCs w:val="24"/>
                <w:lang w:eastAsia="zh-Hans"/>
              </w:rPr>
              <w:t>(FOF)</w:t>
            </w:r>
            <w:r>
              <w:rPr>
                <w:rFonts w:ascii="宋体" w:hAnsi="宋体" w:hint="eastAsia"/>
                <w:szCs w:val="24"/>
                <w:lang w:eastAsia="zh-Hans"/>
              </w:rPr>
              <w:t>Y</w:t>
            </w:r>
          </w:p>
        </w:tc>
      </w:tr>
      <w:tr w:rsidR="00000000">
        <w:trPr>
          <w:divId w:val="5932483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rPr>
                <w:rFonts w:hint="eastAsia"/>
              </w:rPr>
            </w:pPr>
            <w:r>
              <w:rPr>
                <w:rFonts w:ascii="宋体" w:hAnsi="宋体" w:hint="eastAsia"/>
                <w:szCs w:val="24"/>
                <w:lang w:eastAsia="zh-Hans"/>
              </w:rPr>
              <w:t>302,797.8</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pPr>
            <w:r>
              <w:rPr>
                <w:rFonts w:ascii="宋体" w:hAnsi="宋体" w:hint="eastAsia"/>
                <w:szCs w:val="24"/>
                <w:lang w:eastAsia="zh-Hans"/>
              </w:rPr>
              <w:t>389,922.3</w:t>
            </w:r>
            <w:r>
              <w:rPr>
                <w:rFonts w:ascii="宋体" w:hAnsi="宋体" w:hint="eastAsia"/>
                <w:szCs w:val="24"/>
                <w:lang w:eastAsia="zh-Hans"/>
              </w:rPr>
              <w:t>0</w:t>
            </w:r>
          </w:p>
        </w:tc>
      </w:tr>
      <w:tr w:rsidR="00000000">
        <w:trPr>
          <w:divId w:val="5932483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rPr>
                <w:rFonts w:hint="eastAsia"/>
              </w:rPr>
            </w:pPr>
            <w:r>
              <w:rPr>
                <w:rFonts w:ascii="宋体" w:hAnsi="宋体" w:hint="eastAsia"/>
                <w:szCs w:val="24"/>
                <w:lang w:eastAsia="zh-Hans"/>
              </w:rPr>
              <w:t>1,268,457.5</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pPr>
            <w:r>
              <w:rPr>
                <w:rFonts w:ascii="宋体" w:hAnsi="宋体" w:hint="eastAsia"/>
                <w:szCs w:val="24"/>
                <w:lang w:eastAsia="zh-Hans"/>
              </w:rPr>
              <w:t>1,369,856.2</w:t>
            </w:r>
            <w:r>
              <w:rPr>
                <w:rFonts w:ascii="宋体" w:hAnsi="宋体" w:hint="eastAsia"/>
                <w:szCs w:val="24"/>
                <w:lang w:eastAsia="zh-Hans"/>
              </w:rPr>
              <w:t>2</w:t>
            </w:r>
          </w:p>
        </w:tc>
      </w:tr>
      <w:tr w:rsidR="00000000">
        <w:trPr>
          <w:divId w:val="5932483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rPr>
                <w:rFonts w:hint="eastAsia"/>
              </w:rPr>
            </w:pPr>
            <w:r>
              <w:rPr>
                <w:rFonts w:ascii="宋体" w:hAnsi="宋体" w:hint="eastAsia"/>
                <w:szCs w:val="24"/>
                <w:lang w:eastAsia="zh-Hans"/>
              </w:rPr>
              <w:t>0.023</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pPr>
            <w:r>
              <w:rPr>
                <w:rFonts w:ascii="宋体" w:hAnsi="宋体" w:hint="eastAsia"/>
                <w:szCs w:val="24"/>
                <w:lang w:eastAsia="zh-Hans"/>
              </w:rPr>
              <w:t>0.023</w:t>
            </w:r>
            <w:r>
              <w:rPr>
                <w:rFonts w:ascii="宋体" w:hAnsi="宋体" w:hint="eastAsia"/>
                <w:szCs w:val="24"/>
                <w:lang w:eastAsia="zh-Hans"/>
              </w:rPr>
              <w:t>7</w:t>
            </w:r>
          </w:p>
        </w:tc>
      </w:tr>
      <w:tr w:rsidR="00000000">
        <w:trPr>
          <w:divId w:val="5932483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rPr>
                <w:rFonts w:hint="eastAsia"/>
              </w:rPr>
            </w:pPr>
            <w:r>
              <w:rPr>
                <w:rFonts w:ascii="宋体" w:hAnsi="宋体" w:hint="eastAsia"/>
                <w:szCs w:val="24"/>
                <w:lang w:eastAsia="zh-Hans"/>
              </w:rPr>
              <w:t>60,390,854.7</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pPr>
            <w:r>
              <w:rPr>
                <w:rFonts w:ascii="宋体" w:hAnsi="宋体" w:hint="eastAsia"/>
                <w:szCs w:val="24"/>
                <w:lang w:eastAsia="zh-Hans"/>
              </w:rPr>
              <w:t>73,761,112.2</w:t>
            </w:r>
            <w:r>
              <w:rPr>
                <w:rFonts w:ascii="宋体" w:hAnsi="宋体" w:hint="eastAsia"/>
                <w:szCs w:val="24"/>
                <w:lang w:eastAsia="zh-Hans"/>
              </w:rPr>
              <w:t>0</w:t>
            </w:r>
          </w:p>
        </w:tc>
      </w:tr>
      <w:tr w:rsidR="00000000">
        <w:trPr>
          <w:divId w:val="5932483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rPr>
                <w:rFonts w:hint="eastAsia"/>
              </w:rPr>
            </w:pPr>
            <w:r>
              <w:rPr>
                <w:rFonts w:ascii="宋体" w:hAnsi="宋体" w:hint="eastAsia"/>
                <w:szCs w:val="24"/>
                <w:lang w:eastAsia="zh-Hans"/>
              </w:rPr>
              <w:t>1.189</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1F7B5D">
            <w:pPr>
              <w:jc w:val="right"/>
            </w:pPr>
            <w:r>
              <w:rPr>
                <w:rFonts w:ascii="宋体" w:hAnsi="宋体" w:hint="eastAsia"/>
                <w:szCs w:val="24"/>
                <w:lang w:eastAsia="zh-Hans"/>
              </w:rPr>
              <w:t>1.199</w:t>
            </w:r>
            <w:r>
              <w:rPr>
                <w:rFonts w:ascii="宋体" w:hAnsi="宋体" w:hint="eastAsia"/>
                <w:szCs w:val="24"/>
                <w:lang w:eastAsia="zh-Hans"/>
              </w:rPr>
              <w:t>6</w:t>
            </w:r>
          </w:p>
        </w:tc>
      </w:tr>
    </w:tbl>
    <w:p w:rsidR="00000000" w:rsidRDefault="001F7B5D">
      <w:pPr>
        <w:wordWrap w:val="0"/>
        <w:spacing w:line="360" w:lineRule="auto"/>
        <w:jc w:val="left"/>
        <w:divId w:val="1948467419"/>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1F7B5D">
      <w:pPr>
        <w:pStyle w:val="XBRLTitle2"/>
        <w:spacing w:before="156" w:line="360" w:lineRule="auto"/>
        <w:ind w:left="454"/>
      </w:pPr>
      <w:bookmarkStart w:id="48" w:name="_Toc17899956"/>
      <w:bookmarkStart w:id="49" w:name="_Toc512519484"/>
      <w:bookmarkStart w:id="50" w:name="_Toc481075051"/>
      <w:bookmarkStart w:id="51" w:name="_Toc438646457"/>
      <w:bookmarkStart w:id="52" w:name="_Toc490050005"/>
      <w:bookmarkStart w:id="53" w:name="_Toc513295850"/>
      <w:bookmarkStart w:id="54" w:name="_Toc513295896"/>
      <w:r>
        <w:rPr>
          <w:rFonts w:hAnsi="宋体" w:hint="eastAsia"/>
        </w:rPr>
        <w:t>基金净值表</w:t>
      </w:r>
      <w:r>
        <w:rPr>
          <w:rFonts w:hAnsi="宋体" w:hint="eastAsia"/>
        </w:rPr>
        <w:t>现</w:t>
      </w:r>
      <w:bookmarkEnd w:id="48"/>
      <w:bookmarkEnd w:id="49"/>
      <w:bookmarkEnd w:id="50"/>
      <w:bookmarkEnd w:id="51"/>
      <w:bookmarkEnd w:id="52"/>
      <w:bookmarkEnd w:id="53"/>
      <w:bookmarkEnd w:id="54"/>
      <w:r>
        <w:rPr>
          <w:rFonts w:hAnsi="宋体" w:hint="eastAsia"/>
        </w:rPr>
        <w:t xml:space="preserve"> </w:t>
      </w:r>
    </w:p>
    <w:p w:rsidR="00000000" w:rsidRDefault="001F7B5D">
      <w:pPr>
        <w:pStyle w:val="XBRLTitle3"/>
        <w:spacing w:before="156"/>
        <w:ind w:left="0"/>
        <w:rPr>
          <w:rFonts w:hint="eastAsia"/>
        </w:rPr>
      </w:pPr>
      <w:bookmarkStart w:id="55" w:name="_Toc17899957"/>
      <w:bookmarkStart w:id="56" w:name="_Toc512519485"/>
      <w:bookmarkStart w:id="57" w:name="_Toc481075052"/>
      <w:bookmarkStart w:id="58" w:name="_Toc490050006"/>
      <w:bookmarkStart w:id="59" w:name="_Toc513295897"/>
      <w:r>
        <w:rPr>
          <w:rFonts w:hint="eastAsia"/>
        </w:rPr>
        <w:t>基金份额净值增长率及其与同期业绩比较基准收益率的比</w:t>
      </w:r>
      <w:r>
        <w:rPr>
          <w:rFonts w:hint="eastAsia"/>
        </w:rPr>
        <w:t>较</w:t>
      </w:r>
      <w:bookmarkEnd w:id="55"/>
      <w:bookmarkEnd w:id="56"/>
      <w:bookmarkEnd w:id="57"/>
      <w:bookmarkEnd w:id="58"/>
      <w:bookmarkEnd w:id="59"/>
      <w:r>
        <w:rPr>
          <w:rFonts w:hint="eastAsia"/>
          <w:lang w:eastAsia="zh-CN"/>
        </w:rPr>
        <w:t xml:space="preserve"> </w:t>
      </w:r>
    </w:p>
    <w:p w:rsidR="00000000" w:rsidRDefault="001F7B5D">
      <w:pPr>
        <w:spacing w:line="360" w:lineRule="auto"/>
        <w:jc w:val="center"/>
        <w:divId w:val="1069156198"/>
        <w:rPr>
          <w:rFonts w:hint="eastAsia"/>
        </w:rPr>
      </w:pPr>
      <w:r>
        <w:rPr>
          <w:rFonts w:ascii="宋体" w:hAnsi="宋体" w:hint="eastAsia"/>
        </w:rPr>
        <w:t>摩根锦程均衡养老三年持有混合</w:t>
      </w:r>
      <w:r>
        <w:rPr>
          <w:rFonts w:ascii="宋体" w:hAnsi="宋体" w:hint="eastAsia"/>
        </w:rPr>
        <w:t>(FOF)</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06915619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②－④</w:t>
            </w:r>
            <w:r>
              <w:rPr>
                <w:rFonts w:ascii="宋体" w:hAnsi="宋体" w:hint="eastAsia"/>
              </w:rPr>
              <w:t xml:space="preserve"> </w:t>
            </w:r>
          </w:p>
        </w:tc>
      </w:tr>
      <w:tr w:rsidR="00000000">
        <w:trPr>
          <w:divId w:val="10691561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1.9</w:t>
            </w:r>
            <w:r>
              <w:rPr>
                <w:rFonts w:ascii="宋体" w:hAnsi="宋体" w:hint="eastAsia"/>
              </w:rPr>
              <w:t>4</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0.5</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-0.4</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0.4</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2.3</w:t>
            </w:r>
            <w:r>
              <w:rPr>
                <w:rFonts w:ascii="宋体" w:hAnsi="宋体" w:hint="eastAsia"/>
              </w:rPr>
              <w:t>6</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r>
      <w:tr w:rsidR="00000000">
        <w:trPr>
          <w:divId w:val="10691561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1.5</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0.8</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0.7</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1.5</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9</w:t>
            </w:r>
            <w:r>
              <w:rPr>
                <w:rFonts w:ascii="宋体" w:hAnsi="宋体" w:hint="eastAsia"/>
              </w:rPr>
              <w:t xml:space="preserve">% </w:t>
            </w:r>
          </w:p>
        </w:tc>
      </w:tr>
      <w:tr w:rsidR="00000000">
        <w:trPr>
          <w:divId w:val="10691561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9.9</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0.7</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7.9</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0.6</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2.0</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9</w:t>
            </w:r>
            <w:r>
              <w:rPr>
                <w:rFonts w:ascii="宋体" w:hAnsi="宋体" w:hint="eastAsia"/>
              </w:rPr>
              <w:t xml:space="preserve">% </w:t>
            </w:r>
          </w:p>
        </w:tc>
      </w:tr>
      <w:tr w:rsidR="00000000">
        <w:trPr>
          <w:divId w:val="10691561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-4.5</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0.6</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3.8</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0.5</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-8.4</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r>
      <w:tr w:rsidR="00000000">
        <w:trPr>
          <w:divId w:val="10691561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16.4</w:t>
            </w:r>
            <w:r>
              <w:rPr>
                <w:rFonts w:ascii="宋体" w:hAnsi="宋体" w:hint="eastAsia"/>
              </w:rPr>
              <w:t>7</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0.6</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16.4</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0.5</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5</w:t>
            </w:r>
            <w:r>
              <w:rPr>
                <w:rFonts w:ascii="宋体" w:hAnsi="宋体" w:hint="eastAsia"/>
              </w:rPr>
              <w:t xml:space="preserve">% </w:t>
            </w:r>
          </w:p>
        </w:tc>
      </w:tr>
      <w:tr w:rsidR="00000000">
        <w:trPr>
          <w:divId w:val="10691561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18.9</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0.6</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17.7</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0.6</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1.2</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4</w:t>
            </w:r>
            <w:r>
              <w:rPr>
                <w:rFonts w:ascii="宋体" w:hAnsi="宋体" w:hint="eastAsia"/>
              </w:rPr>
              <w:t xml:space="preserve">% </w:t>
            </w:r>
          </w:p>
        </w:tc>
      </w:tr>
    </w:tbl>
    <w:p w:rsidR="00000000" w:rsidRDefault="001F7B5D">
      <w:pPr>
        <w:spacing w:line="360" w:lineRule="auto"/>
        <w:jc w:val="center"/>
        <w:divId w:val="182671538"/>
      </w:pPr>
      <w:r>
        <w:rPr>
          <w:rFonts w:ascii="宋体" w:hAnsi="宋体" w:hint="eastAsia"/>
        </w:rPr>
        <w:t>摩根锦程均衡养老三年持有混合</w:t>
      </w:r>
      <w:r>
        <w:rPr>
          <w:rFonts w:ascii="宋体" w:hAnsi="宋体" w:hint="eastAsia"/>
        </w:rPr>
        <w:t>(FOF)</w:t>
      </w:r>
      <w:r>
        <w:rPr>
          <w:rFonts w:ascii="宋体" w:hAnsi="宋体" w:hint="eastAsia"/>
        </w:rPr>
        <w:t>Y</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8267153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8267153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2.0</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0.5</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-0.4</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0.4</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2.4</w:t>
            </w:r>
            <w:r>
              <w:rPr>
                <w:rFonts w:ascii="宋体" w:hAnsi="宋体" w:hint="eastAsia"/>
              </w:rPr>
              <w:t>5</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r>
      <w:tr w:rsidR="00000000">
        <w:trPr>
          <w:divId w:val="18267153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lastRenderedPageBreak/>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1.7</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0.8</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0.7</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1.7</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9</w:t>
            </w:r>
            <w:r>
              <w:rPr>
                <w:rFonts w:ascii="宋体" w:hAnsi="宋体" w:hint="eastAsia"/>
              </w:rPr>
              <w:t>%</w:t>
            </w:r>
            <w:r>
              <w:rPr>
                <w:rFonts w:ascii="宋体" w:hAnsi="宋体" w:hint="eastAsia"/>
              </w:rPr>
              <w:t xml:space="preserve"> </w:t>
            </w:r>
          </w:p>
        </w:tc>
      </w:tr>
      <w:tr w:rsidR="00000000">
        <w:trPr>
          <w:divId w:val="18267153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10.3</w:t>
            </w:r>
            <w:r>
              <w:rPr>
                <w:rFonts w:ascii="宋体" w:hAnsi="宋体" w:hint="eastAsia"/>
              </w:rPr>
              <w:t>1</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0.7</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7.9</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0.6</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2.4</w:t>
            </w:r>
            <w:r>
              <w:rPr>
                <w:rFonts w:ascii="宋体" w:hAnsi="宋体" w:hint="eastAsia"/>
              </w:rPr>
              <w:t>1</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0.0</w:t>
            </w:r>
            <w:r>
              <w:rPr>
                <w:rFonts w:ascii="宋体" w:hAnsi="宋体" w:hint="eastAsia"/>
              </w:rPr>
              <w:t>9</w:t>
            </w:r>
            <w:r>
              <w:rPr>
                <w:rFonts w:ascii="宋体" w:hAnsi="宋体" w:hint="eastAsia"/>
              </w:rPr>
              <w:t>%</w:t>
            </w:r>
            <w:r>
              <w:rPr>
                <w:rFonts w:ascii="宋体" w:hAnsi="宋体" w:hint="eastAsia"/>
              </w:rPr>
              <w:t xml:space="preserve"> </w:t>
            </w:r>
          </w:p>
        </w:tc>
      </w:tr>
      <w:tr w:rsidR="00000000">
        <w:trPr>
          <w:divId w:val="18267153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3.5</w:t>
            </w:r>
            <w:r>
              <w:rPr>
                <w:rFonts w:ascii="宋体" w:hAnsi="宋体" w:hint="eastAsia"/>
              </w:rPr>
              <w:t>8</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0.6</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7.6</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0.5</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1F7B5D">
            <w:pPr>
              <w:spacing w:line="360" w:lineRule="auto"/>
              <w:jc w:val="right"/>
            </w:pPr>
            <w:r>
              <w:rPr>
                <w:rFonts w:ascii="宋体" w:hAnsi="宋体" w:hint="eastAsia"/>
              </w:rPr>
              <w:t>-4.0</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r>
    </w:tbl>
    <w:p w:rsidR="00000000" w:rsidRDefault="001F7B5D">
      <w:pPr>
        <w:pStyle w:val="XBRLTitle3"/>
        <w:spacing w:before="156"/>
        <w:ind w:left="0"/>
      </w:pPr>
      <w:bookmarkStart w:id="60" w:name="_Toc17899958"/>
      <w:bookmarkStart w:id="61" w:name="_Toc512519486"/>
      <w:bookmarkStart w:id="62" w:name="_Toc481075053"/>
      <w:bookmarkStart w:id="63" w:name="_Toc490050007"/>
      <w:bookmarkStart w:id="64" w:name="_Toc513295898"/>
      <w:r>
        <w:rPr>
          <w:rFonts w:hint="eastAsia"/>
        </w:rPr>
        <w:t>自基金合同生效以来基金累计净值增长率变动及其与同期业绩比较基准收益率变动的比</w:t>
      </w:r>
      <w:r>
        <w:rPr>
          <w:rFonts w:hint="eastAsia"/>
        </w:rPr>
        <w:t>较</w:t>
      </w:r>
      <w:bookmarkEnd w:id="60"/>
      <w:bookmarkEnd w:id="61"/>
      <w:bookmarkEnd w:id="62"/>
      <w:bookmarkEnd w:id="63"/>
      <w:bookmarkEnd w:id="64"/>
    </w:p>
    <w:p w:rsidR="00000000" w:rsidRDefault="001F7B5D">
      <w:pPr>
        <w:spacing w:line="360" w:lineRule="auto"/>
        <w:jc w:val="left"/>
        <w:divId w:val="100540150"/>
        <w:rPr>
          <w:rFonts w:hint="eastAsia"/>
        </w:rPr>
      </w:pPr>
      <w:bookmarkStart w:id="65" w:name="m07_04_07_09"/>
      <w:bookmarkStart w:id="66"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1F7B5D">
      <w:pPr>
        <w:spacing w:line="360" w:lineRule="auto"/>
        <w:jc w:val="left"/>
        <w:divId w:val="1528712900"/>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1F7B5D">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2019</w:t>
      </w:r>
      <w:r>
        <w:rPr>
          <w:rFonts w:ascii="宋体" w:hAnsi="宋体" w:hint="eastAsia"/>
          <w:lang w:eastAsia="zh-Hans"/>
        </w:rPr>
        <w:t>年</w:t>
      </w:r>
      <w:r>
        <w:rPr>
          <w:rFonts w:ascii="宋体" w:hAnsi="宋体" w:hint="eastAsia"/>
          <w:lang w:eastAsia="zh-Hans"/>
        </w:rPr>
        <w:t>9</w:t>
      </w:r>
      <w:r>
        <w:rPr>
          <w:rFonts w:ascii="宋体" w:hAnsi="宋体" w:hint="eastAsia"/>
          <w:lang w:eastAsia="zh-Hans"/>
        </w:rPr>
        <w:t>月</w:t>
      </w:r>
      <w:r>
        <w:rPr>
          <w:rFonts w:ascii="宋体" w:hAnsi="宋体" w:hint="eastAsia"/>
          <w:lang w:eastAsia="zh-Hans"/>
        </w:rPr>
        <w:t>2</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本基金自</w:t>
      </w:r>
      <w:r>
        <w:rPr>
          <w:rFonts w:ascii="宋体" w:hAnsi="宋体" w:hint="eastAsia"/>
          <w:lang w:eastAsia="zh-Hans"/>
        </w:rPr>
        <w:t>2022</w:t>
      </w:r>
      <w:r>
        <w:rPr>
          <w:rFonts w:ascii="宋体" w:hAnsi="宋体" w:hint="eastAsia"/>
          <w:lang w:eastAsia="zh-Hans"/>
        </w:rPr>
        <w:t>年</w:t>
      </w:r>
      <w:r>
        <w:rPr>
          <w:rFonts w:ascii="宋体" w:hAnsi="宋体" w:hint="eastAsia"/>
          <w:lang w:eastAsia="zh-Hans"/>
        </w:rPr>
        <w:t>11</w:t>
      </w:r>
      <w:r>
        <w:rPr>
          <w:rFonts w:ascii="宋体" w:hAnsi="宋体" w:hint="eastAsia"/>
          <w:lang w:eastAsia="zh-Hans"/>
        </w:rPr>
        <w:t>月</w:t>
      </w:r>
      <w:r>
        <w:rPr>
          <w:rFonts w:ascii="宋体" w:hAnsi="宋体" w:hint="eastAsia"/>
          <w:lang w:eastAsia="zh-Hans"/>
        </w:rPr>
        <w:t>17</w:t>
      </w:r>
      <w:r>
        <w:rPr>
          <w:rFonts w:ascii="宋体" w:hAnsi="宋体" w:hint="eastAsia"/>
          <w:lang w:eastAsia="zh-Hans"/>
        </w:rPr>
        <w:t>日起增加</w:t>
      </w:r>
      <w:r>
        <w:rPr>
          <w:rFonts w:ascii="宋体" w:hAnsi="宋体" w:hint="eastAsia"/>
          <w:lang w:eastAsia="zh-Hans"/>
        </w:rPr>
        <w:t>Y</w:t>
      </w:r>
      <w:r>
        <w:rPr>
          <w:rFonts w:ascii="宋体" w:hAnsi="宋体" w:hint="eastAsia"/>
          <w:lang w:eastAsia="zh-Hans"/>
        </w:rPr>
        <w:t>类份额，相关数据按实际存续期计算</w:t>
      </w:r>
      <w:r>
        <w:rPr>
          <w:rFonts w:ascii="宋体" w:hAnsi="宋体" w:hint="eastAsia"/>
          <w:lang w:eastAsia="zh-Hans"/>
        </w:rPr>
        <w:t>。</w:t>
      </w:r>
      <w:r>
        <w:rPr>
          <w:rFonts w:ascii="宋体" w:hAnsi="宋体" w:hint="eastAsia"/>
          <w:lang w:eastAsia="zh-Hans"/>
        </w:rPr>
        <w:br/>
      </w:r>
      <w:r>
        <w:rPr>
          <w:rFonts w:ascii="宋体" w:hAnsi="宋体" w:hint="eastAsia"/>
          <w:lang w:eastAsia="zh-Hans"/>
        </w:rPr>
        <w:lastRenderedPageBreak/>
        <w:t xml:space="preserve">　　本基金建仓期为本基金合同生效日起</w:t>
      </w:r>
      <w:r>
        <w:rPr>
          <w:rFonts w:ascii="宋体" w:hAnsi="宋体" w:hint="eastAsia"/>
          <w:lang w:eastAsia="zh-Hans"/>
        </w:rPr>
        <w:t>6</w:t>
      </w:r>
      <w:r>
        <w:rPr>
          <w:rFonts w:ascii="宋体" w:hAnsi="宋体" w:hint="eastAsia"/>
          <w:lang w:eastAsia="zh-Hans"/>
        </w:rPr>
        <w:t>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1F7B5D">
      <w:pPr>
        <w:pStyle w:val="XBRLTitle1"/>
        <w:spacing w:before="156" w:line="360" w:lineRule="auto"/>
        <w:ind w:left="425"/>
      </w:pPr>
      <w:bookmarkStart w:id="67" w:name="_Toc17899960"/>
      <w:bookmarkStart w:id="68" w:name="_Toc481075054"/>
      <w:bookmarkStart w:id="69" w:name="_Toc438646458"/>
      <w:bookmarkStart w:id="70" w:name="_Toc490050008"/>
      <w:bookmarkStart w:id="71" w:name="_Toc512519487"/>
      <w:bookmarkStart w:id="72" w:name="_Toc513295851"/>
      <w:bookmarkStart w:id="73" w:name="_Toc513295899"/>
      <w:r>
        <w:rPr>
          <w:rFonts w:hAnsi="宋体" w:hint="eastAsia"/>
        </w:rPr>
        <w:t>管理人报</w:t>
      </w:r>
      <w:r>
        <w:rPr>
          <w:rFonts w:hAnsi="宋体" w:hint="eastAsia"/>
        </w:rPr>
        <w:t>告</w:t>
      </w:r>
      <w:bookmarkEnd w:id="67"/>
      <w:bookmarkEnd w:id="68"/>
      <w:bookmarkEnd w:id="69"/>
      <w:bookmarkEnd w:id="70"/>
      <w:bookmarkEnd w:id="71"/>
      <w:bookmarkEnd w:id="72"/>
      <w:bookmarkEnd w:id="73"/>
      <w:r>
        <w:rPr>
          <w:rFonts w:hAnsi="宋体" w:hint="eastAsia"/>
        </w:rPr>
        <w:t xml:space="preserve"> </w:t>
      </w:r>
    </w:p>
    <w:p w:rsidR="00000000" w:rsidRDefault="001F7B5D">
      <w:pPr>
        <w:pStyle w:val="XBRLTitle2"/>
        <w:spacing w:before="156" w:line="360" w:lineRule="auto"/>
        <w:ind w:left="454"/>
        <w:rPr>
          <w:rFonts w:hint="eastAsia"/>
        </w:rPr>
      </w:pPr>
      <w:bookmarkStart w:id="74" w:name="_Toc17899961"/>
      <w:bookmarkStart w:id="75" w:name="_Toc481075055"/>
      <w:bookmarkStart w:id="76" w:name="_Toc438646459"/>
      <w:bookmarkStart w:id="77" w:name="_Toc490050009"/>
      <w:bookmarkStart w:id="78" w:name="_Toc512519488"/>
      <w:bookmarkStart w:id="79" w:name="_Toc513295852"/>
      <w:bookmarkStart w:id="80" w:name="_Toc513295900"/>
      <w:r>
        <w:rPr>
          <w:rFonts w:hAnsi="宋体" w:hint="eastAsia"/>
        </w:rPr>
        <w:t>基金经理（或基金经理小组）简</w:t>
      </w:r>
      <w:r>
        <w:rPr>
          <w:rFonts w:hAnsi="宋体" w:hint="eastAsia"/>
        </w:rPr>
        <w:t>介</w:t>
      </w:r>
      <w:bookmarkEnd w:id="74"/>
      <w:bookmarkEnd w:id="75"/>
      <w:bookmarkEnd w:id="76"/>
      <w:bookmarkEnd w:id="77"/>
      <w:bookmarkEnd w:id="78"/>
      <w:bookmarkEnd w:id="79"/>
      <w:bookmarkEnd w:id="80"/>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148199536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napToGrid w:val="0"/>
              <w:jc w:val="center"/>
              <w:rPr>
                <w:rFonts w:hint="eastAsia"/>
              </w:rPr>
            </w:pPr>
            <w:bookmarkStart w:id="81" w:name="m04_02"/>
            <w:bookmarkEnd w:id="8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148199536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7B5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7B5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7B5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7B5D">
            <w:pPr>
              <w:widowControl/>
              <w:jc w:val="left"/>
            </w:pPr>
          </w:p>
        </w:tc>
      </w:tr>
      <w:tr w:rsidR="00000000">
        <w:trPr>
          <w:divId w:val="148199536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吴春</w:t>
            </w:r>
            <w:r>
              <w:rPr>
                <w:rFonts w:ascii="宋体" w:hAnsi="宋体" w:hint="eastAsia"/>
                <w:szCs w:val="24"/>
                <w:lang w:eastAsia="zh-Hans"/>
              </w:rPr>
              <w:t>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2022</w:t>
            </w:r>
            <w:r>
              <w:rPr>
                <w:rFonts w:ascii="宋体" w:hAnsi="宋体" w:hint="eastAsia"/>
                <w:szCs w:val="24"/>
                <w:lang w:eastAsia="zh-Hans"/>
              </w:rPr>
              <w:t>年</w:t>
            </w:r>
            <w:r>
              <w:rPr>
                <w:rFonts w:ascii="宋体" w:hAnsi="宋体" w:hint="eastAsia"/>
                <w:szCs w:val="24"/>
                <w:lang w:eastAsia="zh-Hans"/>
              </w:rPr>
              <w:t>11</w:t>
            </w:r>
            <w:r>
              <w:rPr>
                <w:rFonts w:ascii="宋体" w:hAnsi="宋体" w:hint="eastAsia"/>
                <w:szCs w:val="24"/>
                <w:lang w:eastAsia="zh-Hans"/>
              </w:rPr>
              <w:t>月</w:t>
            </w:r>
            <w:r>
              <w:rPr>
                <w:rFonts w:ascii="宋体" w:hAnsi="宋体" w:hint="eastAsia"/>
                <w:szCs w:val="24"/>
                <w:lang w:eastAsia="zh-Hans"/>
              </w:rPr>
              <w:t>18</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14</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szCs w:val="24"/>
                <w:lang w:eastAsia="zh-Hans"/>
              </w:rPr>
              <w:t>吴春杰女士曾任长江证券股份有限公司宏观策略分析师，中国太平洋人寿保险有限公司资产配置中心配置策略经理，上海景熙资产管理有限公司投资经理</w:t>
            </w:r>
            <w:r>
              <w:rPr>
                <w:rFonts w:ascii="宋体" w:hAnsi="宋体" w:hint="eastAsia"/>
                <w:szCs w:val="24"/>
                <w:lang w:eastAsia="zh-Hans"/>
              </w:rPr>
              <w:t>/</w:t>
            </w:r>
            <w:r>
              <w:rPr>
                <w:rFonts w:ascii="宋体" w:hAnsi="宋体" w:hint="eastAsia"/>
                <w:szCs w:val="24"/>
                <w:lang w:eastAsia="zh-Hans"/>
              </w:rPr>
              <w:t>宏观策略研究。</w:t>
            </w:r>
            <w:r>
              <w:rPr>
                <w:rFonts w:ascii="宋体" w:hAnsi="宋体" w:hint="eastAsia"/>
                <w:szCs w:val="24"/>
                <w:lang w:eastAsia="zh-Hans"/>
              </w:rPr>
              <w:t>2018</w:t>
            </w:r>
            <w:r>
              <w:rPr>
                <w:rFonts w:ascii="宋体" w:hAnsi="宋体" w:hint="eastAsia"/>
                <w:szCs w:val="24"/>
                <w:lang w:eastAsia="zh-Hans"/>
              </w:rPr>
              <w:t>年</w:t>
            </w:r>
            <w:r>
              <w:rPr>
                <w:rFonts w:ascii="宋体" w:hAnsi="宋体" w:hint="eastAsia"/>
                <w:szCs w:val="24"/>
                <w:lang w:eastAsia="zh-Hans"/>
              </w:rPr>
              <w:t>7</w:t>
            </w:r>
            <w:r>
              <w:rPr>
                <w:rFonts w:ascii="宋体" w:hAnsi="宋体" w:hint="eastAsia"/>
                <w:szCs w:val="24"/>
                <w:lang w:eastAsia="zh-Hans"/>
              </w:rPr>
              <w:t>月加入摩根基金管理（中国）有限公司（原上投摩根基金管理有限公司），历任宏观研究员，现任高级基金经理</w:t>
            </w:r>
            <w:r>
              <w:rPr>
                <w:rFonts w:ascii="宋体" w:hAnsi="宋体" w:hint="eastAsia"/>
                <w:szCs w:val="24"/>
                <w:lang w:eastAsia="zh-Hans"/>
              </w:rPr>
              <w:t>。</w:t>
            </w:r>
          </w:p>
        </w:tc>
      </w:tr>
    </w:tbl>
    <w:p w:rsidR="00000000" w:rsidRDefault="001F7B5D">
      <w:pPr>
        <w:wordWrap w:val="0"/>
        <w:spacing w:line="360" w:lineRule="auto"/>
        <w:jc w:val="left"/>
        <w:divId w:val="170687445"/>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w:t>
      </w:r>
      <w:r>
        <w:rPr>
          <w:rFonts w:ascii="宋体" w:hAnsi="宋体" w:hint="eastAsia"/>
          <w:szCs w:val="21"/>
        </w:rPr>
        <w:t>关规定</w:t>
      </w:r>
      <w:r>
        <w:rPr>
          <w:rFonts w:ascii="宋体" w:hAnsi="宋体" w:hint="eastAsia"/>
          <w:szCs w:val="21"/>
        </w:rPr>
        <w:t>。</w:t>
      </w:r>
    </w:p>
    <w:p w:rsidR="00000000" w:rsidRDefault="001F7B5D">
      <w:pPr>
        <w:pStyle w:val="XBRLTitle2"/>
        <w:spacing w:before="156" w:line="360" w:lineRule="auto"/>
        <w:ind w:left="454"/>
      </w:pPr>
      <w:bookmarkStart w:id="82" w:name="_Toc17899962"/>
      <w:bookmarkStart w:id="83" w:name="_Toc481075056"/>
      <w:bookmarkStart w:id="84" w:name="_Toc438646460"/>
      <w:bookmarkStart w:id="85" w:name="_Toc490050010"/>
      <w:bookmarkStart w:id="86" w:name="_Toc512519489"/>
      <w:bookmarkStart w:id="87" w:name="_Toc513295853"/>
      <w:bookmarkStart w:id="88" w:name="_Toc513295901"/>
      <w:bookmarkStart w:id="89" w:name="m402"/>
      <w:r>
        <w:rPr>
          <w:rFonts w:hAnsi="宋体" w:hint="eastAsia"/>
        </w:rPr>
        <w:t>管理人对报告期内本基金运作遵规守信情况的说</w:t>
      </w:r>
      <w:r>
        <w:rPr>
          <w:rFonts w:hAnsi="宋体" w:hint="eastAsia"/>
        </w:rPr>
        <w:t>明</w:t>
      </w:r>
      <w:bookmarkEnd w:id="82"/>
      <w:bookmarkEnd w:id="83"/>
      <w:bookmarkEnd w:id="84"/>
      <w:bookmarkEnd w:id="85"/>
      <w:bookmarkEnd w:id="86"/>
      <w:bookmarkEnd w:id="87"/>
      <w:bookmarkEnd w:id="88"/>
      <w:r>
        <w:rPr>
          <w:rFonts w:hAnsi="宋体" w:hint="eastAsia"/>
        </w:rPr>
        <w:t xml:space="preserve"> </w:t>
      </w:r>
    </w:p>
    <w:p w:rsidR="00000000" w:rsidRDefault="001F7B5D">
      <w:pPr>
        <w:spacing w:line="360" w:lineRule="auto"/>
        <w:ind w:firstLineChars="200" w:firstLine="420"/>
        <w:jc w:val="left"/>
        <w:rPr>
          <w:rFonts w:hint="eastAsia"/>
        </w:rPr>
      </w:pPr>
      <w:bookmarkStart w:id="90" w:name="m403"/>
      <w:bookmarkEnd w:id="8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1F7B5D">
      <w:pPr>
        <w:pStyle w:val="XBRLTitle2"/>
        <w:spacing w:before="156" w:line="360" w:lineRule="auto"/>
        <w:ind w:left="454"/>
      </w:pPr>
      <w:bookmarkStart w:id="91" w:name="_Toc17899963"/>
      <w:bookmarkStart w:id="92" w:name="_Toc481075057"/>
      <w:bookmarkStart w:id="93" w:name="_Toc438646462"/>
      <w:bookmarkStart w:id="94" w:name="_Toc490050011"/>
      <w:bookmarkStart w:id="95" w:name="_Toc512519490"/>
      <w:bookmarkStart w:id="96" w:name="_Toc513295854"/>
      <w:bookmarkStart w:id="97" w:name="_Toc513295902"/>
      <w:bookmarkEnd w:id="90"/>
      <w:r>
        <w:rPr>
          <w:rFonts w:hAnsi="宋体" w:hint="eastAsia"/>
        </w:rPr>
        <w:t>公平交易专项说</w:t>
      </w:r>
      <w:r>
        <w:rPr>
          <w:rFonts w:hAnsi="宋体" w:hint="eastAsia"/>
        </w:rPr>
        <w:t>明</w:t>
      </w:r>
      <w:bookmarkEnd w:id="91"/>
      <w:bookmarkEnd w:id="92"/>
      <w:bookmarkEnd w:id="93"/>
      <w:bookmarkEnd w:id="94"/>
      <w:bookmarkEnd w:id="95"/>
      <w:bookmarkEnd w:id="96"/>
      <w:bookmarkEnd w:id="97"/>
      <w:r>
        <w:rPr>
          <w:rFonts w:hAnsi="宋体" w:hint="eastAsia"/>
        </w:rPr>
        <w:t xml:space="preserve"> </w:t>
      </w:r>
    </w:p>
    <w:p w:rsidR="00000000" w:rsidRDefault="001F7B5D">
      <w:pPr>
        <w:pStyle w:val="XBRLTitle3"/>
        <w:spacing w:before="156"/>
        <w:ind w:left="0"/>
        <w:rPr>
          <w:rFonts w:hint="eastAsia"/>
        </w:rPr>
      </w:pPr>
      <w:bookmarkStart w:id="98" w:name="_Toc17899964"/>
      <w:bookmarkStart w:id="99" w:name="_Toc481075058"/>
      <w:bookmarkStart w:id="100" w:name="_Toc490050012"/>
      <w:bookmarkStart w:id="101" w:name="_Toc512519491"/>
      <w:bookmarkStart w:id="102" w:name="_Toc513295903"/>
      <w:bookmarkStart w:id="103" w:name="m404_01_0570"/>
      <w:r>
        <w:rPr>
          <w:rFonts w:hint="eastAsia"/>
        </w:rPr>
        <w:t>公平交易制度的执行情</w:t>
      </w:r>
      <w:r>
        <w:rPr>
          <w:rFonts w:hint="eastAsia"/>
        </w:rPr>
        <w:t>况</w:t>
      </w:r>
      <w:bookmarkEnd w:id="98"/>
      <w:bookmarkEnd w:id="99"/>
      <w:bookmarkEnd w:id="100"/>
      <w:bookmarkEnd w:id="101"/>
      <w:bookmarkEnd w:id="102"/>
    </w:p>
    <w:p w:rsidR="00000000" w:rsidRDefault="001F7B5D">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w:t>
      </w:r>
      <w:r>
        <w:rPr>
          <w:rFonts w:ascii="宋体" w:hAnsi="宋体" w:cs="宋体" w:hint="eastAsia"/>
          <w:color w:val="000000"/>
          <w:kern w:val="0"/>
        </w:rPr>
        <w:t>资活</w:t>
      </w:r>
      <w:r>
        <w:rPr>
          <w:rFonts w:ascii="宋体" w:hAnsi="宋体" w:cs="宋体" w:hint="eastAsia"/>
          <w:color w:val="000000"/>
          <w:kern w:val="0"/>
        </w:rPr>
        <w:lastRenderedPageBreak/>
        <w:t>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1F7B5D">
      <w:pPr>
        <w:pStyle w:val="XBRLTitle3"/>
        <w:spacing w:before="156"/>
        <w:ind w:left="0"/>
      </w:pPr>
      <w:bookmarkStart w:id="104" w:name="_Toc17899965"/>
      <w:bookmarkStart w:id="105" w:name="_Toc481075059"/>
      <w:bookmarkStart w:id="106" w:name="_Toc490050013"/>
      <w:bookmarkStart w:id="107" w:name="_Toc512519492"/>
      <w:bookmarkStart w:id="108" w:name="_Toc513295904"/>
      <w:bookmarkStart w:id="109" w:name="m404_01_0578"/>
      <w:bookmarkEnd w:id="103"/>
      <w:r>
        <w:rPr>
          <w:rFonts w:hint="eastAsia"/>
        </w:rPr>
        <w:t>异常交易行为的专项说</w:t>
      </w:r>
      <w:r>
        <w:rPr>
          <w:rFonts w:hint="eastAsia"/>
        </w:rPr>
        <w:t>明</w:t>
      </w:r>
      <w:bookmarkEnd w:id="104"/>
      <w:bookmarkEnd w:id="105"/>
      <w:bookmarkEnd w:id="106"/>
      <w:bookmarkEnd w:id="107"/>
      <w:bookmarkEnd w:id="108"/>
    </w:p>
    <w:p w:rsidR="00000000" w:rsidRDefault="001F7B5D">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w:t>
      </w:r>
      <w:r>
        <w:rPr>
          <w:rFonts w:ascii="宋体" w:hAnsi="宋体" w:cs="宋体" w:hint="eastAsia"/>
          <w:color w:val="000000"/>
          <w:kern w:val="0"/>
        </w:rPr>
        <w:t>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1F7B5D">
      <w:pPr>
        <w:pStyle w:val="XBRLTitle2"/>
        <w:spacing w:before="156" w:line="360" w:lineRule="auto"/>
        <w:ind w:left="454"/>
      </w:pPr>
      <w:bookmarkStart w:id="110" w:name="_Toc17899966"/>
      <w:bookmarkStart w:id="111" w:name="_Toc481075061"/>
      <w:bookmarkStart w:id="112" w:name="_Toc490050014"/>
      <w:bookmarkStart w:id="113" w:name="_Toc512519493"/>
      <w:bookmarkStart w:id="114" w:name="_Toc513295855"/>
      <w:bookmarkStart w:id="115" w:name="_Toc513295905"/>
      <w:bookmarkStart w:id="116" w:name="m405_01_2550"/>
      <w:bookmarkEnd w:id="109"/>
      <w:r>
        <w:rPr>
          <w:rFonts w:hAnsi="宋体" w:hint="eastAsia"/>
        </w:rPr>
        <w:t>报告期内基金的投资策略和运作分</w:t>
      </w:r>
      <w:r>
        <w:rPr>
          <w:rFonts w:hAnsi="宋体" w:hint="eastAsia"/>
        </w:rPr>
        <w:t>析</w:t>
      </w:r>
      <w:bookmarkEnd w:id="110"/>
      <w:bookmarkEnd w:id="111"/>
      <w:bookmarkEnd w:id="112"/>
      <w:bookmarkEnd w:id="113"/>
      <w:bookmarkEnd w:id="114"/>
      <w:bookmarkEnd w:id="115"/>
      <w:r>
        <w:rPr>
          <w:rFonts w:hAnsi="宋体" w:hint="eastAsia"/>
        </w:rPr>
        <w:t xml:space="preserve"> </w:t>
      </w:r>
    </w:p>
    <w:p w:rsidR="00000000" w:rsidRDefault="001F7B5D">
      <w:pPr>
        <w:spacing w:line="360" w:lineRule="auto"/>
        <w:ind w:firstLineChars="200" w:firstLine="420"/>
        <w:jc w:val="left"/>
        <w:rPr>
          <w:rFonts w:hint="eastAsia"/>
        </w:rPr>
      </w:pPr>
      <w:r>
        <w:rPr>
          <w:rFonts w:ascii="宋体" w:hAnsi="宋体" w:cs="宋体" w:hint="eastAsia"/>
          <w:color w:val="000000"/>
          <w:kern w:val="0"/>
        </w:rPr>
        <w:t>2025</w:t>
      </w:r>
      <w:r>
        <w:rPr>
          <w:rFonts w:ascii="宋体" w:hAnsi="宋体" w:cs="宋体" w:hint="eastAsia"/>
          <w:color w:val="000000"/>
          <w:kern w:val="0"/>
        </w:rPr>
        <w:t>年一季度，宏观经济运行平稳，国内权益市场总体震荡走平，中证</w:t>
      </w:r>
      <w:r>
        <w:rPr>
          <w:rFonts w:ascii="宋体" w:hAnsi="宋体" w:cs="宋体" w:hint="eastAsia"/>
          <w:color w:val="000000"/>
          <w:kern w:val="0"/>
        </w:rPr>
        <w:t>800</w:t>
      </w:r>
      <w:r>
        <w:rPr>
          <w:rFonts w:ascii="宋体" w:hAnsi="宋体" w:cs="宋体" w:hint="eastAsia"/>
          <w:color w:val="000000"/>
          <w:kern w:val="0"/>
        </w:rPr>
        <w:t>涨跌幅为</w:t>
      </w:r>
      <w:r>
        <w:rPr>
          <w:rFonts w:ascii="宋体" w:hAnsi="宋体" w:cs="宋体" w:hint="eastAsia"/>
          <w:color w:val="000000"/>
          <w:kern w:val="0"/>
        </w:rPr>
        <w:t>-0.3%</w:t>
      </w:r>
      <w:r>
        <w:rPr>
          <w:rFonts w:ascii="宋体" w:hAnsi="宋体" w:cs="宋体" w:hint="eastAsia"/>
          <w:color w:val="000000"/>
          <w:kern w:val="0"/>
        </w:rPr>
        <w:t>；但结构上不乏亮点。春节之后</w:t>
      </w:r>
      <w:r>
        <w:rPr>
          <w:rFonts w:ascii="宋体" w:hAnsi="宋体" w:cs="宋体" w:hint="eastAsia"/>
          <w:color w:val="000000"/>
          <w:kern w:val="0"/>
        </w:rPr>
        <w:t>Deepseek</w:t>
      </w:r>
      <w:r>
        <w:rPr>
          <w:rFonts w:ascii="宋体" w:hAnsi="宋体" w:cs="宋体" w:hint="eastAsia"/>
          <w:color w:val="000000"/>
          <w:kern w:val="0"/>
        </w:rPr>
        <w:t>带动</w:t>
      </w:r>
      <w:r>
        <w:rPr>
          <w:rFonts w:ascii="宋体" w:hAnsi="宋体" w:cs="宋体" w:hint="eastAsia"/>
          <w:color w:val="000000"/>
          <w:kern w:val="0"/>
        </w:rPr>
        <w:t>A</w:t>
      </w:r>
      <w:r>
        <w:rPr>
          <w:rFonts w:ascii="宋体" w:hAnsi="宋体" w:cs="宋体" w:hint="eastAsia"/>
          <w:color w:val="000000"/>
          <w:kern w:val="0"/>
        </w:rPr>
        <w:t>股、港股相关科技股走强，部分周期板块受益于产能去化，医药等消费股在季度末也有所表现。一季度政府债券发行较多，短端流动性小幅偏紧，叠加市场风险偏好上升，国内债券收益率整体上行。一季度，</w:t>
      </w:r>
      <w:r>
        <w:rPr>
          <w:rFonts w:ascii="宋体" w:hAnsi="宋体" w:cs="宋体" w:hint="eastAsia"/>
          <w:color w:val="000000"/>
          <w:kern w:val="0"/>
        </w:rPr>
        <w:t>10</w:t>
      </w:r>
      <w:r>
        <w:rPr>
          <w:rFonts w:ascii="宋体" w:hAnsi="宋体" w:cs="宋体" w:hint="eastAsia"/>
          <w:color w:val="000000"/>
          <w:kern w:val="0"/>
        </w:rPr>
        <w:t>年期国债收益率上行</w:t>
      </w:r>
      <w:r>
        <w:rPr>
          <w:rFonts w:ascii="宋体" w:hAnsi="宋体" w:cs="宋体" w:hint="eastAsia"/>
          <w:color w:val="000000"/>
          <w:kern w:val="0"/>
        </w:rPr>
        <w:t>14BP</w:t>
      </w:r>
      <w:r>
        <w:rPr>
          <w:rFonts w:ascii="宋体" w:hAnsi="宋体" w:cs="宋体" w:hint="eastAsia"/>
          <w:color w:val="000000"/>
          <w:kern w:val="0"/>
        </w:rPr>
        <w:t>至</w:t>
      </w:r>
      <w:r>
        <w:rPr>
          <w:rFonts w:ascii="宋体" w:hAnsi="宋体" w:cs="宋体" w:hint="eastAsia"/>
          <w:color w:val="000000"/>
          <w:kern w:val="0"/>
        </w:rPr>
        <w:t>1.81%</w:t>
      </w:r>
      <w:r>
        <w:rPr>
          <w:rFonts w:ascii="宋体" w:hAnsi="宋体" w:cs="宋体" w:hint="eastAsia"/>
          <w:color w:val="000000"/>
          <w:kern w:val="0"/>
        </w:rPr>
        <w:t>，曲线走平。</w:t>
      </w:r>
      <w:r>
        <w:rPr>
          <w:rFonts w:ascii="宋体" w:hAnsi="宋体" w:cs="宋体" w:hint="eastAsia"/>
          <w:color w:val="000000"/>
          <w:kern w:val="0"/>
        </w:rPr>
        <w:br/>
      </w:r>
      <w:r>
        <w:rPr>
          <w:rFonts w:ascii="宋体" w:hAnsi="宋体" w:cs="宋体" w:hint="eastAsia"/>
          <w:color w:val="000000"/>
          <w:kern w:val="0"/>
        </w:rPr>
        <w:t xml:space="preserve">　　海外方面，美股先涨后跌，标普</w:t>
      </w:r>
      <w:r>
        <w:rPr>
          <w:rFonts w:ascii="宋体" w:hAnsi="宋体" w:cs="宋体" w:hint="eastAsia"/>
          <w:color w:val="000000"/>
          <w:kern w:val="0"/>
        </w:rPr>
        <w:t>5</w:t>
      </w:r>
      <w:r>
        <w:rPr>
          <w:rFonts w:ascii="宋体" w:hAnsi="宋体" w:cs="宋体" w:hint="eastAsia"/>
          <w:color w:val="000000"/>
          <w:kern w:val="0"/>
        </w:rPr>
        <w:t>00</w:t>
      </w:r>
      <w:r>
        <w:rPr>
          <w:rFonts w:ascii="宋体" w:hAnsi="宋体" w:cs="宋体" w:hint="eastAsia"/>
          <w:color w:val="000000"/>
          <w:kern w:val="0"/>
        </w:rPr>
        <w:t>指数区间涨跌幅为</w:t>
      </w:r>
      <w:r>
        <w:rPr>
          <w:rFonts w:ascii="宋体" w:hAnsi="宋体" w:cs="宋体" w:hint="eastAsia"/>
          <w:color w:val="000000"/>
          <w:kern w:val="0"/>
        </w:rPr>
        <w:t>-4.6%</w:t>
      </w:r>
      <w:r>
        <w:rPr>
          <w:rFonts w:ascii="宋体" w:hAnsi="宋体" w:cs="宋体" w:hint="eastAsia"/>
          <w:color w:val="000000"/>
          <w:kern w:val="0"/>
        </w:rPr>
        <w:t>。进入</w:t>
      </w:r>
      <w:r>
        <w:rPr>
          <w:rFonts w:ascii="宋体" w:hAnsi="宋体" w:cs="宋体" w:hint="eastAsia"/>
          <w:color w:val="000000"/>
          <w:kern w:val="0"/>
        </w:rPr>
        <w:t>2</w:t>
      </w:r>
      <w:r>
        <w:rPr>
          <w:rFonts w:ascii="宋体" w:hAnsi="宋体" w:cs="宋体" w:hint="eastAsia"/>
          <w:color w:val="000000"/>
          <w:kern w:val="0"/>
        </w:rPr>
        <w:t>月中旬，美国对贸易伙伴的加征关税政策开始逐步落地，经济前景的不确定性上升，市场风险偏好回落。德国财政扩张计划逐步提上日程，欧元区股市表现明显强于美国，德国</w:t>
      </w:r>
      <w:r>
        <w:rPr>
          <w:rFonts w:ascii="宋体" w:hAnsi="宋体" w:cs="宋体" w:hint="eastAsia"/>
          <w:color w:val="000000"/>
          <w:kern w:val="0"/>
        </w:rPr>
        <w:t>DAX</w:t>
      </w:r>
      <w:r>
        <w:rPr>
          <w:rFonts w:ascii="宋体" w:hAnsi="宋体" w:cs="宋体" w:hint="eastAsia"/>
          <w:color w:val="000000"/>
          <w:kern w:val="0"/>
        </w:rPr>
        <w:t>指数一季度涨幅超过</w:t>
      </w:r>
      <w:r>
        <w:rPr>
          <w:rFonts w:ascii="宋体" w:hAnsi="宋体" w:cs="宋体" w:hint="eastAsia"/>
          <w:color w:val="000000"/>
          <w:kern w:val="0"/>
        </w:rPr>
        <w:t>10%</w:t>
      </w:r>
      <w:r>
        <w:rPr>
          <w:rFonts w:ascii="宋体" w:hAnsi="宋体" w:cs="宋体" w:hint="eastAsia"/>
          <w:color w:val="000000"/>
          <w:kern w:val="0"/>
        </w:rPr>
        <w:t>。美债方面，美国消费者信心走弱，市场对美联储年内降息预期升温，</w:t>
      </w:r>
      <w:r>
        <w:rPr>
          <w:rFonts w:ascii="宋体" w:hAnsi="宋体" w:cs="宋体" w:hint="eastAsia"/>
          <w:color w:val="000000"/>
          <w:kern w:val="0"/>
        </w:rPr>
        <w:t>10</w:t>
      </w:r>
      <w:r>
        <w:rPr>
          <w:rFonts w:ascii="宋体" w:hAnsi="宋体" w:cs="宋体" w:hint="eastAsia"/>
          <w:color w:val="000000"/>
          <w:kern w:val="0"/>
        </w:rPr>
        <w:t>年期美债收益率一季度下行</w:t>
      </w:r>
      <w:r>
        <w:rPr>
          <w:rFonts w:ascii="宋体" w:hAnsi="宋体" w:cs="宋体" w:hint="eastAsia"/>
          <w:color w:val="000000"/>
          <w:kern w:val="0"/>
        </w:rPr>
        <w:t>35BP</w:t>
      </w:r>
      <w:r>
        <w:rPr>
          <w:rFonts w:ascii="宋体" w:hAnsi="宋体" w:cs="宋体" w:hint="eastAsia"/>
          <w:color w:val="000000"/>
          <w:kern w:val="0"/>
        </w:rPr>
        <w:t>至</w:t>
      </w:r>
      <w:r>
        <w:rPr>
          <w:rFonts w:ascii="宋体" w:hAnsi="宋体" w:cs="宋体" w:hint="eastAsia"/>
          <w:color w:val="000000"/>
          <w:kern w:val="0"/>
        </w:rPr>
        <w:t>4.23%</w:t>
      </w:r>
      <w:r>
        <w:rPr>
          <w:rFonts w:ascii="宋体" w:hAnsi="宋体" w:cs="宋体" w:hint="eastAsia"/>
          <w:color w:val="000000"/>
          <w:kern w:val="0"/>
        </w:rPr>
        <w:t>。</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回顾基金在一季度的操作，大类资产配置上对高风险资产维持中性到超配区间操作，超配港股为主，</w:t>
      </w:r>
      <w:r>
        <w:rPr>
          <w:rFonts w:ascii="宋体" w:hAnsi="宋体" w:cs="宋体" w:hint="eastAsia"/>
          <w:color w:val="000000"/>
          <w:kern w:val="0"/>
        </w:rPr>
        <w:t>3</w:t>
      </w:r>
      <w:r>
        <w:rPr>
          <w:rFonts w:ascii="宋体" w:hAnsi="宋体" w:cs="宋体" w:hint="eastAsia"/>
          <w:color w:val="000000"/>
          <w:kern w:val="0"/>
        </w:rPr>
        <w:t>月份考虑美国关税政策扰动，小幅降低组合的风险敞口。债券基金部分，组合久期偏低，配</w:t>
      </w:r>
      <w:r>
        <w:rPr>
          <w:rFonts w:ascii="宋体" w:hAnsi="宋体" w:cs="宋体" w:hint="eastAsia"/>
          <w:color w:val="000000"/>
          <w:kern w:val="0"/>
        </w:rPr>
        <w:t>置部分二级债基与可转债基金。在基金选择上，结合定量与定性的研究，优选长期有超额收益的基金标的。产品在运作期间，围绕投资目标，动态调整、优化组合配置结构。</w:t>
      </w:r>
      <w:r>
        <w:rPr>
          <w:rFonts w:ascii="宋体" w:hAnsi="宋体" w:cs="宋体" w:hint="eastAsia"/>
          <w:color w:val="000000"/>
          <w:kern w:val="0"/>
        </w:rPr>
        <w:br/>
      </w:r>
      <w:r>
        <w:rPr>
          <w:rFonts w:ascii="宋体" w:hAnsi="宋体" w:cs="宋体" w:hint="eastAsia"/>
          <w:color w:val="000000"/>
          <w:kern w:val="0"/>
        </w:rPr>
        <w:t xml:space="preserve">　　展望后市，两会明确的全年经济工作目标符合预期，财政、货币等宏观经济政策延续去年</w:t>
      </w:r>
      <w:r>
        <w:rPr>
          <w:rFonts w:ascii="宋体" w:hAnsi="宋体" w:cs="宋体" w:hint="eastAsia"/>
          <w:color w:val="000000"/>
          <w:kern w:val="0"/>
        </w:rPr>
        <w:t>9.24</w:t>
      </w:r>
      <w:r>
        <w:rPr>
          <w:rFonts w:ascii="宋体" w:hAnsi="宋体" w:cs="宋体" w:hint="eastAsia"/>
          <w:color w:val="000000"/>
          <w:kern w:val="0"/>
        </w:rPr>
        <w:t>以来的基调，对于稳定经济运行与资本市场信心的效果依然可以期待。目前，我们对高风险资产延续中性偏积极的看法。国内权益方面，继续关注消费、科技方向，包括促消费行动方案相关政策落地的效果、</w:t>
      </w:r>
      <w:r>
        <w:rPr>
          <w:rFonts w:ascii="宋体" w:hAnsi="宋体" w:cs="宋体" w:hint="eastAsia"/>
          <w:color w:val="000000"/>
          <w:kern w:val="0"/>
        </w:rPr>
        <w:t>AI</w:t>
      </w:r>
      <w:r>
        <w:rPr>
          <w:rFonts w:ascii="宋体" w:hAnsi="宋体" w:cs="宋体" w:hint="eastAsia"/>
          <w:color w:val="000000"/>
          <w:kern w:val="0"/>
        </w:rPr>
        <w:t>应用落地等产业机会。港股方面，上市公司盈利增长与国内经济复苏</w:t>
      </w:r>
      <w:r>
        <w:rPr>
          <w:rFonts w:ascii="宋体" w:hAnsi="宋体" w:cs="宋体" w:hint="eastAsia"/>
          <w:color w:val="000000"/>
          <w:kern w:val="0"/>
        </w:rPr>
        <w:lastRenderedPageBreak/>
        <w:t>密切相关，同时估值受益</w:t>
      </w:r>
      <w:r>
        <w:rPr>
          <w:rFonts w:ascii="宋体" w:hAnsi="宋体" w:cs="宋体" w:hint="eastAsia"/>
          <w:color w:val="000000"/>
          <w:kern w:val="0"/>
        </w:rPr>
        <w:t>于美债收益率下行，港股未来有望受益于国内经济的企稳回升、科技创新增强与美联储降息周期的延续。国内债券方面，一季度债券收益率的反弹已反映了对经济增长预期、货币政策节奏预期的修正，债券收益率逐步回到更为合理的水平。后续债市潜在的扰动因素主要来自于国内经济基本面的恢复，包括持续低迷的价格指标能否寻得底部；潜在的积极因素，主要来自于外部中美利差制约的减少，目前市场定价美联储年内降息次数有所上调。考虑到两方面因素尚未明朗，仍需一定的时间确认趋势，二季度组合在债券基金的部分仍以关注中短债策略为主</w:t>
      </w:r>
      <w:r>
        <w:rPr>
          <w:rFonts w:ascii="宋体" w:hAnsi="宋体" w:cs="宋体" w:hint="eastAsia"/>
          <w:color w:val="000000"/>
          <w:kern w:val="0"/>
        </w:rPr>
        <w:t>。</w:t>
      </w:r>
    </w:p>
    <w:p w:rsidR="00000000" w:rsidRDefault="001F7B5D">
      <w:pPr>
        <w:pStyle w:val="XBRLTitle2"/>
        <w:spacing w:before="156" w:line="360" w:lineRule="auto"/>
        <w:ind w:left="454"/>
      </w:pPr>
      <w:bookmarkStart w:id="117" w:name="_Toc17899967"/>
      <w:bookmarkStart w:id="118" w:name="_Toc490050015"/>
      <w:bookmarkStart w:id="119" w:name="_Toc481075062"/>
      <w:bookmarkStart w:id="120" w:name="_Toc512519494"/>
      <w:bookmarkStart w:id="121" w:name="_Toc513295856"/>
      <w:bookmarkStart w:id="122" w:name="_Toc513295906"/>
      <w:bookmarkStart w:id="123" w:name="m405_01_2549"/>
      <w:bookmarkEnd w:id="116"/>
      <w:r>
        <w:rPr>
          <w:rFonts w:hAnsi="宋体" w:hint="eastAsia"/>
        </w:rPr>
        <w:t>报告期内基金的业绩表</w:t>
      </w:r>
      <w:r>
        <w:rPr>
          <w:rFonts w:hAnsi="宋体" w:hint="eastAsia"/>
        </w:rPr>
        <w:t>现</w:t>
      </w:r>
      <w:bookmarkEnd w:id="117"/>
      <w:bookmarkEnd w:id="118"/>
      <w:bookmarkEnd w:id="119"/>
      <w:bookmarkEnd w:id="120"/>
      <w:bookmarkEnd w:id="121"/>
      <w:bookmarkEnd w:id="122"/>
      <w:r>
        <w:rPr>
          <w:rFonts w:hAnsi="宋体" w:hint="eastAsia"/>
        </w:rPr>
        <w:t xml:space="preserve"> </w:t>
      </w:r>
      <w:bookmarkEnd w:id="123"/>
    </w:p>
    <w:p w:rsidR="00000000" w:rsidRDefault="001F7B5D">
      <w:pPr>
        <w:spacing w:line="360" w:lineRule="auto"/>
        <w:ind w:firstLineChars="200" w:firstLine="420"/>
        <w:rPr>
          <w:rFonts w:hint="eastAsia"/>
        </w:rPr>
      </w:pPr>
      <w:r>
        <w:rPr>
          <w:rFonts w:ascii="宋体" w:hAnsi="宋体" w:hint="eastAsia"/>
        </w:rPr>
        <w:t>本报告期摩根锦程均衡养老三年持有混合</w:t>
      </w:r>
      <w:r>
        <w:rPr>
          <w:rFonts w:ascii="宋体" w:hAnsi="宋体" w:hint="eastAsia"/>
        </w:rPr>
        <w:t>(FOF)A</w:t>
      </w:r>
      <w:r>
        <w:rPr>
          <w:rFonts w:ascii="宋体" w:hAnsi="宋体" w:hint="eastAsia"/>
        </w:rPr>
        <w:t>份额净值增长率为：</w:t>
      </w:r>
      <w:r>
        <w:rPr>
          <w:rFonts w:ascii="宋体" w:hAnsi="宋体" w:hint="eastAsia"/>
        </w:rPr>
        <w:t>1.94%</w:t>
      </w:r>
      <w:r>
        <w:rPr>
          <w:rFonts w:ascii="宋体" w:hAnsi="宋体" w:hint="eastAsia"/>
        </w:rPr>
        <w:t>，同期业绩比较基准收益率为：</w:t>
      </w:r>
      <w:r>
        <w:rPr>
          <w:rFonts w:ascii="宋体" w:hAnsi="宋体" w:hint="eastAsia"/>
        </w:rPr>
        <w:t>-0.42%</w:t>
      </w:r>
      <w:r>
        <w:rPr>
          <w:rFonts w:ascii="宋体" w:hAnsi="宋体" w:hint="eastAsia"/>
        </w:rPr>
        <w:t>；</w:t>
      </w:r>
      <w:r>
        <w:rPr>
          <w:rFonts w:ascii="宋体" w:hAnsi="宋体" w:hint="eastAsia"/>
        </w:rPr>
        <w:br/>
      </w:r>
      <w:r>
        <w:rPr>
          <w:rFonts w:ascii="宋体" w:hAnsi="宋体" w:hint="eastAsia"/>
        </w:rPr>
        <w:t xml:space="preserve">　　摩根锦程均衡养老三年持有混合</w:t>
      </w:r>
      <w:r>
        <w:rPr>
          <w:rFonts w:ascii="宋体" w:hAnsi="宋体" w:hint="eastAsia"/>
        </w:rPr>
        <w:t>(FOF)Y</w:t>
      </w:r>
      <w:r>
        <w:rPr>
          <w:rFonts w:ascii="宋体" w:hAnsi="宋体" w:hint="eastAsia"/>
        </w:rPr>
        <w:t>份额净值增长率为：</w:t>
      </w:r>
      <w:r>
        <w:rPr>
          <w:rFonts w:ascii="宋体" w:hAnsi="宋体" w:hint="eastAsia"/>
        </w:rPr>
        <w:t>2.03%</w:t>
      </w:r>
      <w:r>
        <w:rPr>
          <w:rFonts w:ascii="宋体" w:hAnsi="宋体" w:hint="eastAsia"/>
        </w:rPr>
        <w:t>，同期业绩比较基准收益率为：</w:t>
      </w:r>
      <w:r>
        <w:rPr>
          <w:rFonts w:ascii="宋体" w:hAnsi="宋体" w:hint="eastAsia"/>
        </w:rPr>
        <w:t>-0.42%</w:t>
      </w:r>
      <w:r>
        <w:rPr>
          <w:rFonts w:ascii="宋体" w:hAnsi="宋体" w:hint="eastAsia"/>
        </w:rPr>
        <w:t>。</w:t>
      </w:r>
    </w:p>
    <w:p w:rsidR="00000000" w:rsidRDefault="001F7B5D">
      <w:pPr>
        <w:pStyle w:val="XBRLTitle2"/>
        <w:spacing w:before="156" w:line="360" w:lineRule="auto"/>
        <w:ind w:left="454"/>
      </w:pPr>
      <w:bookmarkStart w:id="124" w:name="m406"/>
      <w:bookmarkStart w:id="125" w:name="_Toc17899968"/>
      <w:bookmarkStart w:id="126" w:name="_Toc490050016"/>
      <w:bookmarkStart w:id="127" w:name="_Toc481075063"/>
      <w:bookmarkStart w:id="128" w:name="_Toc438646465"/>
      <w:bookmarkStart w:id="129" w:name="_Toc512519495"/>
      <w:bookmarkStart w:id="130" w:name="_Toc513295857"/>
      <w:bookmarkStart w:id="131" w:name="_Toc513295907"/>
      <w:bookmarkStart w:id="132" w:name="m407"/>
      <w:bookmarkEnd w:id="124"/>
      <w:r>
        <w:rPr>
          <w:rFonts w:hAnsi="宋体" w:hint="eastAsia"/>
        </w:rPr>
        <w:t>报告期内基金持有人数或基金资产净值预警说</w:t>
      </w:r>
      <w:r>
        <w:rPr>
          <w:rFonts w:hAnsi="宋体" w:hint="eastAsia"/>
        </w:rPr>
        <w:t>明</w:t>
      </w:r>
      <w:bookmarkEnd w:id="125"/>
      <w:bookmarkEnd w:id="126"/>
      <w:bookmarkEnd w:id="127"/>
      <w:bookmarkEnd w:id="128"/>
      <w:bookmarkEnd w:id="129"/>
      <w:bookmarkEnd w:id="130"/>
      <w:bookmarkEnd w:id="131"/>
      <w:r>
        <w:rPr>
          <w:rFonts w:hAnsi="宋体" w:hint="eastAsia"/>
        </w:rPr>
        <w:t xml:space="preserve"> </w:t>
      </w:r>
    </w:p>
    <w:p w:rsidR="00000000" w:rsidRDefault="001F7B5D">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1F7B5D">
      <w:pPr>
        <w:pStyle w:val="XBRLTitle1"/>
        <w:spacing w:before="156" w:line="360" w:lineRule="auto"/>
        <w:ind w:left="425"/>
      </w:pPr>
      <w:bookmarkStart w:id="133" w:name="_Toc17899969"/>
      <w:bookmarkStart w:id="134" w:name="_Toc512519496"/>
      <w:bookmarkStart w:id="135" w:name="_Toc481075064"/>
      <w:bookmarkStart w:id="136" w:name="_Toc438646466"/>
      <w:bookmarkStart w:id="137" w:name="_Toc490050017"/>
      <w:bookmarkStart w:id="138" w:name="_Toc513295858"/>
      <w:bookmarkStart w:id="139" w:name="_Toc513295908"/>
      <w:bookmarkEnd w:id="132"/>
      <w:r>
        <w:rPr>
          <w:rFonts w:hAnsi="宋体" w:hint="eastAsia"/>
        </w:rPr>
        <w:t>投资组合报</w:t>
      </w:r>
      <w:r>
        <w:rPr>
          <w:rFonts w:hAnsi="宋体" w:hint="eastAsia"/>
        </w:rPr>
        <w:t>告</w:t>
      </w:r>
      <w:bookmarkEnd w:id="133"/>
      <w:bookmarkEnd w:id="134"/>
      <w:bookmarkEnd w:id="135"/>
      <w:bookmarkEnd w:id="136"/>
      <w:bookmarkEnd w:id="137"/>
      <w:bookmarkEnd w:id="138"/>
      <w:bookmarkEnd w:id="139"/>
      <w:r>
        <w:rPr>
          <w:rFonts w:hAnsi="宋体" w:hint="eastAsia"/>
        </w:rPr>
        <w:t xml:space="preserve"> </w:t>
      </w:r>
    </w:p>
    <w:p w:rsidR="00000000" w:rsidRDefault="001F7B5D">
      <w:pPr>
        <w:pStyle w:val="XBRLTitle2"/>
        <w:spacing w:before="156" w:line="360" w:lineRule="auto"/>
        <w:ind w:left="454"/>
        <w:rPr>
          <w:rFonts w:hint="eastAsia"/>
        </w:rPr>
      </w:pPr>
      <w:bookmarkStart w:id="140" w:name="_Toc17899970"/>
      <w:bookmarkStart w:id="141" w:name="_Toc481075065"/>
      <w:bookmarkStart w:id="142" w:name="_Toc438646467"/>
      <w:bookmarkStart w:id="143" w:name="_Toc490050018"/>
      <w:bookmarkStart w:id="144" w:name="_Toc512519497"/>
      <w:bookmarkStart w:id="145" w:name="_Toc513295859"/>
      <w:bookmarkStart w:id="146" w:name="_Toc513295909"/>
      <w:bookmarkStart w:id="147" w:name="m501"/>
      <w:r>
        <w:rPr>
          <w:rFonts w:hAnsi="宋体" w:hint="eastAsia"/>
        </w:rPr>
        <w:t>报告期末基金资产组合情</w:t>
      </w:r>
      <w:r>
        <w:rPr>
          <w:rFonts w:hAnsi="宋体" w:hint="eastAsia"/>
        </w:rPr>
        <w:t>况</w:t>
      </w:r>
      <w:bookmarkEnd w:id="140"/>
      <w:bookmarkEnd w:id="141"/>
      <w:bookmarkEnd w:id="142"/>
      <w:bookmarkEnd w:id="143"/>
      <w:bookmarkEnd w:id="144"/>
      <w:bookmarkEnd w:id="145"/>
      <w:bookmarkEnd w:id="146"/>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rPr>
                <w:rFonts w:hint="eastAsia"/>
              </w:rPr>
            </w:pPr>
            <w:bookmarkStart w:id="148" w:name="m08QD_01_tab"/>
            <w:bookmarkEnd w:id="148"/>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119,339,660.0</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88.7</w:t>
            </w:r>
            <w:r>
              <w:rPr>
                <w:rFonts w:ascii="宋体" w:hAnsi="宋体" w:hint="eastAsia"/>
                <w:szCs w:val="24"/>
                <w:lang w:eastAsia="zh-Hans"/>
              </w:rPr>
              <w:t>7</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7,671,713.9</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5.7</w:t>
            </w:r>
            <w:r>
              <w:rPr>
                <w:rFonts w:ascii="宋体" w:hAnsi="宋体" w:hint="eastAsia"/>
                <w:szCs w:val="24"/>
                <w:lang w:eastAsia="zh-Hans"/>
              </w:rPr>
              <w:t>1</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7,671,713.9</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5.7</w:t>
            </w:r>
            <w:r>
              <w:rPr>
                <w:rFonts w:ascii="宋体" w:hAnsi="宋体" w:hint="eastAsia"/>
                <w:szCs w:val="24"/>
                <w:lang w:eastAsia="zh-Hans"/>
              </w:rPr>
              <w:t>1</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5,000,000.0</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3.7</w:t>
            </w:r>
            <w:r>
              <w:rPr>
                <w:rFonts w:ascii="宋体" w:hAnsi="宋体" w:hint="eastAsia"/>
                <w:szCs w:val="24"/>
                <w:lang w:eastAsia="zh-Hans"/>
              </w:rPr>
              <w:t>2</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2,246,211.1</w:t>
            </w:r>
            <w:r>
              <w:rPr>
                <w:rFonts w:ascii="宋体" w:hAnsi="宋体" w:hint="eastAsia"/>
                <w:szCs w:val="24"/>
                <w:lang w:eastAsia="zh-Hans"/>
              </w:rPr>
              <w:t>6</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1.6</w:t>
            </w:r>
            <w:r>
              <w:rPr>
                <w:rFonts w:ascii="宋体" w:hAnsi="宋体" w:hint="eastAsia"/>
                <w:szCs w:val="24"/>
                <w:lang w:eastAsia="zh-Hans"/>
              </w:rPr>
              <w:t>7</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177,075.2</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0.1</w:t>
            </w:r>
            <w:r>
              <w:rPr>
                <w:rFonts w:ascii="宋体" w:hAnsi="宋体" w:hint="eastAsia"/>
                <w:szCs w:val="24"/>
                <w:lang w:eastAsia="zh-Hans"/>
              </w:rPr>
              <w:t>3</w:t>
            </w:r>
          </w:p>
        </w:tc>
      </w:tr>
      <w:tr w:rsidR="00000000">
        <w:trPr>
          <w:divId w:val="2029132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1F7B5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134,434,660.3</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1F7B5D">
      <w:pPr>
        <w:pStyle w:val="XBRLTitle2"/>
        <w:spacing w:before="156" w:line="360" w:lineRule="auto"/>
        <w:ind w:left="454"/>
      </w:pPr>
      <w:bookmarkStart w:id="149" w:name="_Toc17899971"/>
      <w:bookmarkStart w:id="150" w:name="_Toc512519498"/>
      <w:bookmarkStart w:id="151" w:name="_Toc481075066"/>
      <w:bookmarkStart w:id="152" w:name="_Toc438646468"/>
      <w:bookmarkStart w:id="153" w:name="_Toc490050019"/>
      <w:bookmarkStart w:id="154" w:name="_Toc513295860"/>
      <w:bookmarkStart w:id="155" w:name="_Toc513295910"/>
      <w:bookmarkEnd w:id="147"/>
      <w:r>
        <w:rPr>
          <w:rFonts w:hAnsi="宋体" w:hint="eastAsia"/>
        </w:rPr>
        <w:t>报告期末按行业分类的股票投资组</w:t>
      </w:r>
      <w:r>
        <w:rPr>
          <w:rFonts w:hAnsi="宋体" w:hint="eastAsia"/>
        </w:rPr>
        <w:t>合</w:t>
      </w:r>
      <w:bookmarkEnd w:id="149"/>
      <w:bookmarkEnd w:id="150"/>
      <w:bookmarkEnd w:id="151"/>
      <w:bookmarkEnd w:id="152"/>
      <w:bookmarkEnd w:id="153"/>
      <w:bookmarkEnd w:id="154"/>
      <w:bookmarkEnd w:id="155"/>
      <w:r>
        <w:rPr>
          <w:rFonts w:hAnsi="宋体" w:hint="eastAsia"/>
          <w:lang w:eastAsia="zh-CN"/>
        </w:rPr>
        <w:t xml:space="preserve"> </w:t>
      </w:r>
    </w:p>
    <w:p w:rsidR="00000000" w:rsidRDefault="001F7B5D">
      <w:pPr>
        <w:pStyle w:val="XBRLTitle3"/>
        <w:spacing w:before="156"/>
        <w:ind w:left="0"/>
        <w:rPr>
          <w:rFonts w:hint="eastAsia"/>
        </w:rPr>
      </w:pPr>
      <w:bookmarkStart w:id="156" w:name="_Toc17899972"/>
      <w:bookmarkStart w:id="157" w:name="_Toc481075067"/>
      <w:bookmarkStart w:id="158" w:name="_Toc490050020"/>
      <w:bookmarkStart w:id="159" w:name="_Toc512519499"/>
      <w:bookmarkStart w:id="160" w:name="_Toc513295911"/>
      <w:r>
        <w:rPr>
          <w:rFonts w:hint="eastAsia"/>
        </w:rPr>
        <w:t>报告期末按行业分类的境内股票投资组</w:t>
      </w:r>
      <w:r>
        <w:rPr>
          <w:rFonts w:hint="eastAsia"/>
        </w:rPr>
        <w:t>合</w:t>
      </w:r>
      <w:bookmarkEnd w:id="156"/>
      <w:r>
        <w:rPr>
          <w:rFonts w:hint="eastAsia"/>
          <w:lang w:eastAsia="zh-CN"/>
        </w:rPr>
        <w:t xml:space="preserve"> </w:t>
      </w:r>
    </w:p>
    <w:p w:rsidR="00000000" w:rsidRDefault="001F7B5D">
      <w:pPr>
        <w:spacing w:line="360" w:lineRule="auto"/>
        <w:ind w:firstLineChars="200" w:firstLine="420"/>
        <w:divId w:val="1309940486"/>
        <w:rPr>
          <w:rFonts w:hint="eastAsia"/>
        </w:rPr>
      </w:pPr>
      <w:r>
        <w:rPr>
          <w:rFonts w:ascii="宋体" w:hAnsi="宋体" w:hint="eastAsia"/>
          <w:szCs w:val="21"/>
          <w:lang w:eastAsia="zh-Hans"/>
        </w:rPr>
        <w:t>本基金本报告期末未持有境内股票</w:t>
      </w:r>
      <w:r>
        <w:rPr>
          <w:rFonts w:ascii="宋体" w:hAnsi="宋体" w:hint="eastAsia"/>
          <w:szCs w:val="21"/>
          <w:lang w:eastAsia="zh-Hans"/>
        </w:rPr>
        <w:t>。</w:t>
      </w:r>
    </w:p>
    <w:p w:rsidR="00000000" w:rsidRDefault="001F7B5D">
      <w:pPr>
        <w:pStyle w:val="XBRLTitle3"/>
        <w:spacing w:before="156"/>
        <w:ind w:left="0"/>
      </w:pPr>
      <w:bookmarkStart w:id="161" w:name="_Toc17899973"/>
      <w:bookmarkStart w:id="162" w:name="m502_tab"/>
      <w:bookmarkStart w:id="163" w:name="_Toc481075068"/>
      <w:bookmarkStart w:id="164" w:name="_Toc490050021"/>
      <w:bookmarkStart w:id="165" w:name="_Toc512519500"/>
      <w:bookmarkStart w:id="166" w:name="_Toc513295912"/>
      <w:r>
        <w:rPr>
          <w:rFonts w:hint="eastAsia"/>
        </w:rPr>
        <w:t>报告期末按行业分类的港股通投资股票投资组</w:t>
      </w:r>
      <w:r>
        <w:rPr>
          <w:rFonts w:hint="eastAsia"/>
        </w:rPr>
        <w:t>合</w:t>
      </w:r>
      <w:bookmarkEnd w:id="161"/>
      <w:r>
        <w:rPr>
          <w:rFonts w:hint="eastAsia"/>
          <w:szCs w:val="24"/>
        </w:rPr>
        <w:t xml:space="preserve"> </w:t>
      </w:r>
    </w:p>
    <w:p w:rsidR="00000000" w:rsidRDefault="001F7B5D">
      <w:pPr>
        <w:spacing w:line="360" w:lineRule="auto"/>
        <w:ind w:firstLineChars="200" w:firstLine="420"/>
        <w:divId w:val="1364091862"/>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1F7B5D">
      <w:pPr>
        <w:pStyle w:val="XBRLTitle2"/>
        <w:spacing w:before="156"/>
        <w:ind w:left="454"/>
      </w:pPr>
      <w:bookmarkStart w:id="167" w:name="_Toc178982961"/>
      <w:bookmarkStart w:id="168" w:name="_Toc17897958"/>
      <w:bookmarkStart w:id="169" w:name="_Toc485300375"/>
      <w:bookmarkStart w:id="170" w:name="_Toc453852755"/>
      <w:bookmarkStart w:id="171" w:name="_Toc452398761"/>
      <w:bookmarkStart w:id="172" w:name="_Toc454983410"/>
      <w:bookmarkStart w:id="173" w:name="_Toc497398255"/>
      <w:bookmarkStart w:id="174" w:name="_Toc506208451"/>
      <w:bookmarkStart w:id="175" w:name="m08QD_10"/>
      <w:r>
        <w:rPr>
          <w:rFonts w:hint="eastAsia"/>
        </w:rPr>
        <w:t>期末按公允价值占基金资产净值比例大小排序的股票投资明</w:t>
      </w:r>
      <w:r>
        <w:rPr>
          <w:rFonts w:hint="eastAsia"/>
        </w:rPr>
        <w:t>细</w:t>
      </w:r>
      <w:bookmarkEnd w:id="167"/>
      <w:bookmarkEnd w:id="168"/>
    </w:p>
    <w:p w:rsidR="00000000" w:rsidRDefault="001F7B5D">
      <w:pPr>
        <w:pStyle w:val="XBRLTitle3"/>
        <w:spacing w:before="156"/>
        <w:ind w:left="0"/>
        <w:rPr>
          <w:rFonts w:hint="eastAsia"/>
        </w:rPr>
      </w:pPr>
      <w:bookmarkStart w:id="176" w:name="_Toc178982962"/>
      <w:bookmarkStart w:id="177" w:name="_Toc485300376"/>
      <w:bookmarkStart w:id="178" w:name="_Toc497398256"/>
      <w:bookmarkStart w:id="179" w:name="_Toc453852756"/>
      <w:bookmarkStart w:id="180" w:name="_Toc454983411"/>
      <w:r>
        <w:rPr>
          <w:rFonts w:hAnsi="宋体" w:hint="eastAsia"/>
        </w:rPr>
        <w:t>报告期末按公允价值占基金资产净值比例大小排序的前十名股票投资明</w:t>
      </w:r>
      <w:r>
        <w:rPr>
          <w:rFonts w:hAnsi="宋体" w:hint="eastAsia"/>
        </w:rPr>
        <w:t>细</w:t>
      </w:r>
      <w:bookmarkEnd w:id="176"/>
      <w:bookmarkEnd w:id="177"/>
      <w:bookmarkEnd w:id="178"/>
      <w:bookmarkEnd w:id="179"/>
      <w:bookmarkEnd w:id="180"/>
    </w:p>
    <w:p w:rsidR="00000000" w:rsidRDefault="001F7B5D">
      <w:pPr>
        <w:spacing w:line="360" w:lineRule="auto"/>
        <w:ind w:firstLineChars="200" w:firstLine="420"/>
        <w:jc w:val="left"/>
        <w:rPr>
          <w:rFonts w:hint="eastAsia"/>
        </w:rPr>
      </w:pPr>
      <w:r>
        <w:rPr>
          <w:rFonts w:ascii="宋体" w:hAnsi="宋体" w:hint="eastAsia"/>
          <w:color w:val="000000"/>
          <w:szCs w:val="21"/>
          <w:lang w:eastAsia="zh-Hans"/>
        </w:rPr>
        <w:t>本基金本报告期末未持有股票</w:t>
      </w:r>
      <w:r>
        <w:rPr>
          <w:rFonts w:ascii="宋体" w:hAnsi="宋体" w:hint="eastAsia"/>
          <w:color w:val="000000"/>
          <w:szCs w:val="21"/>
          <w:lang w:eastAsia="zh-Hans"/>
        </w:rPr>
        <w:t>。</w:t>
      </w:r>
    </w:p>
    <w:p w:rsidR="00000000" w:rsidRDefault="001F7B5D">
      <w:pPr>
        <w:pStyle w:val="XBRLTitle2"/>
        <w:spacing w:before="156" w:line="360" w:lineRule="auto"/>
        <w:ind w:left="454"/>
      </w:pPr>
      <w:bookmarkStart w:id="181" w:name="_Toc17899975"/>
      <w:bookmarkStart w:id="182" w:name="_Toc481075070"/>
      <w:bookmarkStart w:id="183" w:name="_Toc438646471"/>
      <w:bookmarkStart w:id="184" w:name="_Toc490050023"/>
      <w:bookmarkStart w:id="185" w:name="_Toc512519502"/>
      <w:bookmarkStart w:id="186" w:name="_Toc513295862"/>
      <w:bookmarkStart w:id="187" w:name="_Toc513295914"/>
      <w:bookmarkStart w:id="188" w:name="m505"/>
      <w:r>
        <w:rPr>
          <w:rFonts w:hAnsi="宋体" w:hint="eastAsia"/>
        </w:rPr>
        <w:t>报告期末按债券品种分类的债券投资组</w:t>
      </w:r>
      <w:r>
        <w:rPr>
          <w:rFonts w:hAnsi="宋体" w:hint="eastAsia"/>
        </w:rPr>
        <w:t>合</w:t>
      </w:r>
      <w:bookmarkEnd w:id="181"/>
      <w:bookmarkEnd w:id="182"/>
      <w:bookmarkEnd w:id="183"/>
      <w:bookmarkEnd w:id="184"/>
      <w:bookmarkEnd w:id="185"/>
      <w:bookmarkEnd w:id="186"/>
      <w:bookmarkEnd w:id="1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7,671,713.9</w:t>
            </w:r>
            <w:r>
              <w:rPr>
                <w:rFonts w:ascii="宋体" w:hAnsi="宋体" w:hint="eastAsia"/>
                <w:szCs w:val="24"/>
                <w:lang w:eastAsia="zh-Hans"/>
              </w:rPr>
              <w:t>7</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5.7</w:t>
            </w:r>
            <w:r>
              <w:rPr>
                <w:rFonts w:ascii="宋体" w:hAnsi="宋体" w:hint="eastAsia"/>
                <w:szCs w:val="24"/>
                <w:lang w:eastAsia="zh-Hans"/>
              </w:rPr>
              <w:t>2</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w:t>
            </w:r>
          </w:p>
        </w:tc>
      </w:tr>
      <w:tr w:rsidR="00000000">
        <w:trPr>
          <w:divId w:val="14933732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1F7B5D">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7,671,713.9</w:t>
            </w:r>
            <w:r>
              <w:rPr>
                <w:rFonts w:ascii="宋体" w:hAnsi="宋体" w:hint="eastAsia"/>
                <w:szCs w:val="24"/>
                <w:lang w:eastAsia="zh-Hans"/>
              </w:rPr>
              <w:t>7</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1F7B5D">
            <w:pPr>
              <w:jc w:val="right"/>
            </w:pPr>
            <w:r>
              <w:rPr>
                <w:rFonts w:ascii="宋体" w:hAnsi="宋体" w:hint="eastAsia"/>
                <w:szCs w:val="24"/>
                <w:lang w:eastAsia="zh-Hans"/>
              </w:rPr>
              <w:t>5.7</w:t>
            </w:r>
            <w:r>
              <w:rPr>
                <w:rFonts w:ascii="宋体" w:hAnsi="宋体" w:hint="eastAsia"/>
                <w:szCs w:val="24"/>
                <w:lang w:eastAsia="zh-Hans"/>
              </w:rPr>
              <w:t>2</w:t>
            </w:r>
          </w:p>
        </w:tc>
      </w:tr>
    </w:tbl>
    <w:p w:rsidR="00000000" w:rsidRDefault="001F7B5D">
      <w:pPr>
        <w:pStyle w:val="XBRLTitle2"/>
        <w:spacing w:before="156" w:line="360" w:lineRule="auto"/>
        <w:ind w:left="454"/>
      </w:pPr>
      <w:bookmarkStart w:id="189" w:name="_Toc17899976"/>
      <w:bookmarkStart w:id="190" w:name="_Toc481075071"/>
      <w:bookmarkStart w:id="191" w:name="_Toc438646472"/>
      <w:bookmarkStart w:id="192" w:name="_Toc490050024"/>
      <w:bookmarkStart w:id="193" w:name="_Toc512519503"/>
      <w:bookmarkStart w:id="194" w:name="_Toc513295863"/>
      <w:bookmarkStart w:id="195" w:name="_Toc513295915"/>
      <w:bookmarkStart w:id="196" w:name="m506"/>
      <w:bookmarkEnd w:id="188"/>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189"/>
      <w:bookmarkEnd w:id="190"/>
      <w:bookmarkEnd w:id="191"/>
      <w:bookmarkEnd w:id="192"/>
      <w:bookmarkEnd w:id="193"/>
      <w:bookmarkEnd w:id="194"/>
      <w:bookmarkEnd w:id="195"/>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206320711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206320711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01974</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24</w:t>
            </w:r>
            <w:r>
              <w:rPr>
                <w:rFonts w:ascii="宋体" w:hAnsi="宋体" w:hint="eastAsia"/>
                <w:szCs w:val="24"/>
                <w:lang w:eastAsia="zh-Hans"/>
              </w:rPr>
              <w:t>国债</w:t>
            </w:r>
            <w:r>
              <w:rPr>
                <w:rFonts w:ascii="宋体" w:hAnsi="宋体" w:hint="eastAsia"/>
                <w:szCs w:val="24"/>
                <w:lang w:eastAsia="zh-Hans"/>
              </w:rPr>
              <w:t>1</w:t>
            </w:r>
            <w:r>
              <w:rPr>
                <w:rFonts w:ascii="宋体" w:hAnsi="宋体" w:hint="eastAsia"/>
                <w:szCs w:val="24"/>
                <w:lang w:eastAsia="zh-Hans"/>
              </w:rPr>
              <w:t>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szCs w:val="24"/>
                <w:lang w:eastAsia="zh-Hans"/>
              </w:rPr>
              <w:t>66,00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szCs w:val="24"/>
                <w:lang w:eastAsia="zh-Hans"/>
              </w:rPr>
              <w:t>6,656,859.4</w:t>
            </w:r>
            <w:r>
              <w:rPr>
                <w:rFonts w:ascii="宋体" w:hAnsi="宋体" w:hint="eastAsia"/>
                <w:szCs w:val="24"/>
                <w:lang w:eastAsia="zh-Hans"/>
              </w:rPr>
              <w:t>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szCs w:val="24"/>
                <w:lang w:eastAsia="zh-Hans"/>
              </w:rPr>
              <w:t>4.9</w:t>
            </w:r>
            <w:r>
              <w:rPr>
                <w:rFonts w:ascii="宋体" w:hAnsi="宋体" w:hint="eastAsia"/>
                <w:szCs w:val="24"/>
                <w:lang w:eastAsia="zh-Hans"/>
              </w:rPr>
              <w:t>6</w:t>
            </w:r>
          </w:p>
        </w:tc>
      </w:tr>
      <w:tr w:rsidR="00000000">
        <w:trPr>
          <w:divId w:val="206320711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01974</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szCs w:val="24"/>
                <w:lang w:eastAsia="zh-Hans"/>
              </w:rPr>
              <w:t>24</w:t>
            </w:r>
            <w:r>
              <w:rPr>
                <w:rFonts w:ascii="宋体" w:hAnsi="宋体" w:hint="eastAsia"/>
                <w:szCs w:val="24"/>
                <w:lang w:eastAsia="zh-Hans"/>
              </w:rPr>
              <w:t>国债</w:t>
            </w:r>
            <w:r>
              <w:rPr>
                <w:rFonts w:ascii="宋体" w:hAnsi="宋体" w:hint="eastAsia"/>
                <w:szCs w:val="24"/>
                <w:lang w:eastAsia="zh-Hans"/>
              </w:rPr>
              <w:t>0</w:t>
            </w:r>
            <w:r>
              <w:rPr>
                <w:rFonts w:ascii="宋体" w:hAnsi="宋体" w:hint="eastAsia"/>
                <w:szCs w:val="24"/>
                <w:lang w:eastAsia="zh-Hans"/>
              </w:rPr>
              <w:t>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szCs w:val="24"/>
                <w:lang w:eastAsia="zh-Hans"/>
              </w:rPr>
              <w:t>10,00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szCs w:val="24"/>
                <w:lang w:eastAsia="zh-Hans"/>
              </w:rPr>
              <w:t>1,014,854.5</w:t>
            </w:r>
            <w:r>
              <w:rPr>
                <w:rFonts w:ascii="宋体" w:hAnsi="宋体" w:hint="eastAsia"/>
                <w:szCs w:val="24"/>
                <w:lang w:eastAsia="zh-Hans"/>
              </w:rPr>
              <w:t>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szCs w:val="24"/>
                <w:lang w:eastAsia="zh-Hans"/>
              </w:rPr>
              <w:t>0.7</w:t>
            </w:r>
            <w:r>
              <w:rPr>
                <w:rFonts w:ascii="宋体" w:hAnsi="宋体" w:hint="eastAsia"/>
                <w:szCs w:val="24"/>
                <w:lang w:eastAsia="zh-Hans"/>
              </w:rPr>
              <w:t>6</w:t>
            </w:r>
          </w:p>
        </w:tc>
      </w:tr>
    </w:tbl>
    <w:p w:rsidR="00000000" w:rsidRDefault="001F7B5D">
      <w:pPr>
        <w:pStyle w:val="XBRLTitle2"/>
        <w:spacing w:before="156" w:line="360" w:lineRule="auto"/>
        <w:ind w:left="454"/>
      </w:pPr>
      <w:bookmarkStart w:id="197" w:name="_Toc17899977"/>
      <w:bookmarkStart w:id="198" w:name="_Toc481075072"/>
      <w:bookmarkStart w:id="199" w:name="_Toc438646473"/>
      <w:bookmarkStart w:id="200" w:name="_Toc490050025"/>
      <w:bookmarkStart w:id="201" w:name="_Toc512519504"/>
      <w:bookmarkStart w:id="202" w:name="_Toc513295864"/>
      <w:bookmarkStart w:id="203" w:name="_Toc513295916"/>
      <w:bookmarkStart w:id="204" w:name="m507"/>
      <w:bookmarkEnd w:id="196"/>
      <w:r>
        <w:rPr>
          <w:rFonts w:hAnsi="宋体" w:hint="eastAsia"/>
        </w:rPr>
        <w:t>报告期末按公允价值占基金资产净值比例大小排序的前十名资产支持证券投资明</w:t>
      </w:r>
      <w:r>
        <w:rPr>
          <w:rFonts w:hAnsi="宋体" w:hint="eastAsia"/>
        </w:rPr>
        <w:t>细</w:t>
      </w:r>
      <w:bookmarkEnd w:id="197"/>
      <w:bookmarkEnd w:id="198"/>
      <w:bookmarkEnd w:id="199"/>
      <w:bookmarkEnd w:id="200"/>
      <w:bookmarkEnd w:id="201"/>
      <w:bookmarkEnd w:id="202"/>
      <w:bookmarkEnd w:id="203"/>
      <w:r>
        <w:rPr>
          <w:rFonts w:hAnsi="宋体" w:hint="eastAsia"/>
        </w:rPr>
        <w:t xml:space="preserve"> </w:t>
      </w:r>
    </w:p>
    <w:p w:rsidR="00000000" w:rsidRDefault="001F7B5D">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1F7B5D">
      <w:pPr>
        <w:pStyle w:val="XBRLTitle2"/>
        <w:spacing w:before="156" w:line="360" w:lineRule="auto"/>
        <w:ind w:left="454"/>
      </w:pPr>
      <w:bookmarkStart w:id="205" w:name="_Toc17899978"/>
      <w:bookmarkStart w:id="206" w:name="_Toc481075073"/>
      <w:bookmarkStart w:id="207" w:name="_Toc438646474"/>
      <w:bookmarkStart w:id="208" w:name="_Toc490050026"/>
      <w:bookmarkStart w:id="209" w:name="_Toc512519505"/>
      <w:bookmarkStart w:id="210" w:name="_Toc513295865"/>
      <w:bookmarkStart w:id="211" w:name="_Toc513295917"/>
      <w:bookmarkStart w:id="212" w:name="m508"/>
      <w:bookmarkEnd w:id="204"/>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05"/>
      <w:bookmarkEnd w:id="206"/>
      <w:bookmarkEnd w:id="207"/>
      <w:bookmarkEnd w:id="208"/>
      <w:bookmarkEnd w:id="209"/>
      <w:bookmarkEnd w:id="210"/>
      <w:bookmarkEnd w:id="211"/>
      <w:r>
        <w:rPr>
          <w:rFonts w:hAnsi="宋体" w:hint="eastAsia"/>
        </w:rPr>
        <w:t xml:space="preserve"> </w:t>
      </w:r>
    </w:p>
    <w:p w:rsidR="00000000" w:rsidRDefault="001F7B5D">
      <w:pPr>
        <w:spacing w:line="360" w:lineRule="auto"/>
        <w:ind w:firstLineChars="200" w:firstLine="420"/>
        <w:divId w:val="1496143155"/>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1F7B5D">
      <w:pPr>
        <w:pStyle w:val="XBRLTitle2"/>
        <w:spacing w:before="156" w:line="360" w:lineRule="auto"/>
        <w:ind w:left="454"/>
      </w:pPr>
      <w:bookmarkStart w:id="213" w:name="_Toc17899979"/>
      <w:bookmarkStart w:id="214" w:name="_Toc481075074"/>
      <w:bookmarkStart w:id="215" w:name="_Toc438646475"/>
      <w:bookmarkStart w:id="216" w:name="_Toc490050027"/>
      <w:bookmarkStart w:id="217" w:name="_Toc512519506"/>
      <w:bookmarkStart w:id="218" w:name="_Toc513295866"/>
      <w:bookmarkStart w:id="219" w:name="_Toc513295918"/>
      <w:bookmarkStart w:id="220" w:name="m509"/>
      <w:bookmarkEnd w:id="212"/>
      <w:r>
        <w:rPr>
          <w:rFonts w:hAnsi="宋体" w:hint="eastAsia"/>
        </w:rPr>
        <w:t>报告期末按公允价值占基金资产净值比例大小排序的前五名权证投资明</w:t>
      </w:r>
      <w:r>
        <w:rPr>
          <w:rFonts w:hAnsi="宋体" w:hint="eastAsia"/>
        </w:rPr>
        <w:t>细</w:t>
      </w:r>
      <w:bookmarkEnd w:id="213"/>
      <w:bookmarkEnd w:id="214"/>
      <w:bookmarkEnd w:id="215"/>
      <w:bookmarkEnd w:id="216"/>
      <w:bookmarkEnd w:id="217"/>
      <w:bookmarkEnd w:id="218"/>
      <w:bookmarkEnd w:id="219"/>
      <w:r>
        <w:rPr>
          <w:rFonts w:hAnsi="宋体" w:hint="eastAsia"/>
        </w:rPr>
        <w:t xml:space="preserve"> </w:t>
      </w:r>
      <w:bookmarkEnd w:id="220"/>
    </w:p>
    <w:p w:rsidR="00000000" w:rsidRDefault="001F7B5D">
      <w:pPr>
        <w:spacing w:line="360" w:lineRule="auto"/>
        <w:ind w:firstLineChars="200" w:firstLine="420"/>
        <w:divId w:val="703747925"/>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1F7B5D">
      <w:pPr>
        <w:pStyle w:val="XBRLTitle2"/>
        <w:spacing w:before="156"/>
        <w:ind w:left="454"/>
      </w:pPr>
      <w:bookmarkStart w:id="221" w:name="_Toc17899980"/>
      <w:r>
        <w:rPr>
          <w:rFonts w:hint="eastAsia"/>
        </w:rPr>
        <w:t>报告期末本基金投资的股指期货交易情况说</w:t>
      </w:r>
      <w:r>
        <w:rPr>
          <w:rFonts w:hint="eastAsia"/>
        </w:rPr>
        <w:t>明</w:t>
      </w:r>
      <w:bookmarkEnd w:id="221"/>
      <w:bookmarkEnd w:id="169"/>
      <w:bookmarkEnd w:id="170"/>
      <w:bookmarkEnd w:id="171"/>
      <w:bookmarkEnd w:id="172"/>
      <w:bookmarkEnd w:id="173"/>
      <w:bookmarkEnd w:id="174"/>
    </w:p>
    <w:p w:rsidR="00000000" w:rsidRDefault="001F7B5D">
      <w:pPr>
        <w:spacing w:line="360" w:lineRule="auto"/>
        <w:ind w:firstLineChars="200" w:firstLine="420"/>
        <w:divId w:val="137693502"/>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1F7B5D">
      <w:pPr>
        <w:pStyle w:val="XBRLTitle2"/>
        <w:spacing w:before="156" w:line="360" w:lineRule="auto"/>
        <w:ind w:left="454"/>
      </w:pPr>
      <w:bookmarkStart w:id="222" w:name="_Toc17899983"/>
      <w:bookmarkStart w:id="223" w:name="_Toc512519510"/>
      <w:bookmarkStart w:id="224" w:name="_Toc481075078"/>
      <w:bookmarkStart w:id="225" w:name="_Toc490050031"/>
      <w:bookmarkStart w:id="226" w:name="_Toc513295868"/>
      <w:bookmarkStart w:id="227" w:name="_Toc513295922"/>
      <w:bookmarkStart w:id="228" w:name="_Toc438646476"/>
      <w:r>
        <w:rPr>
          <w:rFonts w:hAnsi="宋体" w:hint="eastAsia"/>
        </w:rPr>
        <w:t>报告期末本基金投资的国债期货交易情况说</w:t>
      </w:r>
      <w:r>
        <w:rPr>
          <w:rFonts w:hAnsi="宋体" w:hint="eastAsia"/>
        </w:rPr>
        <w:t>明</w:t>
      </w:r>
      <w:bookmarkEnd w:id="222"/>
      <w:bookmarkEnd w:id="223"/>
      <w:bookmarkEnd w:id="224"/>
      <w:bookmarkEnd w:id="225"/>
      <w:bookmarkEnd w:id="226"/>
      <w:bookmarkEnd w:id="227"/>
      <w:r>
        <w:rPr>
          <w:rFonts w:hAnsi="宋体" w:hint="eastAsia"/>
        </w:rPr>
        <w:t xml:space="preserve"> </w:t>
      </w:r>
      <w:bookmarkEnd w:id="228"/>
    </w:p>
    <w:p w:rsidR="00000000" w:rsidRDefault="001F7B5D">
      <w:pPr>
        <w:spacing w:line="360" w:lineRule="auto"/>
        <w:ind w:firstLineChars="200" w:firstLine="420"/>
        <w:divId w:val="504712114"/>
        <w:rPr>
          <w:rFonts w:hint="eastAsia"/>
        </w:rPr>
      </w:pPr>
      <w:bookmarkStart w:id="229" w:name="m510_01_1597"/>
      <w:bookmarkStart w:id="230" w:name="m510_01_1598"/>
      <w:bookmarkEnd w:id="229"/>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1F7B5D">
      <w:pPr>
        <w:pStyle w:val="XBRLTitle2"/>
        <w:spacing w:before="156" w:line="360" w:lineRule="auto"/>
        <w:ind w:left="454"/>
      </w:pPr>
      <w:bookmarkStart w:id="231" w:name="_Toc17899987"/>
      <w:bookmarkStart w:id="232" w:name="_Toc512519514"/>
      <w:bookmarkStart w:id="233" w:name="_Toc481075082"/>
      <w:bookmarkStart w:id="234" w:name="_Toc490050035"/>
      <w:bookmarkStart w:id="235" w:name="_Toc513295869"/>
      <w:bookmarkStart w:id="236" w:name="_Toc513295926"/>
      <w:r>
        <w:rPr>
          <w:rFonts w:hAnsi="宋体" w:hint="eastAsia"/>
        </w:rPr>
        <w:t>投资组合报告附</w:t>
      </w:r>
      <w:r>
        <w:rPr>
          <w:rFonts w:hAnsi="宋体" w:hint="eastAsia"/>
        </w:rPr>
        <w:t>注</w:t>
      </w:r>
      <w:bookmarkEnd w:id="231"/>
      <w:bookmarkEnd w:id="232"/>
      <w:bookmarkEnd w:id="233"/>
      <w:bookmarkEnd w:id="234"/>
      <w:bookmarkEnd w:id="235"/>
      <w:bookmarkEnd w:id="236"/>
      <w:r>
        <w:rPr>
          <w:rFonts w:hAnsi="宋体" w:hint="eastAsia"/>
        </w:rPr>
        <w:t xml:space="preserve"> </w:t>
      </w:r>
    </w:p>
    <w:p w:rsidR="00000000" w:rsidRDefault="001F7B5D">
      <w:pPr>
        <w:pStyle w:val="XBRLTitle3"/>
        <w:spacing w:before="156"/>
        <w:ind w:left="0"/>
        <w:rPr>
          <w:rFonts w:hint="eastAsia"/>
        </w:rPr>
      </w:pPr>
      <w:bookmarkStart w:id="237" w:name="_Toc513295927"/>
      <w:bookmarkStart w:id="238" w:name="_Toc490050036"/>
      <w:bookmarkStart w:id="239" w:name="_Toc481075083"/>
      <w:bookmarkStart w:id="240" w:name="_Toc512519515"/>
      <w:bookmarkStart w:id="241" w:name="_Toc17899988"/>
      <w:bookmarkEnd w:id="237"/>
      <w:bookmarkEnd w:id="238"/>
      <w:bookmarkEnd w:id="239"/>
      <w:bookmarkEnd w:id="240"/>
      <w:r>
        <w:rPr>
          <w:rFonts w:hint="eastAsia"/>
          <w:lang w:eastAsia="zh-CN"/>
        </w:rPr>
        <w:t xml:space="preserve"> </w:t>
      </w:r>
      <w:bookmarkEnd w:id="241"/>
    </w:p>
    <w:p w:rsidR="00000000" w:rsidRDefault="001F7B5D">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000000" w:rsidRDefault="001F7B5D">
      <w:pPr>
        <w:pStyle w:val="XBRLTitle3"/>
        <w:spacing w:before="156"/>
        <w:ind w:left="0"/>
      </w:pPr>
      <w:bookmarkStart w:id="242" w:name="_Toc490050037"/>
      <w:bookmarkStart w:id="243" w:name="_Toc481075084"/>
      <w:bookmarkStart w:id="244" w:name="_Toc512519516"/>
      <w:bookmarkStart w:id="245" w:name="_Toc513295928"/>
      <w:bookmarkStart w:id="246" w:name="_Toc17899989"/>
      <w:bookmarkEnd w:id="242"/>
      <w:bookmarkEnd w:id="243"/>
      <w:bookmarkEnd w:id="244"/>
      <w:bookmarkEnd w:id="245"/>
      <w:r>
        <w:rPr>
          <w:rFonts w:hint="eastAsia"/>
          <w:lang w:eastAsia="zh-CN"/>
        </w:rPr>
        <w:t xml:space="preserve"> </w:t>
      </w:r>
      <w:bookmarkEnd w:id="246"/>
    </w:p>
    <w:p w:rsidR="00000000" w:rsidRDefault="001F7B5D">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1F7B5D">
      <w:pPr>
        <w:pStyle w:val="XBRLTitle3"/>
        <w:spacing w:before="156"/>
        <w:ind w:left="0"/>
      </w:pPr>
      <w:bookmarkStart w:id="247" w:name="_Toc17899990"/>
      <w:bookmarkStart w:id="248" w:name="_Toc481075085"/>
      <w:bookmarkStart w:id="249" w:name="_Toc490050038"/>
      <w:bookmarkStart w:id="250" w:name="_Toc512519517"/>
      <w:bookmarkStart w:id="251" w:name="_Toc513295929"/>
      <w:bookmarkStart w:id="252" w:name="m510_02"/>
      <w:bookmarkEnd w:id="230"/>
      <w:r>
        <w:rPr>
          <w:rFonts w:hint="eastAsia"/>
        </w:rPr>
        <w:t>其他资产构</w:t>
      </w:r>
      <w:r>
        <w:rPr>
          <w:rFonts w:hint="eastAsia"/>
        </w:rPr>
        <w:t>成</w:t>
      </w:r>
      <w:bookmarkEnd w:id="247"/>
      <w:bookmarkEnd w:id="248"/>
      <w:bookmarkEnd w:id="249"/>
      <w:bookmarkEnd w:id="250"/>
      <w:bookmarkEnd w:id="2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110095651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1F7B5D">
            <w:pPr>
              <w:jc w:val="center"/>
            </w:pPr>
            <w:r>
              <w:rPr>
                <w:rFonts w:ascii="宋体" w:hAnsi="宋体" w:hint="eastAsia"/>
              </w:rPr>
              <w:t>金额（元</w:t>
            </w:r>
            <w:r>
              <w:rPr>
                <w:rFonts w:ascii="宋体" w:hAnsi="宋体" w:hint="eastAsia"/>
              </w:rPr>
              <w:t>）</w:t>
            </w:r>
            <w:r>
              <w:t xml:space="preserve"> </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3,770.9</w:t>
            </w:r>
            <w:r>
              <w:rPr>
                <w:rFonts w:ascii="宋体" w:hAnsi="宋体" w:hint="eastAsia"/>
              </w:rPr>
              <w:t>4</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1,095.8</w:t>
            </w:r>
            <w:r>
              <w:rPr>
                <w:rFonts w:ascii="宋体" w:hAnsi="宋体" w:hint="eastAsia"/>
              </w:rPr>
              <w:t>9</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0.6</w:t>
            </w:r>
            <w:r>
              <w:rPr>
                <w:rFonts w:ascii="宋体" w:hAnsi="宋体" w:hint="eastAsia"/>
              </w:rPr>
              <w:t>2</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172,196.9</w:t>
            </w:r>
            <w:r>
              <w:rPr>
                <w:rFonts w:ascii="宋体" w:hAnsi="宋体" w:hint="eastAsia"/>
              </w:rPr>
              <w:t>7</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10.8</w:t>
            </w:r>
            <w:r>
              <w:rPr>
                <w:rFonts w:ascii="宋体" w:hAnsi="宋体" w:hint="eastAsia"/>
              </w:rPr>
              <w:t>0</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w:t>
            </w:r>
          </w:p>
        </w:tc>
      </w:tr>
      <w:tr w:rsidR="00000000">
        <w:trPr>
          <w:divId w:val="11009565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1F7B5D">
            <w:pPr>
              <w:jc w:val="right"/>
            </w:pPr>
            <w:r>
              <w:rPr>
                <w:rFonts w:ascii="宋体" w:hAnsi="宋体" w:hint="eastAsia"/>
              </w:rPr>
              <w:t>177,075.2</w:t>
            </w:r>
            <w:r>
              <w:rPr>
                <w:rFonts w:ascii="宋体" w:hAnsi="宋体" w:hint="eastAsia"/>
              </w:rPr>
              <w:t>2</w:t>
            </w:r>
          </w:p>
        </w:tc>
      </w:tr>
    </w:tbl>
    <w:p w:rsidR="00000000" w:rsidRDefault="001F7B5D">
      <w:pPr>
        <w:pStyle w:val="XBRLTitle3"/>
        <w:spacing w:before="156"/>
        <w:ind w:left="0"/>
      </w:pPr>
      <w:bookmarkStart w:id="253" w:name="_Toc17899991"/>
      <w:bookmarkStart w:id="254" w:name="_Toc481075086"/>
      <w:bookmarkStart w:id="255" w:name="_Toc490050039"/>
      <w:bookmarkStart w:id="256" w:name="_Toc512519518"/>
      <w:bookmarkStart w:id="257" w:name="_Toc513295930"/>
      <w:bookmarkStart w:id="258" w:name="m510_03"/>
      <w:bookmarkEnd w:id="252"/>
      <w:r>
        <w:rPr>
          <w:rFonts w:hint="eastAsia"/>
        </w:rPr>
        <w:t>报告期末持有的处于转股期的可转换债券明</w:t>
      </w:r>
      <w:r>
        <w:rPr>
          <w:rFonts w:hint="eastAsia"/>
        </w:rPr>
        <w:t>细</w:t>
      </w:r>
      <w:bookmarkEnd w:id="253"/>
      <w:bookmarkEnd w:id="254"/>
      <w:bookmarkEnd w:id="255"/>
      <w:bookmarkEnd w:id="256"/>
      <w:bookmarkEnd w:id="257"/>
    </w:p>
    <w:p w:rsidR="00000000" w:rsidRDefault="001F7B5D">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1F7B5D">
      <w:pPr>
        <w:pStyle w:val="XBRLTitle3"/>
        <w:spacing w:before="156"/>
        <w:ind w:left="0"/>
      </w:pPr>
      <w:bookmarkStart w:id="259" w:name="_Toc17899992"/>
      <w:bookmarkStart w:id="260" w:name="_Toc481075087"/>
      <w:bookmarkStart w:id="261" w:name="_Toc490050040"/>
      <w:bookmarkStart w:id="262" w:name="_Toc512519519"/>
      <w:bookmarkStart w:id="263" w:name="_Toc513295931"/>
      <w:bookmarkStart w:id="264" w:name="m510_04"/>
      <w:bookmarkEnd w:id="258"/>
      <w:r>
        <w:rPr>
          <w:rFonts w:hint="eastAsia"/>
        </w:rPr>
        <w:t>报告期末前十名股票中存在流通受限情况的说</w:t>
      </w:r>
      <w:r>
        <w:rPr>
          <w:rFonts w:hint="eastAsia"/>
        </w:rPr>
        <w:t>明</w:t>
      </w:r>
      <w:bookmarkEnd w:id="259"/>
      <w:bookmarkEnd w:id="260"/>
      <w:bookmarkEnd w:id="261"/>
      <w:bookmarkEnd w:id="262"/>
      <w:bookmarkEnd w:id="263"/>
    </w:p>
    <w:p w:rsidR="00000000" w:rsidRDefault="001F7B5D">
      <w:pPr>
        <w:spacing w:line="360" w:lineRule="auto"/>
        <w:ind w:firstLineChars="200" w:firstLine="420"/>
        <w:jc w:val="left"/>
        <w:divId w:val="440420238"/>
        <w:rPr>
          <w:rFonts w:hint="eastAsia"/>
        </w:rPr>
      </w:pPr>
      <w:r>
        <w:rPr>
          <w:rFonts w:ascii="宋体" w:hAnsi="宋体" w:hint="eastAsia"/>
        </w:rPr>
        <w:t>本基金本报告期末前十名股票中不存在流通受限情况</w:t>
      </w:r>
      <w:r>
        <w:rPr>
          <w:rFonts w:ascii="宋体" w:hAnsi="宋体" w:hint="eastAsia"/>
        </w:rPr>
        <w:t>。</w:t>
      </w:r>
      <w:bookmarkEnd w:id="17"/>
    </w:p>
    <w:p w:rsidR="00000000" w:rsidRDefault="001F7B5D">
      <w:pPr>
        <w:pStyle w:val="XBRLTitle3"/>
        <w:spacing w:before="156"/>
        <w:ind w:left="0"/>
      </w:pPr>
      <w:bookmarkStart w:id="265" w:name="_Toc17899993"/>
      <w:bookmarkStart w:id="266" w:name="_Toc512519520"/>
      <w:bookmarkStart w:id="267" w:name="_Toc481075088"/>
      <w:bookmarkStart w:id="268" w:name="_Toc490050041"/>
      <w:bookmarkStart w:id="269" w:name="_Toc513295932"/>
      <w:bookmarkStart w:id="270" w:name="m510_05_1678"/>
      <w:bookmarkEnd w:id="264"/>
      <w:r>
        <w:rPr>
          <w:rFonts w:hint="eastAsia"/>
        </w:rPr>
        <w:t>投资组合报告附注的其他文字描述部</w:t>
      </w:r>
      <w:r>
        <w:rPr>
          <w:rFonts w:hint="eastAsia"/>
        </w:rPr>
        <w:t>分</w:t>
      </w:r>
      <w:bookmarkEnd w:id="265"/>
      <w:bookmarkEnd w:id="266"/>
      <w:bookmarkEnd w:id="267"/>
      <w:bookmarkEnd w:id="268"/>
      <w:bookmarkEnd w:id="269"/>
      <w:r>
        <w:rPr>
          <w:rFonts w:hint="eastAsia"/>
          <w:sz w:val="21"/>
        </w:rPr>
        <w:t xml:space="preserve"> </w:t>
      </w:r>
    </w:p>
    <w:p w:rsidR="00000000" w:rsidRDefault="001F7B5D">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p>
    <w:p w:rsidR="00000000" w:rsidRDefault="001F7B5D">
      <w:pPr>
        <w:pStyle w:val="XBRLTitle1"/>
        <w:spacing w:before="156" w:line="360" w:lineRule="auto"/>
        <w:ind w:left="425"/>
      </w:pPr>
      <w:bookmarkStart w:id="271" w:name="_Toc17899994"/>
      <w:r>
        <w:rPr>
          <w:rFonts w:hint="eastAsia"/>
        </w:rPr>
        <w:t>基金中基</w:t>
      </w:r>
      <w:r>
        <w:rPr>
          <w:rFonts w:hint="eastAsia"/>
        </w:rPr>
        <w:t>金</w:t>
      </w:r>
      <w:bookmarkEnd w:id="271"/>
      <w:r>
        <w:rPr>
          <w:rFonts w:hint="eastAsia"/>
          <w:lang w:eastAsia="zh-CN"/>
        </w:rPr>
        <w:t xml:space="preserve"> </w:t>
      </w:r>
    </w:p>
    <w:p w:rsidR="00000000" w:rsidRDefault="001F7B5D">
      <w:pPr>
        <w:pStyle w:val="XBRLTitle2"/>
        <w:spacing w:before="156"/>
        <w:ind w:left="454"/>
        <w:rPr>
          <w:rFonts w:hint="eastAsia"/>
        </w:rPr>
      </w:pPr>
      <w:bookmarkStart w:id="272" w:name="_Toc502858550"/>
      <w:bookmarkStart w:id="273" w:name="_Toc17899995"/>
      <w:bookmarkStart w:id="274" w:name="_Toc514255300"/>
      <w:r>
        <w:rPr>
          <w:rFonts w:hint="eastAsia"/>
        </w:rPr>
        <w:t>报告期末按公允价值占基金资产净值比例大小排序的前十名基金投资明</w:t>
      </w:r>
      <w:r>
        <w:rPr>
          <w:rFonts w:hint="eastAsia"/>
        </w:rPr>
        <w:t>细</w:t>
      </w:r>
      <w:bookmarkEnd w:id="272"/>
      <w:bookmarkEnd w:id="273"/>
      <w:bookmarkEnd w:id="274"/>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073"/>
        <w:gridCol w:w="1145"/>
        <w:gridCol w:w="1114"/>
        <w:gridCol w:w="1353"/>
        <w:gridCol w:w="1353"/>
        <w:gridCol w:w="933"/>
        <w:gridCol w:w="862"/>
      </w:tblGrid>
      <w:tr w:rsidR="00000000">
        <w:trPr>
          <w:divId w:val="1894808930"/>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bookmarkStart w:id="275" w:name="OLE_LINK46"/>
            <w:bookmarkStart w:id="276" w:name="OLE_LINK45"/>
            <w:bookmarkStart w:id="277" w:name="OLE_LINK42"/>
            <w:bookmarkStart w:id="278"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rPr>
              <w:t>占基金资产净值比例（</w:t>
            </w:r>
            <w:r>
              <w:rPr>
                <w:rFonts w:hint="eastAsia"/>
                <w:kern w:val="2"/>
                <w:sz w:val="21"/>
              </w:rPr>
              <w:t>%</w:t>
            </w:r>
            <w:r>
              <w:rPr>
                <w:rFonts w:hint="eastAsia"/>
                <w:kern w:val="2"/>
                <w:sz w:val="21"/>
              </w:rPr>
              <w:t>）</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rPr>
              <w:t>是否属于基金管理人及管理人关联方所管理的基金</w:t>
            </w:r>
            <w:r>
              <w:rPr>
                <w:rFonts w:hint="eastAsia"/>
                <w:kern w:val="2"/>
                <w:sz w:val="21"/>
                <w:lang w:eastAsia="zh-Hans"/>
              </w:rPr>
              <w:t xml:space="preserve"> </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96805</w:t>
            </w: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摩根国际债券人民币累</w:t>
            </w:r>
            <w:r>
              <w:rPr>
                <w:rFonts w:hint="eastAsia"/>
                <w:kern w:val="2"/>
                <w:sz w:val="21"/>
                <w:lang w:eastAsia="zh-Hans"/>
              </w:rPr>
              <w:t>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612,327.5</w:t>
            </w:r>
            <w:r>
              <w:rPr>
                <w:rFonts w:hint="eastAsia"/>
                <w:kern w:val="2"/>
                <w:sz w:val="21"/>
                <w:lang w:eastAsia="zh-Hans"/>
              </w:rPr>
              <w:t>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6,882,561.4</w:t>
            </w:r>
            <w:r>
              <w:rPr>
                <w:rFonts w:hint="eastAsia"/>
                <w:kern w:val="2"/>
                <w:sz w:val="21"/>
                <w:lang w:eastAsia="zh-Hans"/>
              </w:rPr>
              <w:t>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5.1</w:t>
            </w:r>
            <w:r>
              <w:rPr>
                <w:rFonts w:hint="eastAsia"/>
                <w:kern w:val="2"/>
                <w:sz w:val="21"/>
                <w:lang w:eastAsia="zh-Hans"/>
              </w:rPr>
              <w:t>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是</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96805</w:t>
            </w:r>
            <w:r>
              <w:rPr>
                <w:rFonts w:hint="eastAsia"/>
                <w:kern w:val="2"/>
                <w:sz w:val="21"/>
                <w:lang w:eastAsia="zh-Hans"/>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摩根国际债券人民币对冲累</w:t>
            </w:r>
            <w:r>
              <w:rPr>
                <w:rFonts w:hint="eastAsia"/>
                <w:kern w:val="2"/>
                <w:sz w:val="21"/>
                <w:lang w:eastAsia="zh-Hans"/>
              </w:rPr>
              <w:t>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454,016.6</w:t>
            </w:r>
            <w:r>
              <w:rPr>
                <w:rFonts w:hint="eastAsia"/>
                <w:kern w:val="2"/>
                <w:sz w:val="21"/>
                <w:lang w:eastAsia="zh-Hans"/>
              </w:rPr>
              <w:t>2</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4,867,058.1</w:t>
            </w:r>
            <w:r>
              <w:rPr>
                <w:rFonts w:hint="eastAsia"/>
                <w:kern w:val="2"/>
                <w:sz w:val="21"/>
                <w:lang w:eastAsia="zh-Hans"/>
              </w:rPr>
              <w:t>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3.6</w:t>
            </w:r>
            <w:r>
              <w:rPr>
                <w:rFonts w:hint="eastAsia"/>
                <w:kern w:val="2"/>
                <w:sz w:val="21"/>
                <w:lang w:eastAsia="zh-Hans"/>
              </w:rPr>
              <w:t>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是</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00394</w:t>
            </w: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兴全稳泰债券</w:t>
            </w:r>
            <w:r>
              <w:rPr>
                <w:rFonts w:hint="eastAsia"/>
                <w:kern w:val="2"/>
                <w:sz w:val="21"/>
                <w:lang w:eastAsia="zh-Hans"/>
              </w:rPr>
              <w:t>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3,940,881.0</w:t>
            </w:r>
            <w:r>
              <w:rPr>
                <w:rFonts w:hint="eastAsia"/>
                <w:kern w:val="2"/>
                <w:sz w:val="21"/>
                <w:lang w:eastAsia="zh-Hans"/>
              </w:rPr>
              <w:t>7</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4,697,136.1</w:t>
            </w:r>
            <w:r>
              <w:rPr>
                <w:rFonts w:hint="eastAsia"/>
                <w:kern w:val="2"/>
                <w:sz w:val="21"/>
                <w:lang w:eastAsia="zh-Hans"/>
              </w:rPr>
              <w:t>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3.5</w:t>
            </w:r>
            <w:r>
              <w:rPr>
                <w:rFonts w:hint="eastAsia"/>
                <w:kern w:val="2"/>
                <w:sz w:val="21"/>
                <w:lang w:eastAsia="zh-Hans"/>
              </w:rPr>
              <w:t>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否</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00420</w:t>
            </w:r>
            <w:r>
              <w:rPr>
                <w:rFonts w:hint="eastAsia"/>
                <w:kern w:val="2"/>
                <w:sz w:val="21"/>
                <w:lang w:eastAsia="zh-Hans"/>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博时富瑞纯债债券</w:t>
            </w:r>
            <w:r>
              <w:rPr>
                <w:rFonts w:hint="eastAsia"/>
                <w:kern w:val="2"/>
                <w:sz w:val="21"/>
                <w:lang w:eastAsia="zh-Hans"/>
              </w:rPr>
              <w:t>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4,273,291.6</w:t>
            </w:r>
            <w:r>
              <w:rPr>
                <w:rFonts w:hint="eastAsia"/>
                <w:kern w:val="2"/>
                <w:sz w:val="21"/>
                <w:lang w:eastAsia="zh-Hans"/>
              </w:rPr>
              <w:t>9</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4,589,087.9</w:t>
            </w:r>
            <w:r>
              <w:rPr>
                <w:rFonts w:hint="eastAsia"/>
                <w:kern w:val="2"/>
                <w:sz w:val="21"/>
                <w:lang w:eastAsia="zh-Hans"/>
              </w:rPr>
              <w:t>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3.4</w:t>
            </w:r>
            <w:r>
              <w:rPr>
                <w:rFonts w:hint="eastAsia"/>
                <w:kern w:val="2"/>
                <w:sz w:val="21"/>
                <w:lang w:eastAsia="zh-Hans"/>
              </w:rPr>
              <w:t>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否</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51978</w:t>
            </w: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交银裕隆纯债债券</w:t>
            </w:r>
            <w:r>
              <w:rPr>
                <w:rFonts w:hint="eastAsia"/>
                <w:kern w:val="2"/>
                <w:sz w:val="21"/>
                <w:lang w:eastAsia="zh-Hans"/>
              </w:rPr>
              <w:t>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2,662,222.3</w:t>
            </w:r>
            <w:r>
              <w:rPr>
                <w:rFonts w:hint="eastAsia"/>
                <w:kern w:val="2"/>
                <w:sz w:val="21"/>
                <w:lang w:eastAsia="zh-Hans"/>
              </w:rPr>
              <w:t>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3,703,949.9</w:t>
            </w:r>
            <w:r>
              <w:rPr>
                <w:rFonts w:hint="eastAsia"/>
                <w:kern w:val="2"/>
                <w:sz w:val="21"/>
                <w:lang w:eastAsia="zh-Hans"/>
              </w:rPr>
              <w:t>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2.7</w:t>
            </w:r>
            <w:r>
              <w:rPr>
                <w:rFonts w:hint="eastAsia"/>
                <w:kern w:val="2"/>
                <w:sz w:val="21"/>
                <w:lang w:eastAsia="zh-Hans"/>
              </w:rPr>
              <w:t>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否</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10001</w:t>
            </w: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富国天利增长债券</w:t>
            </w:r>
            <w:r>
              <w:rPr>
                <w:rFonts w:hint="eastAsia"/>
                <w:kern w:val="2"/>
                <w:sz w:val="21"/>
                <w:lang w:eastAsia="zh-Hans"/>
              </w:rPr>
              <w:t>A/</w:t>
            </w:r>
            <w:r>
              <w:rPr>
                <w:rFonts w:hint="eastAsia"/>
                <w:kern w:val="2"/>
                <w:sz w:val="21"/>
                <w:lang w:eastAsia="zh-Hans"/>
              </w:rPr>
              <w:t>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2,636,385.8</w:t>
            </w:r>
            <w:r>
              <w:rPr>
                <w:rFonts w:hint="eastAsia"/>
                <w:kern w:val="2"/>
                <w:sz w:val="21"/>
                <w:lang w:eastAsia="zh-Hans"/>
              </w:rPr>
              <w:t>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3,522,475.1</w:t>
            </w:r>
            <w:r>
              <w:rPr>
                <w:rFonts w:hint="eastAsia"/>
                <w:kern w:val="2"/>
                <w:sz w:val="21"/>
                <w:lang w:eastAsia="zh-Hans"/>
              </w:rPr>
              <w:t>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2.6</w:t>
            </w:r>
            <w:r>
              <w:rPr>
                <w:rFonts w:hint="eastAsia"/>
                <w:kern w:val="2"/>
                <w:sz w:val="21"/>
                <w:lang w:eastAsia="zh-Hans"/>
              </w:rPr>
              <w:t>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否</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56110</w:t>
            </w:r>
            <w:r>
              <w:rPr>
                <w:rFonts w:hint="eastAsia"/>
                <w:kern w:val="2"/>
                <w:sz w:val="21"/>
                <w:lang w:eastAsia="zh-Hans"/>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富国中证消费电子主题</w:t>
            </w:r>
            <w:r>
              <w:rPr>
                <w:rFonts w:hint="eastAsia"/>
                <w:kern w:val="2"/>
                <w:sz w:val="21"/>
                <w:lang w:eastAsia="zh-Hans"/>
              </w:rPr>
              <w:t>ET</w:t>
            </w:r>
            <w:r>
              <w:rPr>
                <w:rFonts w:hint="eastAsia"/>
                <w:kern w:val="2"/>
                <w:sz w:val="21"/>
                <w:lang w:eastAsia="zh-Hans"/>
              </w:rPr>
              <w: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交易型开放式</w:t>
            </w:r>
            <w:r>
              <w:rPr>
                <w:rFonts w:hint="eastAsia"/>
                <w:kern w:val="2"/>
                <w:sz w:val="21"/>
                <w:lang w:eastAsia="zh-Hans"/>
              </w:rPr>
              <w:t>(ETF</w:t>
            </w:r>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3,732,600.0</w:t>
            </w:r>
            <w:r>
              <w:rPr>
                <w:rFonts w:hint="eastAsia"/>
                <w:kern w:val="2"/>
                <w:sz w:val="21"/>
                <w:lang w:eastAsia="zh-Hans"/>
              </w:rPr>
              <w:t>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3,363,072.6</w:t>
            </w:r>
            <w:r>
              <w:rPr>
                <w:rFonts w:hint="eastAsia"/>
                <w:kern w:val="2"/>
                <w:sz w:val="21"/>
                <w:lang w:eastAsia="zh-Hans"/>
              </w:rPr>
              <w:t>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2.5</w:t>
            </w:r>
            <w:r>
              <w:rPr>
                <w:rFonts w:hint="eastAsia"/>
                <w:kern w:val="2"/>
                <w:sz w:val="21"/>
                <w:lang w:eastAsia="zh-Hans"/>
              </w:rPr>
              <w:t>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否</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51389</w:t>
            </w:r>
            <w:r>
              <w:rPr>
                <w:rFonts w:hint="eastAsia"/>
                <w:kern w:val="2"/>
                <w:sz w:val="21"/>
                <w:lang w:eastAsia="zh-Hans"/>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摩根恒生科技</w:t>
            </w:r>
            <w:r>
              <w:rPr>
                <w:rFonts w:hint="eastAsia"/>
                <w:kern w:val="2"/>
                <w:sz w:val="21"/>
                <w:lang w:eastAsia="zh-Hans"/>
              </w:rPr>
              <w:t>ETF(QDII</w:t>
            </w:r>
            <w:r>
              <w:rPr>
                <w:rFonts w:hint="eastAsia"/>
                <w:kern w:val="2"/>
                <w:sz w:val="21"/>
                <w:lang w:eastAsia="zh-Hans"/>
              </w:rPr>
              <w:t>)</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交易型开放式</w:t>
            </w:r>
            <w:r>
              <w:rPr>
                <w:rFonts w:hint="eastAsia"/>
                <w:kern w:val="2"/>
                <w:sz w:val="21"/>
                <w:lang w:eastAsia="zh-Hans"/>
              </w:rPr>
              <w:t>(ETF</w:t>
            </w:r>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2,988,300.0</w:t>
            </w:r>
            <w:r>
              <w:rPr>
                <w:rFonts w:hint="eastAsia"/>
                <w:kern w:val="2"/>
                <w:sz w:val="21"/>
                <w:lang w:eastAsia="zh-Hans"/>
              </w:rPr>
              <w:t>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3,325,977.9</w:t>
            </w:r>
            <w:r>
              <w:rPr>
                <w:rFonts w:hint="eastAsia"/>
                <w:kern w:val="2"/>
                <w:sz w:val="21"/>
                <w:lang w:eastAsia="zh-Hans"/>
              </w:rPr>
              <w:t>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2.4</w:t>
            </w:r>
            <w:r>
              <w:rPr>
                <w:rFonts w:hint="eastAsia"/>
                <w:kern w:val="2"/>
                <w:sz w:val="21"/>
                <w:lang w:eastAsia="zh-Hans"/>
              </w:rPr>
              <w:t>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是</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00910</w:t>
            </w:r>
            <w:r>
              <w:rPr>
                <w:rFonts w:hint="eastAsia"/>
                <w:kern w:val="2"/>
                <w:sz w:val="21"/>
                <w:lang w:eastAsia="zh-Hans"/>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安信稳健增利混合</w:t>
            </w:r>
            <w:r>
              <w:rPr>
                <w:rFonts w:hint="eastAsia"/>
                <w:kern w:val="2"/>
                <w:sz w:val="21"/>
                <w:lang w:eastAsia="zh-Hans"/>
              </w:rPr>
              <w:t>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2,429,656.5</w:t>
            </w:r>
            <w:r>
              <w:rPr>
                <w:rFonts w:hint="eastAsia"/>
                <w:kern w:val="2"/>
                <w:sz w:val="21"/>
                <w:lang w:eastAsia="zh-Hans"/>
              </w:rPr>
              <w:t>6</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3,306,762.5</w:t>
            </w:r>
            <w:r>
              <w:rPr>
                <w:rFonts w:hint="eastAsia"/>
                <w:kern w:val="2"/>
                <w:sz w:val="21"/>
                <w:lang w:eastAsia="zh-Hans"/>
              </w:rPr>
              <w:t>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2.4</w:t>
            </w:r>
            <w:r>
              <w:rPr>
                <w:rFonts w:hint="eastAsia"/>
                <w:kern w:val="2"/>
                <w:sz w:val="21"/>
                <w:lang w:eastAsia="zh-Hans"/>
              </w:rPr>
              <w:t>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否</w:t>
            </w:r>
          </w:p>
        </w:tc>
      </w:tr>
      <w:tr w:rsidR="00000000">
        <w:trPr>
          <w:divId w:val="1894808930"/>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ind w:firstLineChars="50" w:firstLine="105"/>
              <w:jc w:val="center"/>
              <w:rPr>
                <w:rFonts w:hint="eastAsia"/>
              </w:rPr>
            </w:pPr>
            <w:r>
              <w:rPr>
                <w:rFonts w:hint="eastAsia"/>
                <w:kern w:val="2"/>
                <w:sz w:val="21"/>
                <w:lang w:eastAsia="zh-Hans"/>
              </w:rPr>
              <w:t>1</w:t>
            </w:r>
            <w:r>
              <w:rPr>
                <w:rFonts w:hint="eastAsia"/>
                <w:kern w:val="2"/>
                <w:sz w:val="21"/>
                <w:lang w:eastAsia="zh-Hans"/>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00010</w:t>
            </w: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富国稳健增强债券</w:t>
            </w:r>
            <w:r>
              <w:rPr>
                <w:rFonts w:hint="eastAsia"/>
                <w:kern w:val="2"/>
                <w:sz w:val="21"/>
                <w:lang w:eastAsia="zh-Hans"/>
              </w:rPr>
              <w:t>A/</w:t>
            </w:r>
            <w:r>
              <w:rPr>
                <w:rFonts w:hint="eastAsia"/>
                <w:kern w:val="2"/>
                <w:sz w:val="21"/>
                <w:lang w:eastAsia="zh-Hans"/>
              </w:rPr>
              <w:t>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center"/>
              <w:rPr>
                <w:rFonts w:hint="eastAsia"/>
              </w:rPr>
            </w:pPr>
            <w:r>
              <w:rPr>
                <w:rFonts w:hint="eastAsia"/>
                <w:kern w:val="2"/>
                <w:sz w:val="21"/>
                <w:lang w:eastAsia="zh-Hans"/>
              </w:rPr>
              <w:t>契约型开放</w:t>
            </w:r>
            <w:r>
              <w:rPr>
                <w:rFonts w:hint="eastAsia"/>
                <w:kern w:val="2"/>
                <w:sz w:val="21"/>
                <w:lang w:eastAsia="zh-Hans"/>
              </w:rPr>
              <w:t>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2,437,193.8</w:t>
            </w:r>
            <w:r>
              <w:rPr>
                <w:rFonts w:hint="eastAsia"/>
                <w:kern w:val="2"/>
                <w:sz w:val="21"/>
                <w:lang w:eastAsia="zh-Hans"/>
              </w:rPr>
              <w:t>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3,156,166.0</w:t>
            </w:r>
            <w:r>
              <w:rPr>
                <w:rFonts w:hint="eastAsia"/>
                <w:kern w:val="2"/>
                <w:sz w:val="21"/>
                <w:lang w:eastAsia="zh-Hans"/>
              </w:rPr>
              <w:t>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2.3</w:t>
            </w:r>
            <w:r>
              <w:rPr>
                <w:rFonts w:hint="eastAsia"/>
                <w:kern w:val="2"/>
                <w:sz w:val="21"/>
                <w:lang w:eastAsia="zh-Hans"/>
              </w:rPr>
              <w:t>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pStyle w:val="a5"/>
              <w:spacing w:before="0" w:beforeAutospacing="0" w:after="0" w:afterAutospacing="0"/>
              <w:jc w:val="right"/>
              <w:rPr>
                <w:rFonts w:hint="eastAsia"/>
              </w:rPr>
            </w:pPr>
            <w:r>
              <w:rPr>
                <w:rFonts w:hint="eastAsia"/>
                <w:kern w:val="2"/>
                <w:sz w:val="21"/>
                <w:lang w:eastAsia="zh-Hans"/>
              </w:rPr>
              <w:t>否</w:t>
            </w:r>
            <w:bookmarkEnd w:id="275"/>
            <w:bookmarkEnd w:id="276"/>
            <w:bookmarkEnd w:id="277"/>
            <w:bookmarkEnd w:id="278"/>
            <w:bookmarkEnd w:id="175"/>
          </w:p>
        </w:tc>
      </w:tr>
    </w:tbl>
    <w:p w:rsidR="00000000" w:rsidRDefault="001F7B5D">
      <w:pPr>
        <w:pStyle w:val="XBRLTitle3"/>
        <w:spacing w:before="156"/>
        <w:ind w:left="0"/>
        <w:rPr>
          <w:rFonts w:hint="eastAsia"/>
        </w:rPr>
      </w:pPr>
      <w:bookmarkStart w:id="279" w:name="_Toc178112372"/>
      <w:r>
        <w:rPr>
          <w:rFonts w:hint="eastAsia"/>
        </w:rPr>
        <w:t>报告期末按公允价值占基金资产净值比例大小排序的前十名公开募集基础设施证券投资基金投资明</w:t>
      </w:r>
      <w:r>
        <w:rPr>
          <w:rFonts w:hint="eastAsia"/>
        </w:rPr>
        <w:t>细</w:t>
      </w:r>
      <w:bookmarkEnd w:id="279"/>
      <w:bookmarkEnd w:id="157"/>
      <w:bookmarkEnd w:id="158"/>
      <w:bookmarkEnd w:id="159"/>
      <w:bookmarkEnd w:id="160"/>
      <w:r>
        <w:rPr>
          <w:rFonts w:hint="eastAsia"/>
          <w:lang w:eastAsia="zh-CN"/>
        </w:rPr>
        <w:t xml:space="preserve"> </w:t>
      </w:r>
    </w:p>
    <w:p w:rsidR="00000000" w:rsidRDefault="001F7B5D">
      <w:pPr>
        <w:spacing w:line="360" w:lineRule="auto"/>
        <w:ind w:firstLineChars="200" w:firstLine="420"/>
        <w:divId w:val="1192039097"/>
        <w:rPr>
          <w:rFonts w:ascii="宋体" w:hAnsi="宋体" w:hint="eastAsia"/>
          <w:szCs w:val="21"/>
          <w:lang w:eastAsia="zh-Hans"/>
        </w:rPr>
      </w:pPr>
      <w:r>
        <w:rPr>
          <w:rFonts w:ascii="宋体" w:hAnsi="宋体" w:hint="eastAsia"/>
          <w:szCs w:val="21"/>
          <w:lang w:eastAsia="zh-Hans"/>
        </w:rPr>
        <w:t>无。</w:t>
      </w:r>
    </w:p>
    <w:p w:rsidR="00000000" w:rsidRDefault="001F7B5D">
      <w:pPr>
        <w:pStyle w:val="XBRLTitle3"/>
        <w:spacing w:before="156"/>
        <w:ind w:left="0"/>
        <w:rPr>
          <w:rFonts w:hint="eastAsia"/>
        </w:rPr>
      </w:pPr>
      <w:bookmarkStart w:id="280" w:name="_Toc178112373"/>
      <w:bookmarkEnd w:id="162"/>
      <w:r>
        <w:rPr>
          <w:rFonts w:hint="eastAsia"/>
        </w:rPr>
        <w:t>报告期末基金持有的全部公开募集基础设施证券投资基金情</w:t>
      </w:r>
      <w:r>
        <w:rPr>
          <w:rFonts w:hint="eastAsia"/>
        </w:rPr>
        <w:t>况</w:t>
      </w:r>
      <w:bookmarkEnd w:id="280"/>
      <w:bookmarkEnd w:id="163"/>
      <w:bookmarkEnd w:id="164"/>
      <w:bookmarkEnd w:id="165"/>
      <w:bookmarkEnd w:id="166"/>
      <w:r>
        <w:rPr>
          <w:rFonts w:hint="eastAsia"/>
          <w:szCs w:val="24"/>
        </w:rPr>
        <w:t xml:space="preserve"> </w:t>
      </w:r>
      <w:bookmarkEnd w:id="18"/>
      <w:bookmarkEnd w:id="19"/>
      <w:bookmarkEnd w:id="20"/>
      <w:bookmarkEnd w:id="65"/>
      <w:bookmarkEnd w:id="66"/>
      <w:bookmarkEnd w:id="15"/>
      <w:bookmarkEnd w:id="16"/>
    </w:p>
    <w:p w:rsidR="00000000" w:rsidRDefault="001F7B5D">
      <w:pPr>
        <w:spacing w:line="360" w:lineRule="auto"/>
        <w:ind w:firstLineChars="200" w:firstLine="420"/>
        <w:divId w:val="1093162128"/>
        <w:rPr>
          <w:rFonts w:ascii="宋体" w:hAnsi="宋体" w:hint="eastAsia"/>
          <w:szCs w:val="21"/>
          <w:lang w:eastAsia="zh-Hans"/>
        </w:rPr>
      </w:pPr>
      <w:r>
        <w:rPr>
          <w:rFonts w:ascii="宋体" w:hAnsi="宋体" w:hint="eastAsia"/>
          <w:szCs w:val="21"/>
          <w:lang w:eastAsia="zh-Hans"/>
        </w:rPr>
        <w:t>无。</w:t>
      </w:r>
    </w:p>
    <w:p w:rsidR="00000000" w:rsidRDefault="001F7B5D">
      <w:pPr>
        <w:pStyle w:val="XBRLTitle2"/>
        <w:spacing w:before="156"/>
        <w:ind w:left="454"/>
        <w:rPr>
          <w:rFonts w:hint="eastAsia"/>
        </w:rPr>
      </w:pPr>
      <w:bookmarkStart w:id="281" w:name="_Toc502822090"/>
      <w:bookmarkStart w:id="282" w:name="_Toc17899996"/>
      <w:bookmarkStart w:id="283" w:name="_Toc514255301"/>
      <w:r>
        <w:rPr>
          <w:rFonts w:hint="eastAsia"/>
        </w:rPr>
        <w:t>当期交易及持有基金产生的费</w:t>
      </w:r>
      <w:r>
        <w:rPr>
          <w:rFonts w:hint="eastAsia"/>
        </w:rPr>
        <w:t>用</w:t>
      </w:r>
      <w:bookmarkEnd w:id="281"/>
      <w:bookmarkEnd w:id="282"/>
      <w:bookmarkEnd w:id="283"/>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000000" w:rsidRDefault="001F7B5D">
            <w:pPr>
              <w:jc w:val="center"/>
              <w:rPr>
                <w:rFonts w:hint="eastAsia"/>
              </w:rPr>
            </w:pPr>
            <w:r>
              <w:rPr>
                <w:rFonts w:ascii="宋体" w:hAnsi="宋体" w:hint="eastAsia"/>
                <w:color w:val="000000"/>
              </w:rPr>
              <w:t>项目</w:t>
            </w:r>
            <w:r>
              <w:rPr>
                <w:rFonts w:ascii="宋体" w:hAnsi="宋体" w:hint="eastAsia"/>
                <w:color w:val="000000"/>
              </w:rPr>
              <w:t xml:space="preserve">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000000" w:rsidRDefault="001F7B5D">
            <w:pPr>
              <w:jc w:val="center"/>
            </w:pPr>
            <w:r>
              <w:rPr>
                <w:rFonts w:ascii="宋体" w:hAnsi="宋体" w:hint="eastAsia"/>
                <w:color w:val="000000"/>
              </w:rPr>
              <w:t>本期费</w:t>
            </w:r>
            <w:r>
              <w:rPr>
                <w:rFonts w:ascii="宋体" w:hAnsi="宋体" w:hint="eastAsia"/>
                <w:color w:val="000000"/>
              </w:rPr>
              <w:t>用</w:t>
            </w:r>
            <w:r>
              <w:rPr>
                <w:rFonts w:ascii="宋体" w:hAnsi="宋体" w:hint="eastAsia"/>
                <w:color w:val="000000"/>
              </w:rPr>
              <w:t>2025</w:t>
            </w:r>
            <w:r>
              <w:rPr>
                <w:rFonts w:ascii="宋体" w:hAnsi="宋体" w:hint="eastAsia"/>
                <w:color w:val="000000"/>
              </w:rPr>
              <w:t>年</w:t>
            </w:r>
            <w:r>
              <w:rPr>
                <w:rFonts w:ascii="宋体" w:hAnsi="宋体" w:hint="eastAsia"/>
                <w:color w:val="000000"/>
              </w:rPr>
              <w:t>1</w:t>
            </w:r>
            <w:r>
              <w:rPr>
                <w:rFonts w:ascii="宋体" w:hAnsi="宋体" w:hint="eastAsia"/>
                <w:color w:val="000000"/>
              </w:rPr>
              <w:t>月</w:t>
            </w:r>
            <w:r>
              <w:rPr>
                <w:rFonts w:ascii="宋体" w:hAnsi="宋体" w:hint="eastAsia"/>
                <w:color w:val="000000"/>
              </w:rPr>
              <w:t>1</w:t>
            </w:r>
            <w:r>
              <w:rPr>
                <w:rFonts w:ascii="宋体" w:hAnsi="宋体" w:hint="eastAsia"/>
                <w:color w:val="000000"/>
              </w:rPr>
              <w:t>日</w:t>
            </w:r>
            <w:r>
              <w:rPr>
                <w:rFonts w:ascii="宋体" w:hAnsi="宋体" w:hint="eastAsia"/>
                <w:color w:val="000000"/>
              </w:rPr>
              <w:t>至</w:t>
            </w:r>
            <w:r>
              <w:rPr>
                <w:rFonts w:ascii="宋体" w:hAnsi="宋体" w:hint="eastAsia"/>
                <w:color w:val="000000"/>
              </w:rPr>
              <w:t>2025</w:t>
            </w:r>
            <w:r>
              <w:rPr>
                <w:rFonts w:ascii="宋体" w:hAnsi="宋体" w:hint="eastAsia"/>
                <w:color w:val="000000"/>
              </w:rPr>
              <w:t>年</w:t>
            </w:r>
            <w:r>
              <w:rPr>
                <w:rFonts w:ascii="宋体" w:hAnsi="宋体" w:hint="eastAsia"/>
                <w:color w:val="000000"/>
              </w:rPr>
              <w:t>3</w:t>
            </w:r>
            <w:r>
              <w:rPr>
                <w:rFonts w:ascii="宋体" w:hAnsi="宋体" w:hint="eastAsia"/>
                <w:color w:val="000000"/>
              </w:rPr>
              <w:t>月</w:t>
            </w:r>
            <w:r>
              <w:rPr>
                <w:rFonts w:ascii="宋体" w:hAnsi="宋体" w:hint="eastAsia"/>
                <w:color w:val="000000"/>
              </w:rPr>
              <w:t>31</w:t>
            </w:r>
            <w:r>
              <w:rPr>
                <w:rFonts w:ascii="宋体" w:hAnsi="宋体" w:hint="eastAsia"/>
                <w:color w:val="000000"/>
              </w:rPr>
              <w:t>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000000" w:rsidRDefault="001F7B5D">
            <w:pPr>
              <w:jc w:val="center"/>
            </w:pPr>
            <w:r>
              <w:rPr>
                <w:rFonts w:ascii="宋体" w:hAnsi="宋体" w:hint="eastAsia"/>
                <w:color w:val="000000"/>
              </w:rPr>
              <w:t>其中：交易及持有基金管理人以及管理人关联方所管理基金产生的费用</w:t>
            </w:r>
            <w:r>
              <w:rPr>
                <w:rFonts w:ascii="宋体" w:hAnsi="宋体" w:hint="eastAsia"/>
                <w:color w:val="000000"/>
              </w:rPr>
              <w:t xml:space="preserve"> </w:t>
            </w:r>
          </w:p>
        </w:tc>
      </w:tr>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left"/>
            </w:pPr>
            <w:r>
              <w:rPr>
                <w:rFonts w:ascii="宋体" w:hAnsi="宋体" w:hint="eastAsia"/>
                <w:szCs w:val="24"/>
                <w:lang w:eastAsia="zh-Hans"/>
              </w:rPr>
              <w:t>当期交易基金产生的申购费（元）</w:t>
            </w:r>
            <w:r>
              <w:rPr>
                <w:rFonts w:ascii="宋体" w:hAnsi="宋体" w:hint="eastAsia"/>
                <w:szCs w:val="24"/>
                <w:lang w:eastAsia="zh-Hans"/>
              </w:rPr>
              <w:t xml:space="preserve">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52.5</w:t>
            </w:r>
            <w:r>
              <w:rPr>
                <w:rFonts w:ascii="宋体" w:hAnsi="宋体" w:hint="eastAsia"/>
                <w:szCs w:val="24"/>
                <w:lang w:eastAsia="zh-Hans"/>
              </w:rPr>
              <w:t>0</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w:t>
            </w:r>
          </w:p>
        </w:tc>
      </w:tr>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left"/>
            </w:pPr>
            <w:r>
              <w:rPr>
                <w:rFonts w:ascii="宋体" w:hAnsi="宋体" w:hint="eastAsia"/>
                <w:color w:val="000000"/>
              </w:rPr>
              <w:t>当期交易基金产生的赎回费（元）</w:t>
            </w:r>
            <w:r>
              <w:rPr>
                <w:rFonts w:ascii="宋体" w:hAnsi="宋体" w:hint="eastAsia"/>
                <w:color w:val="000000"/>
              </w:rPr>
              <w:t xml:space="preserve">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4,072.2</w:t>
            </w:r>
            <w:r>
              <w:rPr>
                <w:rFonts w:ascii="宋体" w:hAnsi="宋体" w:hint="eastAsia"/>
                <w:szCs w:val="24"/>
                <w:lang w:eastAsia="zh-Hans"/>
              </w:rPr>
              <w:t>5</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w:t>
            </w:r>
          </w:p>
        </w:tc>
      </w:tr>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left"/>
            </w:pPr>
            <w:r>
              <w:rPr>
                <w:rFonts w:ascii="宋体" w:hAnsi="宋体" w:hint="eastAsia"/>
                <w:color w:val="000000"/>
              </w:rPr>
              <w:t>当期持有基金产生的应支付销售服务费（元）</w:t>
            </w:r>
            <w:r>
              <w:rPr>
                <w:rFonts w:ascii="宋体" w:hAnsi="宋体" w:hint="eastAsia"/>
                <w:color w:val="000000"/>
              </w:rPr>
              <w:t xml:space="preserve">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3,211.9</w:t>
            </w:r>
            <w:r>
              <w:rPr>
                <w:rFonts w:ascii="宋体" w:hAnsi="宋体" w:hint="eastAsia"/>
                <w:szCs w:val="24"/>
                <w:lang w:eastAsia="zh-Hans"/>
              </w:rPr>
              <w:t>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10.8</w:t>
            </w:r>
            <w:r>
              <w:rPr>
                <w:rFonts w:ascii="宋体" w:hAnsi="宋体" w:hint="eastAsia"/>
                <w:szCs w:val="24"/>
                <w:lang w:eastAsia="zh-Hans"/>
              </w:rPr>
              <w:t>0</w:t>
            </w:r>
          </w:p>
        </w:tc>
      </w:tr>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left"/>
            </w:pPr>
            <w:r>
              <w:rPr>
                <w:rFonts w:ascii="宋体" w:hAnsi="宋体" w:hint="eastAsia"/>
                <w:color w:val="000000"/>
              </w:rPr>
              <w:t>当期持有基金产生的应支付管理费（元）</w:t>
            </w:r>
            <w:r>
              <w:rPr>
                <w:rFonts w:ascii="宋体" w:hAnsi="宋体" w:hint="eastAsia"/>
                <w:color w:val="000000"/>
              </w:rPr>
              <w:t xml:space="preserve">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215,649.1</w:t>
            </w:r>
            <w:r>
              <w:rPr>
                <w:rFonts w:ascii="宋体" w:hAnsi="宋体" w:hint="eastAsia"/>
                <w:szCs w:val="24"/>
                <w:lang w:eastAsia="zh-Hans"/>
              </w:rPr>
              <w:t>3</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37,615.0</w:t>
            </w:r>
            <w:r>
              <w:rPr>
                <w:rFonts w:ascii="宋体" w:hAnsi="宋体" w:hint="eastAsia"/>
                <w:szCs w:val="24"/>
                <w:lang w:eastAsia="zh-Hans"/>
              </w:rPr>
              <w:t>9</w:t>
            </w:r>
          </w:p>
        </w:tc>
      </w:tr>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left"/>
            </w:pPr>
            <w:r>
              <w:rPr>
                <w:rFonts w:ascii="宋体" w:hAnsi="宋体" w:hint="eastAsia"/>
                <w:color w:val="000000"/>
              </w:rPr>
              <w:t>当期持有基金产生的应支付托管费（元）</w:t>
            </w:r>
            <w:r>
              <w:rPr>
                <w:rFonts w:ascii="宋体" w:hAnsi="宋体" w:hint="eastAsia"/>
                <w:color w:val="000000"/>
              </w:rPr>
              <w:t xml:space="preserve">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41,292.6</w:t>
            </w:r>
            <w:r>
              <w:rPr>
                <w:rFonts w:ascii="宋体" w:hAnsi="宋体" w:hint="eastAsia"/>
                <w:szCs w:val="24"/>
                <w:lang w:eastAsia="zh-Hans"/>
              </w:rPr>
              <w:t>6</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3,916.2</w:t>
            </w:r>
            <w:r>
              <w:rPr>
                <w:rFonts w:ascii="宋体" w:hAnsi="宋体" w:hint="eastAsia"/>
                <w:szCs w:val="24"/>
                <w:lang w:eastAsia="zh-Hans"/>
              </w:rPr>
              <w:t>7</w:t>
            </w:r>
          </w:p>
        </w:tc>
      </w:tr>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left"/>
            </w:pPr>
            <w:r>
              <w:rPr>
                <w:rFonts w:ascii="宋体" w:hAnsi="宋体" w:hint="eastAsia"/>
                <w:color w:val="000000"/>
              </w:rPr>
              <w:t>当期交易基金产生的交易费（元</w:t>
            </w:r>
            <w:r>
              <w:rPr>
                <w:rFonts w:ascii="宋体" w:hAnsi="宋体" w:hint="eastAsia"/>
                <w:color w:val="000000"/>
              </w:rPr>
              <w:t>）</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360.3</w:t>
            </w:r>
            <w:r>
              <w:rPr>
                <w:rFonts w:ascii="宋体" w:hAnsi="宋体" w:hint="eastAsia"/>
                <w:szCs w:val="24"/>
                <w:lang w:eastAsia="zh-Hans"/>
              </w:rPr>
              <w:t>9</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w:t>
            </w:r>
          </w:p>
        </w:tc>
      </w:tr>
      <w:tr w:rsidR="00000000">
        <w:trPr>
          <w:divId w:val="21201045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left"/>
            </w:pPr>
            <w:r>
              <w:rPr>
                <w:rFonts w:ascii="宋体" w:hAnsi="宋体" w:hint="eastAsia"/>
                <w:color w:val="000000"/>
              </w:rPr>
              <w:t>当期交易基金产生的转换费（元</w:t>
            </w:r>
            <w:r>
              <w:rPr>
                <w:rFonts w:ascii="宋体" w:hAnsi="宋体" w:hint="eastAsia"/>
                <w:color w:val="000000"/>
              </w:rPr>
              <w:t>）</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996.7</w:t>
            </w:r>
            <w:r>
              <w:rPr>
                <w:rFonts w:ascii="宋体" w:hAnsi="宋体" w:hint="eastAsia"/>
                <w:szCs w:val="24"/>
                <w:lang w:eastAsia="zh-Hans"/>
              </w:rPr>
              <w:t>2</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00000" w:rsidRDefault="001F7B5D">
            <w:pPr>
              <w:jc w:val="right"/>
            </w:pPr>
            <w:r>
              <w:rPr>
                <w:rFonts w:ascii="宋体" w:hAnsi="宋体" w:hint="eastAsia"/>
                <w:szCs w:val="24"/>
                <w:lang w:eastAsia="zh-Hans"/>
              </w:rPr>
              <w:t>-</w:t>
            </w:r>
          </w:p>
        </w:tc>
      </w:tr>
    </w:tbl>
    <w:p w:rsidR="00000000" w:rsidRDefault="001F7B5D">
      <w:pPr>
        <w:pStyle w:val="XBRLTitle2"/>
        <w:spacing w:before="156"/>
        <w:ind w:left="454"/>
      </w:pPr>
      <w:bookmarkStart w:id="284" w:name="_Toc502858552"/>
      <w:bookmarkStart w:id="285" w:name="_Toc17899997"/>
      <w:bookmarkStart w:id="286" w:name="_Toc514255302"/>
      <w:r>
        <w:rPr>
          <w:rFonts w:hint="eastAsia"/>
        </w:rPr>
        <w:t>本报告期持有的基金发生的重大影响事</w:t>
      </w:r>
      <w:r>
        <w:rPr>
          <w:rFonts w:hint="eastAsia"/>
        </w:rPr>
        <w:t>件</w:t>
      </w:r>
      <w:bookmarkEnd w:id="284"/>
      <w:bookmarkEnd w:id="285"/>
      <w:bookmarkEnd w:id="286"/>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000000">
        <w:trPr>
          <w:divId w:val="160048633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rsidR="00000000" w:rsidRDefault="001F7B5D">
            <w:pPr>
              <w:spacing w:line="360" w:lineRule="auto"/>
              <w:jc w:val="left"/>
              <w:rPr>
                <w:rFonts w:hint="eastAsia"/>
              </w:rPr>
            </w:pPr>
            <w:r>
              <w:rPr>
                <w:rFonts w:ascii="宋体" w:hAnsi="宋体" w:cs="宋体" w:hint="eastAsia"/>
                <w:color w:val="000000"/>
                <w:kern w:val="0"/>
              </w:rPr>
              <w:t>无</w:t>
            </w:r>
            <w:r>
              <w:rPr>
                <w:rFonts w:ascii="宋体" w:hAnsi="宋体" w:cs="宋体" w:hint="eastAsia"/>
                <w:color w:val="000000"/>
                <w:kern w:val="0"/>
              </w:rPr>
              <w:t>。</w:t>
            </w:r>
          </w:p>
        </w:tc>
      </w:tr>
    </w:tbl>
    <w:p w:rsidR="00000000" w:rsidRDefault="001F7B5D">
      <w:pPr>
        <w:pStyle w:val="XBRLTitle1"/>
        <w:spacing w:before="156" w:line="360" w:lineRule="auto"/>
        <w:ind w:left="425"/>
      </w:pPr>
      <w:bookmarkStart w:id="287" w:name="_Toc17899998"/>
      <w:bookmarkStart w:id="288" w:name="_Toc512519521"/>
      <w:bookmarkStart w:id="289" w:name="_Toc481075089"/>
      <w:bookmarkStart w:id="290" w:name="_Toc438646477"/>
      <w:bookmarkStart w:id="291" w:name="_Toc490050042"/>
      <w:bookmarkStart w:id="292" w:name="_Toc513295870"/>
      <w:bookmarkStart w:id="293" w:name="_Toc513295933"/>
      <w:bookmarkStart w:id="294" w:name="m601"/>
      <w:bookmarkEnd w:id="270"/>
      <w:r>
        <w:rPr>
          <w:rFonts w:hAnsi="宋体" w:hint="eastAsia"/>
        </w:rPr>
        <w:t>开放式基金份额变</w:t>
      </w:r>
      <w:r>
        <w:rPr>
          <w:rFonts w:hAnsi="宋体" w:hint="eastAsia"/>
        </w:rPr>
        <w:t>动</w:t>
      </w:r>
      <w:bookmarkStart w:id="295" w:name="m601_tab"/>
      <w:bookmarkEnd w:id="287"/>
      <w:bookmarkEnd w:id="288"/>
      <w:bookmarkEnd w:id="289"/>
      <w:bookmarkEnd w:id="290"/>
      <w:bookmarkEnd w:id="291"/>
      <w:bookmarkEnd w:id="292"/>
      <w:bookmarkEnd w:id="293"/>
      <w:r>
        <w:rPr>
          <w:rFonts w:hAnsi="宋体" w:hint="eastAsia"/>
        </w:rPr>
        <w:t xml:space="preserve"> </w:t>
      </w:r>
    </w:p>
    <w:p w:rsidR="00000000" w:rsidRDefault="001F7B5D">
      <w:pPr>
        <w:wordWrap w:val="0"/>
        <w:spacing w:line="360" w:lineRule="auto"/>
        <w:jc w:val="right"/>
        <w:divId w:val="1256935866"/>
        <w:rPr>
          <w:rFonts w:hint="eastAsia"/>
        </w:rPr>
      </w:pPr>
      <w:bookmarkStart w:id="296"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000000">
        <w:trPr>
          <w:divId w:val="125693586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1F7B5D">
            <w:pPr>
              <w:pStyle w:val="xl33"/>
              <w:widowControl w:val="0"/>
              <w:pBdr>
                <w:left w:val="none" w:sz="0" w:space="0" w:color="auto"/>
                <w:bottom w:val="none" w:sz="0" w:space="0" w:color="auto"/>
                <w:right w:val="none" w:sz="0" w:space="0" w:color="auto"/>
              </w:pBdr>
              <w:spacing w:before="0" w:beforeAutospacing="0" w:after="0" w:afterAutospacing="0"/>
              <w:jc w:val="both"/>
            </w:pPr>
            <w:bookmarkStart w:id="297" w:name="m10_01" w:colFirst="1" w:colLast="2"/>
            <w:bookmarkEnd w:id="296"/>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ind w:right="3"/>
              <w:jc w:val="center"/>
            </w:pPr>
            <w:r>
              <w:rPr>
                <w:rFonts w:ascii="宋体" w:hAnsi="宋体" w:hint="eastAsia"/>
                <w:lang w:eastAsia="zh-Hans"/>
              </w:rPr>
              <w:t>摩根锦程均衡养老三年持有混合</w:t>
            </w:r>
            <w:r>
              <w:rPr>
                <w:rFonts w:ascii="宋体" w:hAnsi="宋体" w:hint="eastAsia"/>
                <w:lang w:eastAsia="zh-Hans"/>
              </w:rPr>
              <w:t>(FOF)</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1F7B5D">
            <w:pPr>
              <w:ind w:right="3"/>
              <w:jc w:val="center"/>
            </w:pPr>
            <w:r>
              <w:rPr>
                <w:rFonts w:ascii="宋体" w:hAnsi="宋体" w:hint="eastAsia"/>
                <w:lang w:eastAsia="zh-Hans"/>
              </w:rPr>
              <w:t>摩根锦程均衡养老三年持有混合</w:t>
            </w:r>
            <w:r>
              <w:rPr>
                <w:rFonts w:ascii="宋体" w:hAnsi="宋体" w:hint="eastAsia"/>
                <w:lang w:eastAsia="zh-Hans"/>
              </w:rPr>
              <w:t>(FOF)</w:t>
            </w:r>
            <w:r>
              <w:rPr>
                <w:rFonts w:ascii="宋体" w:hAnsi="宋体" w:hint="eastAsia"/>
                <w:lang w:eastAsia="zh-Hans"/>
              </w:rPr>
              <w:t>Y</w:t>
            </w:r>
            <w:r>
              <w:rPr>
                <w:rFonts w:ascii="宋体" w:hAnsi="宋体" w:hint="eastAsia"/>
                <w:kern w:val="0"/>
                <w:szCs w:val="24"/>
                <w:lang w:eastAsia="zh-Hans"/>
              </w:rPr>
              <w:t xml:space="preserve"> </w:t>
            </w:r>
          </w:p>
        </w:tc>
      </w:tr>
      <w:tr w:rsidR="00000000">
        <w:trPr>
          <w:divId w:val="12569358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56,073,890.1</w:t>
            </w:r>
            <w:r>
              <w:rPr>
                <w:rFonts w:ascii="宋体" w:hAnsi="宋体" w:hint="eastAsia"/>
              </w:rPr>
              <w:t>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51,962,046.0</w:t>
            </w:r>
            <w:r>
              <w:rPr>
                <w:rFonts w:ascii="宋体" w:hAnsi="宋体" w:hint="eastAsia"/>
              </w:rPr>
              <w:t>1</w:t>
            </w:r>
          </w:p>
        </w:tc>
      </w:tr>
      <w:tr w:rsidR="00000000">
        <w:trPr>
          <w:divId w:val="12569358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107,737.2</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9,526,623.1</w:t>
            </w:r>
            <w:r>
              <w:rPr>
                <w:rFonts w:ascii="宋体" w:hAnsi="宋体" w:hint="eastAsia"/>
              </w:rPr>
              <w:t>7</w:t>
            </w:r>
          </w:p>
        </w:tc>
      </w:tr>
      <w:tr w:rsidR="00000000">
        <w:trPr>
          <w:divId w:val="12569358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5,401,912.9</w:t>
            </w:r>
            <w:r>
              <w:rPr>
                <w:rFonts w:ascii="宋体" w:hAnsi="宋体" w:hint="eastAsia"/>
              </w:rPr>
              <w:t>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w:t>
            </w:r>
          </w:p>
        </w:tc>
      </w:tr>
      <w:tr w:rsidR="00000000">
        <w:trPr>
          <w:divId w:val="12569358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w:t>
            </w:r>
          </w:p>
        </w:tc>
      </w:tr>
      <w:tr w:rsidR="00000000">
        <w:trPr>
          <w:divId w:val="125693586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50,779,714.3</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1F7B5D">
            <w:pPr>
              <w:jc w:val="right"/>
            </w:pPr>
            <w:r>
              <w:rPr>
                <w:rFonts w:ascii="宋体" w:hAnsi="宋体" w:hint="eastAsia"/>
              </w:rPr>
              <w:t>61,488,669.1</w:t>
            </w:r>
            <w:r>
              <w:rPr>
                <w:rFonts w:ascii="宋体" w:hAnsi="宋体" w:hint="eastAsia"/>
              </w:rPr>
              <w:t>8</w:t>
            </w:r>
          </w:p>
        </w:tc>
      </w:tr>
    </w:tbl>
    <w:p w:rsidR="00000000" w:rsidRDefault="001F7B5D">
      <w:pPr>
        <w:spacing w:line="360" w:lineRule="auto"/>
        <w:jc w:val="left"/>
        <w:divId w:val="1256935866"/>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297"/>
      <w:r>
        <w:rPr>
          <w:rFonts w:ascii="宋体" w:hAnsi="宋体" w:hint="eastAsia"/>
        </w:rPr>
        <w:t xml:space="preserve"> </w:t>
      </w:r>
    </w:p>
    <w:p w:rsidR="00000000" w:rsidRDefault="001F7B5D">
      <w:pPr>
        <w:pStyle w:val="XBRLTitle1"/>
        <w:spacing w:before="156" w:line="360" w:lineRule="auto"/>
        <w:ind w:left="425"/>
      </w:pPr>
      <w:bookmarkStart w:id="298" w:name="_Toc17899999"/>
      <w:bookmarkStart w:id="299" w:name="m7manage01"/>
      <w:bookmarkStart w:id="300" w:name="_Toc512519522"/>
      <w:bookmarkStart w:id="301" w:name="_Toc481075090"/>
      <w:bookmarkStart w:id="302" w:name="_Toc438646478"/>
      <w:bookmarkStart w:id="303" w:name="_Toc490050043"/>
      <w:bookmarkStart w:id="304" w:name="_Toc513295871"/>
      <w:bookmarkStart w:id="305" w:name="_Toc513295934"/>
      <w:bookmarkEnd w:id="294"/>
      <w:bookmarkEnd w:id="295"/>
      <w:r>
        <w:rPr>
          <w:rFonts w:hAnsi="宋体" w:hint="eastAsia"/>
        </w:rPr>
        <w:t>基金管理人运用固有资金投资本基金情</w:t>
      </w:r>
      <w:r>
        <w:rPr>
          <w:rFonts w:hAnsi="宋体" w:hint="eastAsia"/>
        </w:rPr>
        <w:t>况</w:t>
      </w:r>
      <w:bookmarkEnd w:id="298"/>
      <w:bookmarkEnd w:id="299"/>
      <w:bookmarkEnd w:id="300"/>
      <w:bookmarkEnd w:id="301"/>
      <w:bookmarkEnd w:id="302"/>
      <w:bookmarkEnd w:id="303"/>
      <w:bookmarkEnd w:id="304"/>
      <w:bookmarkEnd w:id="305"/>
      <w:r>
        <w:rPr>
          <w:rFonts w:hAnsi="宋体" w:hint="eastAsia"/>
        </w:rPr>
        <w:t xml:space="preserve"> </w:t>
      </w:r>
    </w:p>
    <w:p w:rsidR="00000000" w:rsidRDefault="001F7B5D">
      <w:pPr>
        <w:pStyle w:val="XBRLTitle2"/>
        <w:spacing w:before="156" w:line="360" w:lineRule="auto"/>
        <w:ind w:left="454"/>
        <w:rPr>
          <w:rFonts w:hint="eastAsia"/>
        </w:rPr>
      </w:pPr>
      <w:bookmarkStart w:id="306" w:name="_Toc17900000"/>
      <w:bookmarkStart w:id="307" w:name="_Toc512519523"/>
      <w:bookmarkStart w:id="308" w:name="_Toc481075091"/>
      <w:bookmarkStart w:id="309" w:name="_Toc458599606"/>
      <w:bookmarkStart w:id="310" w:name="_Toc490050044"/>
      <w:bookmarkStart w:id="311" w:name="_Toc513295872"/>
      <w:bookmarkStart w:id="312" w:name="_Toc513295935"/>
      <w:r>
        <w:rPr>
          <w:rFonts w:hAnsi="宋体" w:hint="eastAsia"/>
        </w:rPr>
        <w:t>基金管理人持有本基金份额变动情</w:t>
      </w:r>
      <w:r>
        <w:rPr>
          <w:rFonts w:hAnsi="宋体" w:hint="eastAsia"/>
        </w:rPr>
        <w:t>况</w:t>
      </w:r>
      <w:bookmarkEnd w:id="306"/>
      <w:bookmarkEnd w:id="307"/>
      <w:bookmarkEnd w:id="308"/>
      <w:bookmarkEnd w:id="309"/>
      <w:bookmarkEnd w:id="310"/>
      <w:bookmarkEnd w:id="311"/>
      <w:bookmarkEnd w:id="312"/>
      <w:r>
        <w:rPr>
          <w:rFonts w:hAnsi="宋体" w:hint="eastAsia"/>
          <w:lang w:eastAsia="zh-CN"/>
        </w:rPr>
        <w:t xml:space="preserve"> </w:t>
      </w:r>
    </w:p>
    <w:p w:rsidR="00000000" w:rsidRDefault="001F7B5D">
      <w:pPr>
        <w:spacing w:line="360" w:lineRule="auto"/>
        <w:ind w:firstLineChars="200" w:firstLine="420"/>
        <w:jc w:val="left"/>
        <w:divId w:val="1569992566"/>
        <w:rPr>
          <w:rFonts w:hint="eastAsia"/>
        </w:rPr>
      </w:pPr>
      <w:r>
        <w:rPr>
          <w:rFonts w:ascii="宋体" w:hAnsi="宋体" w:hint="eastAsia"/>
          <w:szCs w:val="21"/>
          <w:lang w:eastAsia="zh-Hans"/>
        </w:rPr>
        <w:t>无</w:t>
      </w:r>
      <w:r>
        <w:rPr>
          <w:rFonts w:ascii="宋体" w:hAnsi="宋体" w:hint="eastAsia"/>
          <w:szCs w:val="21"/>
          <w:lang w:eastAsia="zh-Hans"/>
        </w:rPr>
        <w:t>。</w:t>
      </w:r>
      <w:r>
        <w:rPr>
          <w:rFonts w:ascii="宋体" w:hAnsi="宋体" w:hint="eastAsia"/>
          <w:szCs w:val="21"/>
        </w:rPr>
        <w:t xml:space="preserve"> </w:t>
      </w:r>
    </w:p>
    <w:p w:rsidR="00000000" w:rsidRDefault="001F7B5D">
      <w:pPr>
        <w:pStyle w:val="XBRLTitle2"/>
        <w:spacing w:before="156" w:line="360" w:lineRule="auto"/>
        <w:ind w:left="454"/>
      </w:pPr>
      <w:bookmarkStart w:id="313" w:name="_Toc17900001"/>
      <w:bookmarkStart w:id="314" w:name="_Toc512519524"/>
      <w:bookmarkStart w:id="315" w:name="_Toc481075092"/>
      <w:bookmarkStart w:id="316" w:name="_Toc458599607"/>
      <w:bookmarkStart w:id="317" w:name="_Toc490050045"/>
      <w:bookmarkStart w:id="318" w:name="_Toc513295873"/>
      <w:bookmarkStart w:id="319" w:name="_Toc513295936"/>
      <w:r>
        <w:rPr>
          <w:rFonts w:hAnsi="宋体" w:hint="eastAsia"/>
        </w:rPr>
        <w:t>基金管理人运用固有资金投资本基金交易明</w:t>
      </w:r>
      <w:r>
        <w:rPr>
          <w:rFonts w:hAnsi="宋体" w:hint="eastAsia"/>
        </w:rPr>
        <w:t>细</w:t>
      </w:r>
      <w:bookmarkEnd w:id="313"/>
      <w:bookmarkEnd w:id="314"/>
      <w:bookmarkEnd w:id="315"/>
      <w:bookmarkEnd w:id="316"/>
      <w:bookmarkEnd w:id="317"/>
      <w:bookmarkEnd w:id="318"/>
      <w:bookmarkEnd w:id="319"/>
      <w:r>
        <w:rPr>
          <w:rFonts w:hAnsi="宋体" w:hint="eastAsia"/>
          <w:lang w:eastAsia="zh-CN"/>
        </w:rPr>
        <w:t xml:space="preserve"> </w:t>
      </w:r>
    </w:p>
    <w:p w:rsidR="00000000" w:rsidRDefault="001F7B5D">
      <w:pPr>
        <w:spacing w:line="360" w:lineRule="auto"/>
        <w:ind w:firstLineChars="200" w:firstLine="420"/>
        <w:jc w:val="left"/>
        <w:divId w:val="1599479809"/>
        <w:rPr>
          <w:rFonts w:hint="eastAsia"/>
        </w:rPr>
      </w:pPr>
      <w:r>
        <w:rPr>
          <w:rFonts w:ascii="宋体" w:hAnsi="宋体" w:hint="eastAsia"/>
          <w:lang w:eastAsia="zh-Hans"/>
        </w:rPr>
        <w:t>无</w:t>
      </w:r>
      <w:r>
        <w:rPr>
          <w:rFonts w:ascii="宋体" w:hAnsi="宋体" w:hint="eastAsia"/>
          <w:lang w:eastAsia="zh-Hans"/>
        </w:rPr>
        <w:t>。</w:t>
      </w:r>
      <w:r>
        <w:rPr>
          <w:rFonts w:ascii="宋体" w:hAnsi="宋体" w:hint="eastAsia"/>
        </w:rPr>
        <w:t xml:space="preserve"> </w:t>
      </w:r>
    </w:p>
    <w:p w:rsidR="00000000" w:rsidRDefault="001F7B5D">
      <w:pPr>
        <w:pStyle w:val="XBRLTitle1"/>
        <w:spacing w:before="156" w:line="360" w:lineRule="auto"/>
        <w:ind w:left="425"/>
      </w:pPr>
      <w:bookmarkStart w:id="320" w:name="_Toc17900003"/>
      <w:bookmarkStart w:id="321" w:name="_Toc512519526"/>
      <w:bookmarkStart w:id="322" w:name="_Toc490050046"/>
      <w:bookmarkStart w:id="323" w:name="_Toc481075094"/>
      <w:bookmarkStart w:id="324" w:name="_Toc479856294"/>
      <w:bookmarkStart w:id="325" w:name="_Toc513295875"/>
      <w:bookmarkStart w:id="326" w:name="_Toc513295938"/>
      <w:bookmarkStart w:id="327" w:name="m701"/>
      <w:r>
        <w:rPr>
          <w:rFonts w:hAnsi="宋体" w:hint="eastAsia"/>
        </w:rPr>
        <w:t>影响投资者决策的其他重要信</w:t>
      </w:r>
      <w:r>
        <w:rPr>
          <w:rFonts w:hAnsi="宋体" w:hint="eastAsia"/>
        </w:rPr>
        <w:t>息</w:t>
      </w:r>
      <w:bookmarkEnd w:id="320"/>
      <w:bookmarkEnd w:id="321"/>
      <w:bookmarkEnd w:id="322"/>
      <w:bookmarkEnd w:id="323"/>
      <w:bookmarkEnd w:id="324"/>
      <w:bookmarkEnd w:id="325"/>
      <w:bookmarkEnd w:id="326"/>
      <w:r>
        <w:rPr>
          <w:rFonts w:hAnsi="宋体" w:hint="eastAsia"/>
          <w:lang w:eastAsia="zh-CN"/>
        </w:rPr>
        <w:t xml:space="preserve"> </w:t>
      </w:r>
    </w:p>
    <w:p w:rsidR="00000000" w:rsidRDefault="001F7B5D">
      <w:pPr>
        <w:pStyle w:val="XBRLTitle2"/>
        <w:spacing w:before="156" w:line="360" w:lineRule="auto"/>
        <w:ind w:left="454"/>
        <w:rPr>
          <w:rFonts w:hint="eastAsia"/>
        </w:rPr>
      </w:pPr>
      <w:bookmarkStart w:id="328" w:name="_Toc17900004"/>
      <w:bookmarkStart w:id="329" w:name="_Toc512519527"/>
      <w:bookmarkStart w:id="330" w:name="_Toc481075095"/>
      <w:bookmarkStart w:id="331" w:name="_Toc490050047"/>
      <w:bookmarkStart w:id="332" w:name="_Toc513295876"/>
      <w:bookmarkStart w:id="333"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28"/>
      <w:bookmarkEnd w:id="329"/>
      <w:bookmarkEnd w:id="330"/>
      <w:bookmarkEnd w:id="331"/>
      <w:bookmarkEnd w:id="332"/>
      <w:bookmarkEnd w:id="333"/>
      <w:r>
        <w:rPr>
          <w:rFonts w:hAnsi="宋体" w:hint="eastAsia"/>
          <w:kern w:val="0"/>
          <w:lang w:eastAsia="zh-CN"/>
        </w:rPr>
        <w:t xml:space="preserve"> </w:t>
      </w:r>
    </w:p>
    <w:bookmarkEnd w:id="21"/>
    <w:bookmarkEnd w:id="39"/>
    <w:bookmarkEnd w:id="40"/>
    <w:p w:rsidR="00000000" w:rsidRDefault="001F7B5D">
      <w:pPr>
        <w:spacing w:line="360" w:lineRule="auto"/>
        <w:ind w:firstLineChars="200" w:firstLine="420"/>
        <w:divId w:val="1531406894"/>
        <w:rPr>
          <w:rFonts w:ascii="宋体" w:hAnsi="宋体" w:hint="eastAsia"/>
          <w:szCs w:val="21"/>
          <w:lang w:eastAsia="zh-Hans"/>
        </w:rPr>
      </w:pPr>
      <w:r>
        <w:rPr>
          <w:rFonts w:ascii="宋体" w:hAnsi="宋体" w:hint="eastAsia"/>
          <w:szCs w:val="21"/>
          <w:lang w:eastAsia="zh-Hans"/>
        </w:rPr>
        <w:t>无。</w:t>
      </w:r>
    </w:p>
    <w:p w:rsidR="00000000" w:rsidRDefault="001F7B5D">
      <w:pPr>
        <w:pStyle w:val="XBRLTitle1"/>
        <w:spacing w:before="156" w:line="360" w:lineRule="auto"/>
        <w:ind w:left="425"/>
        <w:rPr>
          <w:rFonts w:hint="eastAsia"/>
        </w:rPr>
      </w:pPr>
      <w:bookmarkStart w:id="334" w:name="_Toc17900006"/>
      <w:bookmarkStart w:id="335" w:name="_Toc512519529"/>
      <w:bookmarkStart w:id="336" w:name="_Toc490050049"/>
      <w:bookmarkStart w:id="337" w:name="_Toc481075097"/>
      <w:bookmarkStart w:id="338" w:name="_Toc438646481"/>
      <w:bookmarkStart w:id="339" w:name="_Toc513295878"/>
      <w:bookmarkStart w:id="340" w:name="_Toc513295941"/>
      <w:bookmarkEnd w:id="327"/>
      <w:r>
        <w:rPr>
          <w:rFonts w:hAnsi="宋体" w:hint="eastAsia"/>
        </w:rPr>
        <w:t>备查文件目</w:t>
      </w:r>
      <w:r>
        <w:rPr>
          <w:rFonts w:hAnsi="宋体" w:hint="eastAsia"/>
        </w:rPr>
        <w:t>录</w:t>
      </w:r>
      <w:bookmarkEnd w:id="334"/>
      <w:bookmarkEnd w:id="335"/>
      <w:bookmarkEnd w:id="336"/>
      <w:bookmarkEnd w:id="337"/>
      <w:bookmarkEnd w:id="338"/>
      <w:bookmarkEnd w:id="339"/>
      <w:bookmarkEnd w:id="340"/>
      <w:r>
        <w:rPr>
          <w:rFonts w:hAnsi="宋体" w:hint="eastAsia"/>
        </w:rPr>
        <w:t xml:space="preserve"> </w:t>
      </w:r>
    </w:p>
    <w:p w:rsidR="00000000" w:rsidRDefault="001F7B5D">
      <w:pPr>
        <w:pStyle w:val="XBRLTitle2"/>
        <w:spacing w:before="156" w:line="360" w:lineRule="auto"/>
        <w:ind w:left="454"/>
        <w:rPr>
          <w:rFonts w:hint="eastAsia"/>
        </w:rPr>
      </w:pPr>
      <w:bookmarkStart w:id="341" w:name="_Toc438646482"/>
      <w:bookmarkStart w:id="342" w:name="_Toc17900007"/>
      <w:bookmarkStart w:id="343" w:name="_Toc512519530"/>
      <w:bookmarkStart w:id="344" w:name="_Toc481075098"/>
      <w:bookmarkStart w:id="345" w:name="_Toc490050050"/>
      <w:bookmarkStart w:id="346" w:name="_Toc513295879"/>
      <w:bookmarkStart w:id="347" w:name="_Toc513295942"/>
      <w:bookmarkStart w:id="348" w:name="m801_01_1733"/>
      <w:r>
        <w:rPr>
          <w:rFonts w:hAnsi="宋体" w:hint="eastAsia"/>
        </w:rPr>
        <w:t>备查文件目</w:t>
      </w:r>
      <w:r>
        <w:rPr>
          <w:rFonts w:hAnsi="宋体" w:hint="eastAsia"/>
        </w:rPr>
        <w:t>录</w:t>
      </w:r>
      <w:bookmarkEnd w:id="341"/>
      <w:bookmarkEnd w:id="342"/>
      <w:bookmarkEnd w:id="343"/>
      <w:bookmarkEnd w:id="344"/>
      <w:bookmarkEnd w:id="345"/>
      <w:bookmarkEnd w:id="346"/>
      <w:bookmarkEnd w:id="347"/>
      <w:r>
        <w:rPr>
          <w:rFonts w:hAnsi="宋体" w:hint="eastAsia"/>
        </w:rPr>
        <w:t xml:space="preserve"> </w:t>
      </w:r>
    </w:p>
    <w:p w:rsidR="00000000" w:rsidRDefault="001F7B5D">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摩根锦程均衡养老目标三年持有期混合型基金中基金</w:t>
      </w:r>
      <w:r>
        <w:rPr>
          <w:rFonts w:ascii="宋体" w:hAnsi="宋体" w:cs="宋体" w:hint="eastAsia"/>
          <w:color w:val="000000"/>
          <w:kern w:val="0"/>
        </w:rPr>
        <w:t>(FOF)</w:t>
      </w:r>
      <w:r>
        <w:rPr>
          <w:rFonts w:ascii="宋体" w:hAnsi="宋体" w:cs="宋体" w:hint="eastAsia"/>
          <w:color w:val="000000"/>
          <w:kern w:val="0"/>
        </w:rPr>
        <w:t>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摩根锦程均衡养老目标三年持有期混合型基金中基金</w:t>
      </w:r>
      <w:r>
        <w:rPr>
          <w:rFonts w:ascii="宋体" w:hAnsi="宋体" w:cs="宋体" w:hint="eastAsia"/>
          <w:color w:val="000000"/>
          <w:kern w:val="0"/>
        </w:rPr>
        <w:t>(FOF)</w:t>
      </w:r>
      <w:r>
        <w:rPr>
          <w:rFonts w:ascii="宋体" w:hAnsi="宋体" w:cs="宋体" w:hint="eastAsia"/>
          <w:color w:val="000000"/>
          <w:kern w:val="0"/>
        </w:rPr>
        <w:t>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1F7B5D">
      <w:pPr>
        <w:pStyle w:val="XBRLTitle2"/>
        <w:spacing w:before="156" w:line="360" w:lineRule="auto"/>
        <w:ind w:left="454"/>
      </w:pPr>
      <w:bookmarkStart w:id="349" w:name="_Toc438646483"/>
      <w:bookmarkStart w:id="350" w:name="_Toc17900008"/>
      <w:bookmarkStart w:id="351" w:name="_Toc512519531"/>
      <w:bookmarkStart w:id="352" w:name="_Toc481075099"/>
      <w:bookmarkStart w:id="353" w:name="_Toc490050051"/>
      <w:bookmarkStart w:id="354" w:name="_Toc513295880"/>
      <w:bookmarkStart w:id="355" w:name="_Toc513295943"/>
      <w:bookmarkStart w:id="356" w:name="m801_01_1734"/>
      <w:bookmarkEnd w:id="348"/>
      <w:r>
        <w:rPr>
          <w:rFonts w:hAnsi="宋体" w:hint="eastAsia"/>
        </w:rPr>
        <w:t>存放地</w:t>
      </w:r>
      <w:r>
        <w:rPr>
          <w:rFonts w:hAnsi="宋体" w:hint="eastAsia"/>
        </w:rPr>
        <w:t>点</w:t>
      </w:r>
      <w:bookmarkEnd w:id="349"/>
      <w:bookmarkEnd w:id="350"/>
      <w:bookmarkEnd w:id="351"/>
      <w:bookmarkEnd w:id="352"/>
      <w:bookmarkEnd w:id="353"/>
      <w:bookmarkEnd w:id="354"/>
      <w:bookmarkEnd w:id="355"/>
      <w:r>
        <w:rPr>
          <w:rFonts w:hAnsi="宋体" w:hint="eastAsia"/>
        </w:rPr>
        <w:t xml:space="preserve"> </w:t>
      </w:r>
    </w:p>
    <w:p w:rsidR="00000000" w:rsidRDefault="001F7B5D">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1F7B5D">
      <w:pPr>
        <w:pStyle w:val="XBRLTitle2"/>
        <w:spacing w:before="156" w:line="360" w:lineRule="auto"/>
        <w:ind w:left="454"/>
      </w:pPr>
      <w:bookmarkStart w:id="357" w:name="_Toc438646484"/>
      <w:bookmarkStart w:id="358" w:name="_Toc17900009"/>
      <w:bookmarkStart w:id="359" w:name="_Toc512519532"/>
      <w:bookmarkStart w:id="360" w:name="_Toc481075100"/>
      <w:bookmarkStart w:id="361" w:name="_Toc490050052"/>
      <w:bookmarkStart w:id="362" w:name="_Toc513295881"/>
      <w:bookmarkStart w:id="363" w:name="_Toc513295944"/>
      <w:bookmarkStart w:id="364" w:name="m801_01_1735"/>
      <w:bookmarkEnd w:id="356"/>
      <w:r>
        <w:rPr>
          <w:rFonts w:hAnsi="宋体" w:hint="eastAsia"/>
        </w:rPr>
        <w:t>查阅方</w:t>
      </w:r>
      <w:r>
        <w:rPr>
          <w:rFonts w:hAnsi="宋体" w:hint="eastAsia"/>
        </w:rPr>
        <w:t>式</w:t>
      </w:r>
      <w:bookmarkEnd w:id="357"/>
      <w:bookmarkEnd w:id="358"/>
      <w:bookmarkEnd w:id="359"/>
      <w:bookmarkEnd w:id="360"/>
      <w:bookmarkEnd w:id="361"/>
      <w:bookmarkEnd w:id="362"/>
      <w:bookmarkEnd w:id="363"/>
      <w:r>
        <w:rPr>
          <w:rFonts w:hAnsi="宋体" w:hint="eastAsia"/>
        </w:rPr>
        <w:t xml:space="preserve"> </w:t>
      </w:r>
    </w:p>
    <w:p w:rsidR="00000000" w:rsidRDefault="001F7B5D">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64"/>
    <w:p w:rsidR="00000000" w:rsidRDefault="001F7B5D">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1F7B5D">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1F7B5D">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1F7B5D">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2"/>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F7B5D">
      <w:pPr>
        <w:rPr>
          <w:szCs w:val="21"/>
        </w:rPr>
      </w:pPr>
      <w:r>
        <w:rPr>
          <w:szCs w:val="21"/>
        </w:rPr>
        <w:separator/>
      </w:r>
      <w:r>
        <w:rPr>
          <w:szCs w:val="21"/>
        </w:rPr>
        <w:t xml:space="preserve"> </w:t>
      </w:r>
    </w:p>
  </w:endnote>
  <w:endnote w:type="continuationSeparator" w:id="0">
    <w:p w:rsidR="00000000" w:rsidRDefault="001F7B5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F7B5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F7B5D">
      <w:pPr>
        <w:rPr>
          <w:szCs w:val="21"/>
        </w:rPr>
      </w:pPr>
      <w:r>
        <w:rPr>
          <w:szCs w:val="21"/>
        </w:rPr>
        <w:separator/>
      </w:r>
      <w:r>
        <w:rPr>
          <w:szCs w:val="21"/>
        </w:rPr>
        <w:t xml:space="preserve"> </w:t>
      </w:r>
    </w:p>
  </w:footnote>
  <w:footnote w:type="continuationSeparator" w:id="0">
    <w:p w:rsidR="00000000" w:rsidRDefault="001F7B5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F7B5D">
    <w:pPr>
      <w:pStyle w:val="a8"/>
      <w:jc w:val="right"/>
    </w:pPr>
    <w:r>
      <w:rPr>
        <w:rFonts w:ascii="宋体" w:hAnsi="宋体" w:hint="eastAsia"/>
      </w:rPr>
      <w:t>摩根锦程均衡养老目标三年持有期混合型基金中基金</w:t>
    </w:r>
    <w:r>
      <w:rPr>
        <w:rFonts w:ascii="宋体" w:hAnsi="宋体" w:hint="eastAsia"/>
      </w:rPr>
      <w:t>(FOF)2025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F7B5D"/>
    <w:rsid w:val="001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0150">
      <w:marLeft w:val="0"/>
      <w:marRight w:val="0"/>
      <w:marTop w:val="0"/>
      <w:marBottom w:val="0"/>
      <w:divBdr>
        <w:top w:val="none" w:sz="0" w:space="0" w:color="auto"/>
        <w:left w:val="none" w:sz="0" w:space="0" w:color="auto"/>
        <w:bottom w:val="none" w:sz="0" w:space="0" w:color="auto"/>
        <w:right w:val="none" w:sz="0" w:space="0" w:color="auto"/>
      </w:divBdr>
    </w:div>
    <w:div w:id="137693502">
      <w:marLeft w:val="0"/>
      <w:marRight w:val="0"/>
      <w:marTop w:val="0"/>
      <w:marBottom w:val="0"/>
      <w:divBdr>
        <w:top w:val="none" w:sz="0" w:space="0" w:color="auto"/>
        <w:left w:val="none" w:sz="0" w:space="0" w:color="auto"/>
        <w:bottom w:val="none" w:sz="0" w:space="0" w:color="auto"/>
        <w:right w:val="none" w:sz="0" w:space="0" w:color="auto"/>
      </w:divBdr>
    </w:div>
    <w:div w:id="170687445">
      <w:marLeft w:val="0"/>
      <w:marRight w:val="0"/>
      <w:marTop w:val="0"/>
      <w:marBottom w:val="0"/>
      <w:divBdr>
        <w:top w:val="none" w:sz="0" w:space="0" w:color="auto"/>
        <w:left w:val="none" w:sz="0" w:space="0" w:color="auto"/>
        <w:bottom w:val="none" w:sz="0" w:space="0" w:color="auto"/>
        <w:right w:val="none" w:sz="0" w:space="0" w:color="auto"/>
      </w:divBdr>
      <w:divsChild>
        <w:div w:id="1481995362">
          <w:marLeft w:val="0"/>
          <w:marRight w:val="0"/>
          <w:marTop w:val="0"/>
          <w:marBottom w:val="0"/>
          <w:divBdr>
            <w:top w:val="none" w:sz="0" w:space="0" w:color="auto"/>
            <w:left w:val="none" w:sz="0" w:space="0" w:color="auto"/>
            <w:bottom w:val="none" w:sz="0" w:space="0" w:color="auto"/>
            <w:right w:val="none" w:sz="0" w:space="0" w:color="auto"/>
          </w:divBdr>
        </w:div>
      </w:divsChild>
    </w:div>
    <w:div w:id="440420238">
      <w:marLeft w:val="0"/>
      <w:marRight w:val="0"/>
      <w:marTop w:val="0"/>
      <w:marBottom w:val="0"/>
      <w:divBdr>
        <w:top w:val="none" w:sz="0" w:space="0" w:color="auto"/>
        <w:left w:val="none" w:sz="0" w:space="0" w:color="auto"/>
        <w:bottom w:val="none" w:sz="0" w:space="0" w:color="auto"/>
        <w:right w:val="none" w:sz="0" w:space="0" w:color="auto"/>
      </w:divBdr>
    </w:div>
    <w:div w:id="504712114">
      <w:marLeft w:val="0"/>
      <w:marRight w:val="0"/>
      <w:marTop w:val="0"/>
      <w:marBottom w:val="0"/>
      <w:divBdr>
        <w:top w:val="none" w:sz="0" w:space="0" w:color="auto"/>
        <w:left w:val="none" w:sz="0" w:space="0" w:color="auto"/>
        <w:bottom w:val="none" w:sz="0" w:space="0" w:color="auto"/>
        <w:right w:val="none" w:sz="0" w:space="0" w:color="auto"/>
      </w:divBdr>
    </w:div>
    <w:div w:id="703747925">
      <w:marLeft w:val="0"/>
      <w:marRight w:val="0"/>
      <w:marTop w:val="0"/>
      <w:marBottom w:val="0"/>
      <w:divBdr>
        <w:top w:val="none" w:sz="0" w:space="0" w:color="auto"/>
        <w:left w:val="none" w:sz="0" w:space="0" w:color="auto"/>
        <w:bottom w:val="none" w:sz="0" w:space="0" w:color="auto"/>
        <w:right w:val="none" w:sz="0" w:space="0" w:color="auto"/>
      </w:divBdr>
    </w:div>
    <w:div w:id="754009680">
      <w:marLeft w:val="0"/>
      <w:marRight w:val="0"/>
      <w:marTop w:val="0"/>
      <w:marBottom w:val="0"/>
      <w:divBdr>
        <w:top w:val="none" w:sz="0" w:space="0" w:color="auto"/>
        <w:left w:val="none" w:sz="0" w:space="0" w:color="auto"/>
        <w:bottom w:val="none" w:sz="0" w:space="0" w:color="auto"/>
        <w:right w:val="none" w:sz="0" w:space="0" w:color="auto"/>
      </w:divBdr>
      <w:divsChild>
        <w:div w:id="1100956518">
          <w:marLeft w:val="0"/>
          <w:marRight w:val="0"/>
          <w:marTop w:val="0"/>
          <w:marBottom w:val="0"/>
          <w:divBdr>
            <w:top w:val="none" w:sz="0" w:space="0" w:color="auto"/>
            <w:left w:val="none" w:sz="0" w:space="0" w:color="auto"/>
            <w:bottom w:val="none" w:sz="0" w:space="0" w:color="auto"/>
            <w:right w:val="none" w:sz="0" w:space="0" w:color="auto"/>
          </w:divBdr>
        </w:div>
      </w:divsChild>
    </w:div>
    <w:div w:id="991330267">
      <w:marLeft w:val="0"/>
      <w:marRight w:val="0"/>
      <w:marTop w:val="0"/>
      <w:marBottom w:val="0"/>
      <w:divBdr>
        <w:top w:val="none" w:sz="0" w:space="0" w:color="auto"/>
        <w:left w:val="none" w:sz="0" w:space="0" w:color="auto"/>
        <w:bottom w:val="none" w:sz="0" w:space="0" w:color="auto"/>
        <w:right w:val="none" w:sz="0" w:space="0" w:color="auto"/>
      </w:divBdr>
    </w:div>
    <w:div w:id="1093162128">
      <w:marLeft w:val="0"/>
      <w:marRight w:val="0"/>
      <w:marTop w:val="0"/>
      <w:marBottom w:val="0"/>
      <w:divBdr>
        <w:top w:val="none" w:sz="0" w:space="0" w:color="auto"/>
        <w:left w:val="none" w:sz="0" w:space="0" w:color="auto"/>
        <w:bottom w:val="none" w:sz="0" w:space="0" w:color="auto"/>
        <w:right w:val="none" w:sz="0" w:space="0" w:color="auto"/>
      </w:divBdr>
    </w:div>
    <w:div w:id="1181311225">
      <w:marLeft w:val="0"/>
      <w:marRight w:val="0"/>
      <w:marTop w:val="0"/>
      <w:marBottom w:val="0"/>
      <w:divBdr>
        <w:top w:val="none" w:sz="0" w:space="0" w:color="auto"/>
        <w:left w:val="none" w:sz="0" w:space="0" w:color="auto"/>
        <w:bottom w:val="none" w:sz="0" w:space="0" w:color="auto"/>
        <w:right w:val="none" w:sz="0" w:space="0" w:color="auto"/>
      </w:divBdr>
      <w:divsChild>
        <w:div w:id="1894808930">
          <w:marLeft w:val="0"/>
          <w:marRight w:val="0"/>
          <w:marTop w:val="0"/>
          <w:marBottom w:val="0"/>
          <w:divBdr>
            <w:top w:val="none" w:sz="0" w:space="0" w:color="auto"/>
            <w:left w:val="none" w:sz="0" w:space="0" w:color="auto"/>
            <w:bottom w:val="none" w:sz="0" w:space="0" w:color="auto"/>
            <w:right w:val="none" w:sz="0" w:space="0" w:color="auto"/>
          </w:divBdr>
        </w:div>
      </w:divsChild>
    </w:div>
    <w:div w:id="1192039097">
      <w:marLeft w:val="0"/>
      <w:marRight w:val="0"/>
      <w:marTop w:val="0"/>
      <w:marBottom w:val="0"/>
      <w:divBdr>
        <w:top w:val="none" w:sz="0" w:space="0" w:color="auto"/>
        <w:left w:val="none" w:sz="0" w:space="0" w:color="auto"/>
        <w:bottom w:val="none" w:sz="0" w:space="0" w:color="auto"/>
        <w:right w:val="none" w:sz="0" w:space="0" w:color="auto"/>
      </w:divBdr>
    </w:div>
    <w:div w:id="1230308333">
      <w:marLeft w:val="0"/>
      <w:marRight w:val="0"/>
      <w:marTop w:val="0"/>
      <w:marBottom w:val="0"/>
      <w:divBdr>
        <w:top w:val="none" w:sz="0" w:space="0" w:color="auto"/>
        <w:left w:val="none" w:sz="0" w:space="0" w:color="auto"/>
        <w:bottom w:val="none" w:sz="0" w:space="0" w:color="auto"/>
        <w:right w:val="none" w:sz="0" w:space="0" w:color="auto"/>
      </w:divBdr>
      <w:divsChild>
        <w:div w:id="2120104526">
          <w:marLeft w:val="0"/>
          <w:marRight w:val="0"/>
          <w:marTop w:val="0"/>
          <w:marBottom w:val="0"/>
          <w:divBdr>
            <w:top w:val="none" w:sz="0" w:space="0" w:color="auto"/>
            <w:left w:val="none" w:sz="0" w:space="0" w:color="auto"/>
            <w:bottom w:val="none" w:sz="0" w:space="0" w:color="auto"/>
            <w:right w:val="none" w:sz="0" w:space="0" w:color="auto"/>
          </w:divBdr>
        </w:div>
      </w:divsChild>
    </w:div>
    <w:div w:id="1256935866">
      <w:marLeft w:val="0"/>
      <w:marRight w:val="0"/>
      <w:marTop w:val="0"/>
      <w:marBottom w:val="0"/>
      <w:divBdr>
        <w:top w:val="none" w:sz="0" w:space="0" w:color="auto"/>
        <w:left w:val="none" w:sz="0" w:space="0" w:color="auto"/>
        <w:bottom w:val="none" w:sz="0" w:space="0" w:color="auto"/>
        <w:right w:val="none" w:sz="0" w:space="0" w:color="auto"/>
      </w:divBdr>
    </w:div>
    <w:div w:id="1309940486">
      <w:marLeft w:val="0"/>
      <w:marRight w:val="0"/>
      <w:marTop w:val="0"/>
      <w:marBottom w:val="0"/>
      <w:divBdr>
        <w:top w:val="none" w:sz="0" w:space="0" w:color="auto"/>
        <w:left w:val="none" w:sz="0" w:space="0" w:color="auto"/>
        <w:bottom w:val="none" w:sz="0" w:space="0" w:color="auto"/>
        <w:right w:val="none" w:sz="0" w:space="0" w:color="auto"/>
      </w:divBdr>
    </w:div>
    <w:div w:id="1364091862">
      <w:marLeft w:val="0"/>
      <w:marRight w:val="0"/>
      <w:marTop w:val="0"/>
      <w:marBottom w:val="0"/>
      <w:divBdr>
        <w:top w:val="none" w:sz="0" w:space="0" w:color="auto"/>
        <w:left w:val="none" w:sz="0" w:space="0" w:color="auto"/>
        <w:bottom w:val="none" w:sz="0" w:space="0" w:color="auto"/>
        <w:right w:val="none" w:sz="0" w:space="0" w:color="auto"/>
      </w:divBdr>
    </w:div>
    <w:div w:id="1454523627">
      <w:marLeft w:val="0"/>
      <w:marRight w:val="0"/>
      <w:marTop w:val="0"/>
      <w:marBottom w:val="0"/>
      <w:divBdr>
        <w:top w:val="none" w:sz="0" w:space="0" w:color="auto"/>
        <w:left w:val="none" w:sz="0" w:space="0" w:color="auto"/>
        <w:bottom w:val="none" w:sz="0" w:space="0" w:color="auto"/>
        <w:right w:val="none" w:sz="0" w:space="0" w:color="auto"/>
      </w:divBdr>
      <w:divsChild>
        <w:div w:id="1069156198">
          <w:marLeft w:val="0"/>
          <w:marRight w:val="0"/>
          <w:marTop w:val="0"/>
          <w:marBottom w:val="0"/>
          <w:divBdr>
            <w:top w:val="none" w:sz="0" w:space="0" w:color="auto"/>
            <w:left w:val="none" w:sz="0" w:space="0" w:color="auto"/>
            <w:bottom w:val="none" w:sz="0" w:space="0" w:color="auto"/>
            <w:right w:val="none" w:sz="0" w:space="0" w:color="auto"/>
          </w:divBdr>
        </w:div>
        <w:div w:id="182671538">
          <w:marLeft w:val="0"/>
          <w:marRight w:val="0"/>
          <w:marTop w:val="0"/>
          <w:marBottom w:val="0"/>
          <w:divBdr>
            <w:top w:val="none" w:sz="0" w:space="0" w:color="auto"/>
            <w:left w:val="none" w:sz="0" w:space="0" w:color="auto"/>
            <w:bottom w:val="none" w:sz="0" w:space="0" w:color="auto"/>
            <w:right w:val="none" w:sz="0" w:space="0" w:color="auto"/>
          </w:divBdr>
        </w:div>
      </w:divsChild>
    </w:div>
    <w:div w:id="1493373264">
      <w:marLeft w:val="0"/>
      <w:marRight w:val="0"/>
      <w:marTop w:val="0"/>
      <w:marBottom w:val="0"/>
      <w:divBdr>
        <w:top w:val="none" w:sz="0" w:space="0" w:color="auto"/>
        <w:left w:val="none" w:sz="0" w:space="0" w:color="auto"/>
        <w:bottom w:val="none" w:sz="0" w:space="0" w:color="auto"/>
        <w:right w:val="none" w:sz="0" w:space="0" w:color="auto"/>
      </w:divBdr>
    </w:div>
    <w:div w:id="1496143155">
      <w:marLeft w:val="0"/>
      <w:marRight w:val="0"/>
      <w:marTop w:val="0"/>
      <w:marBottom w:val="0"/>
      <w:divBdr>
        <w:top w:val="none" w:sz="0" w:space="0" w:color="auto"/>
        <w:left w:val="none" w:sz="0" w:space="0" w:color="auto"/>
        <w:bottom w:val="none" w:sz="0" w:space="0" w:color="auto"/>
        <w:right w:val="none" w:sz="0" w:space="0" w:color="auto"/>
      </w:divBdr>
    </w:div>
    <w:div w:id="1528712900">
      <w:marLeft w:val="0"/>
      <w:marRight w:val="0"/>
      <w:marTop w:val="0"/>
      <w:marBottom w:val="0"/>
      <w:divBdr>
        <w:top w:val="none" w:sz="0" w:space="0" w:color="auto"/>
        <w:left w:val="none" w:sz="0" w:space="0" w:color="auto"/>
        <w:bottom w:val="none" w:sz="0" w:space="0" w:color="auto"/>
        <w:right w:val="none" w:sz="0" w:space="0" w:color="auto"/>
      </w:divBdr>
    </w:div>
    <w:div w:id="1531406894">
      <w:marLeft w:val="0"/>
      <w:marRight w:val="0"/>
      <w:marTop w:val="0"/>
      <w:marBottom w:val="0"/>
      <w:divBdr>
        <w:top w:val="none" w:sz="0" w:space="0" w:color="auto"/>
        <w:left w:val="none" w:sz="0" w:space="0" w:color="auto"/>
        <w:bottom w:val="none" w:sz="0" w:space="0" w:color="auto"/>
        <w:right w:val="none" w:sz="0" w:space="0" w:color="auto"/>
      </w:divBdr>
    </w:div>
    <w:div w:id="1569992566">
      <w:marLeft w:val="0"/>
      <w:marRight w:val="0"/>
      <w:marTop w:val="0"/>
      <w:marBottom w:val="0"/>
      <w:divBdr>
        <w:top w:val="none" w:sz="0" w:space="0" w:color="auto"/>
        <w:left w:val="none" w:sz="0" w:space="0" w:color="auto"/>
        <w:bottom w:val="none" w:sz="0" w:space="0" w:color="auto"/>
        <w:right w:val="none" w:sz="0" w:space="0" w:color="auto"/>
      </w:divBdr>
    </w:div>
    <w:div w:id="1599479809">
      <w:marLeft w:val="0"/>
      <w:marRight w:val="0"/>
      <w:marTop w:val="0"/>
      <w:marBottom w:val="0"/>
      <w:divBdr>
        <w:top w:val="none" w:sz="0" w:space="0" w:color="auto"/>
        <w:left w:val="none" w:sz="0" w:space="0" w:color="auto"/>
        <w:bottom w:val="none" w:sz="0" w:space="0" w:color="auto"/>
        <w:right w:val="none" w:sz="0" w:space="0" w:color="auto"/>
      </w:divBdr>
    </w:div>
    <w:div w:id="1948467419">
      <w:marLeft w:val="0"/>
      <w:marRight w:val="0"/>
      <w:marTop w:val="0"/>
      <w:marBottom w:val="0"/>
      <w:divBdr>
        <w:top w:val="none" w:sz="0" w:space="0" w:color="auto"/>
        <w:left w:val="none" w:sz="0" w:space="0" w:color="auto"/>
        <w:bottom w:val="none" w:sz="0" w:space="0" w:color="auto"/>
        <w:right w:val="none" w:sz="0" w:space="0" w:color="auto"/>
      </w:divBdr>
      <w:divsChild>
        <w:div w:id="593248333">
          <w:marLeft w:val="0"/>
          <w:marRight w:val="0"/>
          <w:marTop w:val="0"/>
          <w:marBottom w:val="0"/>
          <w:divBdr>
            <w:top w:val="none" w:sz="0" w:space="0" w:color="auto"/>
            <w:left w:val="none" w:sz="0" w:space="0" w:color="auto"/>
            <w:bottom w:val="none" w:sz="0" w:space="0" w:color="auto"/>
            <w:right w:val="none" w:sz="0" w:space="0" w:color="auto"/>
          </w:divBdr>
        </w:div>
      </w:divsChild>
    </w:div>
    <w:div w:id="2032298862">
      <w:marLeft w:val="0"/>
      <w:marRight w:val="0"/>
      <w:marTop w:val="0"/>
      <w:marBottom w:val="0"/>
      <w:divBdr>
        <w:top w:val="none" w:sz="0" w:space="0" w:color="auto"/>
        <w:left w:val="none" w:sz="0" w:space="0" w:color="auto"/>
        <w:bottom w:val="none" w:sz="0" w:space="0" w:color="auto"/>
        <w:right w:val="none" w:sz="0" w:space="0" w:color="auto"/>
      </w:divBdr>
      <w:divsChild>
        <w:div w:id="1600486335">
          <w:marLeft w:val="0"/>
          <w:marRight w:val="0"/>
          <w:marTop w:val="0"/>
          <w:marBottom w:val="0"/>
          <w:divBdr>
            <w:top w:val="none" w:sz="0" w:space="0" w:color="auto"/>
            <w:left w:val="none" w:sz="0" w:space="0" w:color="auto"/>
            <w:bottom w:val="none" w:sz="0" w:space="0" w:color="auto"/>
            <w:right w:val="none" w:sz="0" w:space="0" w:color="auto"/>
          </w:divBdr>
        </w:div>
      </w:divsChild>
    </w:div>
    <w:div w:id="2063207110">
      <w:marLeft w:val="0"/>
      <w:marRight w:val="0"/>
      <w:marTop w:val="0"/>
      <w:marBottom w:val="0"/>
      <w:divBdr>
        <w:top w:val="none" w:sz="0" w:space="0" w:color="auto"/>
        <w:left w:val="none" w:sz="0" w:space="0" w:color="auto"/>
        <w:bottom w:val="none" w:sz="0" w:space="0" w:color="auto"/>
        <w:right w:val="none" w:sz="0" w:space="0" w:color="auto"/>
      </w:divBdr>
    </w:div>
    <w:div w:id="2082752105">
      <w:marLeft w:val="0"/>
      <w:marRight w:val="0"/>
      <w:marTop w:val="0"/>
      <w:marBottom w:val="0"/>
      <w:divBdr>
        <w:top w:val="none" w:sz="0" w:space="0" w:color="auto"/>
        <w:left w:val="none" w:sz="0" w:space="0" w:color="auto"/>
        <w:bottom w:val="none" w:sz="0" w:space="0" w:color="auto"/>
        <w:right w:val="none" w:sz="0" w:space="0" w:color="auto"/>
      </w:divBdr>
      <w:divsChild>
        <w:div w:id="2029132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1329</Words>
  <Characters>7580</Characters>
  <Application>Microsoft Office Word</Application>
  <DocSecurity>4</DocSecurity>
  <Lines>63</Lines>
  <Paragraphs>17</Paragraphs>
  <ScaleCrop>false</ScaleCrop>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Jesse.Zhang@FA</cp:lastModifiedBy>
  <cp:revision>2</cp:revision>
  <dcterms:created xsi:type="dcterms:W3CDTF">2025-04-15T12:14:00Z</dcterms:created>
  <dcterms:modified xsi:type="dcterms:W3CDTF">2025-04-15T12:14:00Z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