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摩根领先优选混合型证券投资基金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摩根领先优选混合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006890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2019</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55,215,305.74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本基金采用定量及定性研究方法，自上而下进行资产配置并优选在中国境内及香港市场上市的公司，通过严格的风险控制，力争实现基金资产的长期增值。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本基金的投资区域主要覆盖中国内地和香港市场，通过自上而下的区域配置和行业配置以及自下而上的个股选择挖掘投资机会。本基金主要投资于</w:t>
            </w:r>
            <w:r>
              <w:rPr>
                <w:rFonts w:eastAsiaTheme="minorEastAsia"/>
                <w:color w:val="000000" w:themeColor="text1"/>
                <w:kern w:val="0"/>
                <w:szCs w:val="21"/>
              </w:rPr>
              <w:t>“</w:t>
            </w:r>
            <w:r>
              <w:rPr>
                <w:rFonts w:eastAsiaTheme="minorEastAsia"/>
                <w:color w:val="000000" w:themeColor="text1"/>
                <w:kern w:val="0"/>
                <w:szCs w:val="21"/>
              </w:rPr>
              <w:t>领先</w:t>
            </w:r>
            <w:r>
              <w:rPr>
                <w:rFonts w:eastAsiaTheme="minorEastAsia"/>
                <w:color w:val="000000" w:themeColor="text1"/>
                <w:kern w:val="0"/>
                <w:szCs w:val="21"/>
              </w:rPr>
              <w:t>”</w:t>
            </w:r>
            <w:r>
              <w:rPr>
                <w:rFonts w:eastAsiaTheme="minorEastAsia"/>
                <w:color w:val="000000" w:themeColor="text1"/>
                <w:kern w:val="0"/>
                <w:szCs w:val="21"/>
              </w:rPr>
              <w:t>及</w:t>
            </w:r>
            <w:r>
              <w:rPr>
                <w:rFonts w:eastAsiaTheme="minorEastAsia"/>
                <w:color w:val="000000" w:themeColor="text1"/>
                <w:kern w:val="0"/>
                <w:szCs w:val="21"/>
              </w:rPr>
              <w:t>“</w:t>
            </w:r>
            <w:r>
              <w:rPr>
                <w:rFonts w:eastAsiaTheme="minorEastAsia"/>
                <w:color w:val="000000" w:themeColor="text1"/>
                <w:kern w:val="0"/>
                <w:szCs w:val="21"/>
              </w:rPr>
              <w:t>优选</w:t>
            </w:r>
            <w:r>
              <w:rPr>
                <w:rFonts w:eastAsiaTheme="minorEastAsia"/>
                <w:color w:val="000000" w:themeColor="text1"/>
                <w:kern w:val="0"/>
                <w:szCs w:val="21"/>
              </w:rPr>
              <w:t>”</w:t>
            </w:r>
            <w:r>
              <w:rPr>
                <w:rFonts w:eastAsiaTheme="minorEastAsia"/>
                <w:color w:val="000000" w:themeColor="text1"/>
                <w:kern w:val="0"/>
                <w:szCs w:val="21"/>
              </w:rPr>
              <w:t>类上市公司。具体而言，本基金将根据宏观环境、产业政策、行业景气度等优选成长空间较大且具有领先优势的行业，并通过自下而上的方式挖掘具有清晰商业模式、基本面良</w:t>
            </w:r>
            <w:r>
              <w:rPr>
                <w:rFonts w:eastAsiaTheme="minorEastAsia"/>
                <w:color w:val="000000" w:themeColor="text1"/>
                <w:kern w:val="0"/>
                <w:szCs w:val="21"/>
              </w:rPr>
              <w:lastRenderedPageBreak/>
              <w:t>好、且具有持续竞争能力的优质公司。本基金还将考虑组合品种的估值风险和大类资产的系统风险，通过品种和仓位的动态调整降低资产波动的风险。</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跨市场资产配置策略</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境内及香港市场的宏观经济环境、增长和通胀背景、跨市场的估值水平和流动性因素、相关公司所处的发展阶段、盈利前景和竞争环境以及其他影响投资组合回报及风险的重要要素将基金资产在中国境内及香港市场之间进行配置。另外，本基金将根据各类证券的风险收益特征的相对变化，适度的调整确定基金资产在股票、债券及现金等类别资产间的分配比例，动态优化投资组合。</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在境内，本基金将专注投资于影响国民经济的龙头行业、经济转型和产业升级过程中的重点行业和具备成长潜力的新兴行业。对于港股投资，本基金将结合宏观基</w:t>
            </w:r>
            <w:r>
              <w:rPr>
                <w:rFonts w:eastAsiaTheme="minorEastAsia"/>
                <w:color w:val="000000" w:themeColor="text1"/>
                <w:kern w:val="0"/>
                <w:szCs w:val="21"/>
              </w:rPr>
              <w:t>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、其他投资策略：包括可转换债券投资策略、中小企业私募债投资策略、股指期货投资策略、股票期权投资策略、资产支持证券投资策略、证券公司短期公司债券投资策略、权证投资策略、存托凭证投资策略。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*40%+</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lastRenderedPageBreak/>
              <w:t>*30%+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风险收益特征</w:t>
            </w:r>
          </w:p>
        </w:tc>
        <w:tc>
          <w:tcPr>
            <w:tcW w:w="5479" w:type="dxa"/>
            <w:gridSpan w:val="2"/>
            <w:vAlign w:val="center"/>
          </w:tcPr>
          <w:p w:rsidR="00764C3F" w:rsidRDefault="004907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本基金除了投资</w:t>
            </w:r>
            <w:r w:rsidRPr="00B27A29">
              <w:rPr>
                <w:rFonts w:eastAsiaTheme="minorEastAsia"/>
                <w:color w:val="000000" w:themeColor="text1"/>
                <w:kern w:val="0"/>
                <w:szCs w:val="21"/>
              </w:rPr>
              <w:t>A</w:t>
            </w:r>
            <w:r w:rsidRPr="00B27A29">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临汇率风险、香港市场风险等境外证券市场投资所面临的特别投资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006890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017098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51,586,222.91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3,629,082.83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-952,742.26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-101,763.11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-6,882,522.54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-982,751.72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-0.1450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-0.1839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50,451,725.90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3,536,564.39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0.9780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0.9745</w:t>
            </w:r>
          </w:p>
        </w:tc>
      </w:tr>
    </w:tbl>
    <w:p w:rsidR="00764C3F" w:rsidRDefault="004907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摩根领先优选混合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64C3F">
        <w:tc>
          <w:tcPr>
            <w:tcW w:w="1290" w:type="dxa"/>
            <w:vAlign w:val="center"/>
          </w:tcPr>
          <w:p w:rsidR="00764C3F" w:rsidRDefault="004907C7">
            <w:pPr>
              <w:jc w:val="left"/>
            </w:pPr>
            <w:r>
              <w:rPr>
                <w:rFonts w:eastAsiaTheme="minorEastAsia"/>
                <w:color w:val="000000" w:themeColor="text1"/>
                <w:szCs w:val="21"/>
              </w:rPr>
              <w:t>过去三个月</w:t>
            </w:r>
          </w:p>
        </w:tc>
        <w:tc>
          <w:tcPr>
            <w:tcW w:w="1291" w:type="dxa"/>
            <w:vAlign w:val="center"/>
          </w:tcPr>
          <w:p w:rsidR="00764C3F" w:rsidRDefault="004907C7">
            <w:pPr>
              <w:jc w:val="right"/>
            </w:pPr>
            <w:r>
              <w:rPr>
                <w:rFonts w:eastAsiaTheme="minorEastAsia"/>
                <w:color w:val="000000" w:themeColor="text1"/>
                <w:szCs w:val="21"/>
              </w:rPr>
              <w:t>-12.90%</w:t>
            </w:r>
          </w:p>
        </w:tc>
        <w:tc>
          <w:tcPr>
            <w:tcW w:w="1291" w:type="dxa"/>
            <w:vAlign w:val="center"/>
          </w:tcPr>
          <w:p w:rsidR="00764C3F" w:rsidRDefault="004907C7">
            <w:pPr>
              <w:jc w:val="right"/>
            </w:pPr>
            <w:r>
              <w:rPr>
                <w:rFonts w:eastAsiaTheme="minorEastAsia"/>
                <w:color w:val="000000" w:themeColor="text1"/>
                <w:szCs w:val="21"/>
              </w:rPr>
              <w:t>1.24%</w:t>
            </w:r>
          </w:p>
        </w:tc>
        <w:tc>
          <w:tcPr>
            <w:tcW w:w="1291" w:type="dxa"/>
            <w:vAlign w:val="center"/>
          </w:tcPr>
          <w:p w:rsidR="00764C3F" w:rsidRDefault="004907C7">
            <w:pPr>
              <w:jc w:val="right"/>
            </w:pPr>
            <w:r>
              <w:rPr>
                <w:rFonts w:eastAsiaTheme="minorEastAsia"/>
                <w:color w:val="000000" w:themeColor="text1"/>
                <w:szCs w:val="21"/>
              </w:rPr>
              <w:t>-2.13%</w:t>
            </w:r>
          </w:p>
        </w:tc>
        <w:tc>
          <w:tcPr>
            <w:tcW w:w="1291" w:type="dxa"/>
            <w:vAlign w:val="center"/>
          </w:tcPr>
          <w:p w:rsidR="00764C3F" w:rsidRDefault="004907C7">
            <w:pPr>
              <w:jc w:val="right"/>
            </w:pPr>
            <w:r>
              <w:rPr>
                <w:rFonts w:eastAsiaTheme="minorEastAsia"/>
                <w:color w:val="000000" w:themeColor="text1"/>
                <w:szCs w:val="21"/>
              </w:rPr>
              <w:t>0.60%</w:t>
            </w:r>
          </w:p>
        </w:tc>
        <w:tc>
          <w:tcPr>
            <w:tcW w:w="1291" w:type="dxa"/>
            <w:vAlign w:val="center"/>
          </w:tcPr>
          <w:p w:rsidR="00764C3F" w:rsidRDefault="004907C7">
            <w:pPr>
              <w:jc w:val="right"/>
            </w:pPr>
            <w:r>
              <w:rPr>
                <w:rFonts w:eastAsiaTheme="minorEastAsia"/>
                <w:color w:val="000000" w:themeColor="text1"/>
                <w:szCs w:val="21"/>
              </w:rPr>
              <w:t>-10.77%</w:t>
            </w:r>
          </w:p>
        </w:tc>
        <w:tc>
          <w:tcPr>
            <w:tcW w:w="1291" w:type="dxa"/>
            <w:vAlign w:val="center"/>
          </w:tcPr>
          <w:p w:rsidR="00764C3F" w:rsidRDefault="004907C7">
            <w:pPr>
              <w:jc w:val="right"/>
            </w:pPr>
            <w:r>
              <w:rPr>
                <w:rFonts w:eastAsiaTheme="minorEastAsia"/>
                <w:color w:val="000000" w:themeColor="text1"/>
                <w:szCs w:val="21"/>
              </w:rPr>
              <w:t>0.64%</w:t>
            </w:r>
          </w:p>
        </w:tc>
      </w:tr>
      <w:tr w:rsidR="00764C3F">
        <w:tc>
          <w:tcPr>
            <w:tcW w:w="1290" w:type="dxa"/>
            <w:vAlign w:val="center"/>
          </w:tcPr>
          <w:p w:rsidR="00764C3F" w:rsidRDefault="004907C7">
            <w:pPr>
              <w:jc w:val="left"/>
            </w:pPr>
            <w:r>
              <w:rPr>
                <w:rFonts w:eastAsiaTheme="minorEastAsia"/>
                <w:color w:val="000000" w:themeColor="text1"/>
                <w:szCs w:val="21"/>
              </w:rPr>
              <w:t>过去六个月</w:t>
            </w:r>
          </w:p>
        </w:tc>
        <w:tc>
          <w:tcPr>
            <w:tcW w:w="1291" w:type="dxa"/>
            <w:vAlign w:val="center"/>
          </w:tcPr>
          <w:p w:rsidR="00764C3F" w:rsidRDefault="004907C7">
            <w:pPr>
              <w:jc w:val="right"/>
            </w:pPr>
            <w:r>
              <w:rPr>
                <w:rFonts w:eastAsiaTheme="minorEastAsia"/>
                <w:color w:val="000000" w:themeColor="text1"/>
                <w:szCs w:val="21"/>
              </w:rPr>
              <w:t>-8.51%</w:t>
            </w:r>
          </w:p>
        </w:tc>
        <w:tc>
          <w:tcPr>
            <w:tcW w:w="1291" w:type="dxa"/>
            <w:vAlign w:val="center"/>
          </w:tcPr>
          <w:p w:rsidR="00764C3F" w:rsidRDefault="004907C7">
            <w:pPr>
              <w:jc w:val="right"/>
            </w:pPr>
            <w:r>
              <w:rPr>
                <w:rFonts w:eastAsiaTheme="minorEastAsia"/>
                <w:color w:val="000000" w:themeColor="text1"/>
                <w:szCs w:val="21"/>
              </w:rPr>
              <w:t>1.12%</w:t>
            </w:r>
          </w:p>
        </w:tc>
        <w:tc>
          <w:tcPr>
            <w:tcW w:w="1291" w:type="dxa"/>
            <w:vAlign w:val="center"/>
          </w:tcPr>
          <w:p w:rsidR="00764C3F" w:rsidRDefault="004907C7">
            <w:pPr>
              <w:jc w:val="right"/>
            </w:pPr>
            <w:r>
              <w:rPr>
                <w:rFonts w:eastAsiaTheme="minorEastAsia"/>
                <w:color w:val="000000" w:themeColor="text1"/>
                <w:szCs w:val="21"/>
              </w:rPr>
              <w:t>-0.45%</w:t>
            </w:r>
          </w:p>
        </w:tc>
        <w:tc>
          <w:tcPr>
            <w:tcW w:w="1291" w:type="dxa"/>
            <w:vAlign w:val="center"/>
          </w:tcPr>
          <w:p w:rsidR="00764C3F" w:rsidRDefault="004907C7">
            <w:pPr>
              <w:jc w:val="right"/>
            </w:pPr>
            <w:r>
              <w:rPr>
                <w:rFonts w:eastAsiaTheme="minorEastAsia"/>
                <w:color w:val="000000" w:themeColor="text1"/>
                <w:szCs w:val="21"/>
              </w:rPr>
              <w:t>0.61%</w:t>
            </w:r>
          </w:p>
        </w:tc>
        <w:tc>
          <w:tcPr>
            <w:tcW w:w="1291" w:type="dxa"/>
            <w:vAlign w:val="center"/>
          </w:tcPr>
          <w:p w:rsidR="00764C3F" w:rsidRDefault="004907C7">
            <w:pPr>
              <w:jc w:val="right"/>
            </w:pPr>
            <w:r>
              <w:rPr>
                <w:rFonts w:eastAsiaTheme="minorEastAsia"/>
                <w:color w:val="000000" w:themeColor="text1"/>
                <w:szCs w:val="21"/>
              </w:rPr>
              <w:t>-8.06%</w:t>
            </w:r>
          </w:p>
        </w:tc>
        <w:tc>
          <w:tcPr>
            <w:tcW w:w="1291" w:type="dxa"/>
            <w:vAlign w:val="center"/>
          </w:tcPr>
          <w:p w:rsidR="00764C3F" w:rsidRDefault="004907C7">
            <w:pPr>
              <w:jc w:val="right"/>
            </w:pPr>
            <w:r>
              <w:rPr>
                <w:rFonts w:eastAsiaTheme="minorEastAsia"/>
                <w:color w:val="000000" w:themeColor="text1"/>
                <w:szCs w:val="21"/>
              </w:rPr>
              <w:t>0.51%</w:t>
            </w:r>
          </w:p>
        </w:tc>
      </w:tr>
      <w:tr w:rsidR="00764C3F">
        <w:tc>
          <w:tcPr>
            <w:tcW w:w="1290" w:type="dxa"/>
            <w:vAlign w:val="center"/>
          </w:tcPr>
          <w:p w:rsidR="00764C3F" w:rsidRDefault="004907C7">
            <w:pPr>
              <w:jc w:val="left"/>
            </w:pPr>
            <w:r>
              <w:rPr>
                <w:rFonts w:eastAsiaTheme="minorEastAsia"/>
                <w:color w:val="000000" w:themeColor="text1"/>
                <w:szCs w:val="21"/>
              </w:rPr>
              <w:t>过去一年</w:t>
            </w:r>
          </w:p>
        </w:tc>
        <w:tc>
          <w:tcPr>
            <w:tcW w:w="1291" w:type="dxa"/>
            <w:vAlign w:val="center"/>
          </w:tcPr>
          <w:p w:rsidR="00764C3F" w:rsidRDefault="004907C7">
            <w:pPr>
              <w:jc w:val="right"/>
            </w:pPr>
            <w:r>
              <w:rPr>
                <w:rFonts w:eastAsiaTheme="minorEastAsia"/>
                <w:color w:val="000000" w:themeColor="text1"/>
                <w:szCs w:val="21"/>
              </w:rPr>
              <w:t>-25.36%</w:t>
            </w:r>
          </w:p>
        </w:tc>
        <w:tc>
          <w:tcPr>
            <w:tcW w:w="1291" w:type="dxa"/>
            <w:vAlign w:val="center"/>
          </w:tcPr>
          <w:p w:rsidR="00764C3F" w:rsidRDefault="004907C7">
            <w:pPr>
              <w:jc w:val="right"/>
            </w:pPr>
            <w:r>
              <w:rPr>
                <w:rFonts w:eastAsiaTheme="minorEastAsia"/>
                <w:color w:val="000000" w:themeColor="text1"/>
                <w:szCs w:val="21"/>
              </w:rPr>
              <w:t>1.29%</w:t>
            </w:r>
          </w:p>
        </w:tc>
        <w:tc>
          <w:tcPr>
            <w:tcW w:w="1291" w:type="dxa"/>
            <w:vAlign w:val="center"/>
          </w:tcPr>
          <w:p w:rsidR="00764C3F" w:rsidRDefault="004907C7">
            <w:pPr>
              <w:jc w:val="right"/>
            </w:pPr>
            <w:r>
              <w:rPr>
                <w:rFonts w:eastAsiaTheme="minorEastAsia"/>
                <w:color w:val="000000" w:themeColor="text1"/>
                <w:szCs w:val="21"/>
              </w:rPr>
              <w:t>-7.27%</w:t>
            </w:r>
          </w:p>
        </w:tc>
        <w:tc>
          <w:tcPr>
            <w:tcW w:w="1291" w:type="dxa"/>
            <w:vAlign w:val="center"/>
          </w:tcPr>
          <w:p w:rsidR="00764C3F" w:rsidRDefault="004907C7">
            <w:pPr>
              <w:jc w:val="right"/>
            </w:pPr>
            <w:r>
              <w:rPr>
                <w:rFonts w:eastAsiaTheme="minorEastAsia"/>
                <w:color w:val="000000" w:themeColor="text1"/>
                <w:szCs w:val="21"/>
              </w:rPr>
              <w:t>0.75%</w:t>
            </w:r>
          </w:p>
        </w:tc>
        <w:tc>
          <w:tcPr>
            <w:tcW w:w="1291" w:type="dxa"/>
            <w:vAlign w:val="center"/>
          </w:tcPr>
          <w:p w:rsidR="00764C3F" w:rsidRDefault="004907C7">
            <w:pPr>
              <w:jc w:val="right"/>
            </w:pPr>
            <w:r>
              <w:rPr>
                <w:rFonts w:eastAsiaTheme="minorEastAsia"/>
                <w:color w:val="000000" w:themeColor="text1"/>
                <w:szCs w:val="21"/>
              </w:rPr>
              <w:t>-18.09%</w:t>
            </w:r>
          </w:p>
        </w:tc>
        <w:tc>
          <w:tcPr>
            <w:tcW w:w="1291" w:type="dxa"/>
            <w:vAlign w:val="center"/>
          </w:tcPr>
          <w:p w:rsidR="00764C3F" w:rsidRDefault="004907C7">
            <w:pPr>
              <w:jc w:val="right"/>
            </w:pPr>
            <w:r>
              <w:rPr>
                <w:rFonts w:eastAsiaTheme="minorEastAsia"/>
                <w:color w:val="000000" w:themeColor="text1"/>
                <w:szCs w:val="21"/>
              </w:rPr>
              <w:t>0.54%</w:t>
            </w:r>
          </w:p>
        </w:tc>
      </w:tr>
      <w:tr w:rsidR="00764C3F">
        <w:tc>
          <w:tcPr>
            <w:tcW w:w="1290" w:type="dxa"/>
            <w:vAlign w:val="center"/>
          </w:tcPr>
          <w:p w:rsidR="00764C3F" w:rsidRDefault="004907C7">
            <w:pPr>
              <w:jc w:val="left"/>
            </w:pPr>
            <w:r>
              <w:rPr>
                <w:rFonts w:eastAsiaTheme="minorEastAsia"/>
                <w:color w:val="000000" w:themeColor="text1"/>
                <w:szCs w:val="21"/>
              </w:rPr>
              <w:t>过去三年</w:t>
            </w:r>
          </w:p>
        </w:tc>
        <w:tc>
          <w:tcPr>
            <w:tcW w:w="1291" w:type="dxa"/>
            <w:vAlign w:val="center"/>
          </w:tcPr>
          <w:p w:rsidR="00764C3F" w:rsidRDefault="004907C7">
            <w:pPr>
              <w:jc w:val="right"/>
            </w:pPr>
            <w:r>
              <w:rPr>
                <w:rFonts w:eastAsiaTheme="minorEastAsia"/>
                <w:color w:val="000000" w:themeColor="text1"/>
                <w:szCs w:val="21"/>
              </w:rPr>
              <w:t>-22.18%</w:t>
            </w:r>
          </w:p>
        </w:tc>
        <w:tc>
          <w:tcPr>
            <w:tcW w:w="1291" w:type="dxa"/>
            <w:vAlign w:val="center"/>
          </w:tcPr>
          <w:p w:rsidR="00764C3F" w:rsidRDefault="004907C7">
            <w:pPr>
              <w:jc w:val="right"/>
            </w:pPr>
            <w:r>
              <w:rPr>
                <w:rFonts w:eastAsiaTheme="minorEastAsia"/>
                <w:color w:val="000000" w:themeColor="text1"/>
                <w:szCs w:val="21"/>
              </w:rPr>
              <w:t>1.54%</w:t>
            </w:r>
          </w:p>
        </w:tc>
        <w:tc>
          <w:tcPr>
            <w:tcW w:w="1291" w:type="dxa"/>
            <w:vAlign w:val="center"/>
          </w:tcPr>
          <w:p w:rsidR="00764C3F" w:rsidRDefault="004907C7">
            <w:pPr>
              <w:jc w:val="right"/>
            </w:pPr>
            <w:r>
              <w:rPr>
                <w:rFonts w:eastAsiaTheme="minorEastAsia"/>
                <w:color w:val="000000" w:themeColor="text1"/>
                <w:szCs w:val="21"/>
              </w:rPr>
              <w:t>-7.15%</w:t>
            </w:r>
          </w:p>
        </w:tc>
        <w:tc>
          <w:tcPr>
            <w:tcW w:w="1291" w:type="dxa"/>
            <w:vAlign w:val="center"/>
          </w:tcPr>
          <w:p w:rsidR="00764C3F" w:rsidRDefault="004907C7">
            <w:pPr>
              <w:jc w:val="right"/>
            </w:pPr>
            <w:r>
              <w:rPr>
                <w:rFonts w:eastAsiaTheme="minorEastAsia"/>
                <w:color w:val="000000" w:themeColor="text1"/>
                <w:szCs w:val="21"/>
              </w:rPr>
              <w:t>0.83%</w:t>
            </w:r>
          </w:p>
        </w:tc>
        <w:tc>
          <w:tcPr>
            <w:tcW w:w="1291" w:type="dxa"/>
            <w:vAlign w:val="center"/>
          </w:tcPr>
          <w:p w:rsidR="00764C3F" w:rsidRDefault="004907C7">
            <w:pPr>
              <w:jc w:val="right"/>
            </w:pPr>
            <w:r>
              <w:rPr>
                <w:rFonts w:eastAsiaTheme="minorEastAsia"/>
                <w:color w:val="000000" w:themeColor="text1"/>
                <w:szCs w:val="21"/>
              </w:rPr>
              <w:t>-15.03%</w:t>
            </w:r>
          </w:p>
        </w:tc>
        <w:tc>
          <w:tcPr>
            <w:tcW w:w="1291" w:type="dxa"/>
            <w:vAlign w:val="center"/>
          </w:tcPr>
          <w:p w:rsidR="00764C3F" w:rsidRDefault="004907C7">
            <w:pPr>
              <w:jc w:val="right"/>
            </w:pPr>
            <w:r>
              <w:rPr>
                <w:rFonts w:eastAsiaTheme="minorEastAsia"/>
                <w:color w:val="000000" w:themeColor="text1"/>
                <w:szCs w:val="21"/>
              </w:rPr>
              <w:t>0.71%</w:t>
            </w:r>
          </w:p>
        </w:tc>
      </w:tr>
      <w:tr w:rsidR="00764C3F">
        <w:tc>
          <w:tcPr>
            <w:tcW w:w="1290" w:type="dxa"/>
            <w:vAlign w:val="center"/>
          </w:tcPr>
          <w:p w:rsidR="00764C3F" w:rsidRDefault="004907C7">
            <w:pPr>
              <w:jc w:val="left"/>
            </w:pPr>
            <w:r>
              <w:rPr>
                <w:rFonts w:eastAsiaTheme="minorEastAsia"/>
                <w:color w:val="000000" w:themeColor="text1"/>
                <w:szCs w:val="21"/>
              </w:rPr>
              <w:t>过去五年</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r>
      <w:tr w:rsidR="00764C3F">
        <w:tc>
          <w:tcPr>
            <w:tcW w:w="1290" w:type="dxa"/>
            <w:vAlign w:val="center"/>
          </w:tcPr>
          <w:p w:rsidR="00764C3F" w:rsidRDefault="004907C7">
            <w:pPr>
              <w:jc w:val="left"/>
            </w:pPr>
            <w:r>
              <w:rPr>
                <w:rFonts w:eastAsiaTheme="minorEastAsia"/>
                <w:color w:val="000000" w:themeColor="text1"/>
                <w:szCs w:val="21"/>
              </w:rPr>
              <w:t>自基金合同生效起至今</w:t>
            </w:r>
          </w:p>
        </w:tc>
        <w:tc>
          <w:tcPr>
            <w:tcW w:w="1291" w:type="dxa"/>
            <w:vAlign w:val="center"/>
          </w:tcPr>
          <w:p w:rsidR="00764C3F" w:rsidRDefault="004907C7">
            <w:pPr>
              <w:jc w:val="right"/>
            </w:pPr>
            <w:r>
              <w:rPr>
                <w:rFonts w:eastAsiaTheme="minorEastAsia"/>
                <w:color w:val="000000" w:themeColor="text1"/>
                <w:szCs w:val="21"/>
              </w:rPr>
              <w:t>7.66%</w:t>
            </w:r>
          </w:p>
        </w:tc>
        <w:tc>
          <w:tcPr>
            <w:tcW w:w="1291" w:type="dxa"/>
            <w:vAlign w:val="center"/>
          </w:tcPr>
          <w:p w:rsidR="00764C3F" w:rsidRDefault="004907C7">
            <w:pPr>
              <w:jc w:val="right"/>
            </w:pPr>
            <w:r>
              <w:rPr>
                <w:rFonts w:eastAsiaTheme="minorEastAsia"/>
                <w:color w:val="000000" w:themeColor="text1"/>
                <w:szCs w:val="21"/>
              </w:rPr>
              <w:t>1.42%</w:t>
            </w:r>
          </w:p>
        </w:tc>
        <w:tc>
          <w:tcPr>
            <w:tcW w:w="1291" w:type="dxa"/>
            <w:vAlign w:val="center"/>
          </w:tcPr>
          <w:p w:rsidR="00764C3F" w:rsidRDefault="004907C7">
            <w:pPr>
              <w:jc w:val="right"/>
            </w:pPr>
            <w:r>
              <w:rPr>
                <w:rFonts w:eastAsiaTheme="minorEastAsia"/>
                <w:color w:val="000000" w:themeColor="text1"/>
                <w:szCs w:val="21"/>
              </w:rPr>
              <w:t>-4.36%</w:t>
            </w:r>
          </w:p>
        </w:tc>
        <w:tc>
          <w:tcPr>
            <w:tcW w:w="1291" w:type="dxa"/>
            <w:vAlign w:val="center"/>
          </w:tcPr>
          <w:p w:rsidR="00764C3F" w:rsidRDefault="004907C7">
            <w:pPr>
              <w:jc w:val="right"/>
            </w:pPr>
            <w:r>
              <w:rPr>
                <w:rFonts w:eastAsiaTheme="minorEastAsia"/>
                <w:color w:val="000000" w:themeColor="text1"/>
                <w:szCs w:val="21"/>
              </w:rPr>
              <w:t>0.83%</w:t>
            </w:r>
          </w:p>
        </w:tc>
        <w:tc>
          <w:tcPr>
            <w:tcW w:w="1291" w:type="dxa"/>
            <w:vAlign w:val="center"/>
          </w:tcPr>
          <w:p w:rsidR="00764C3F" w:rsidRDefault="004907C7">
            <w:pPr>
              <w:jc w:val="right"/>
            </w:pPr>
            <w:r>
              <w:rPr>
                <w:rFonts w:eastAsiaTheme="minorEastAsia"/>
                <w:color w:val="000000" w:themeColor="text1"/>
                <w:szCs w:val="21"/>
              </w:rPr>
              <w:t>12.02%</w:t>
            </w:r>
          </w:p>
        </w:tc>
        <w:tc>
          <w:tcPr>
            <w:tcW w:w="1291" w:type="dxa"/>
            <w:vAlign w:val="center"/>
          </w:tcPr>
          <w:p w:rsidR="00764C3F" w:rsidRDefault="004907C7">
            <w:pPr>
              <w:jc w:val="right"/>
            </w:pPr>
            <w:r>
              <w:rPr>
                <w:rFonts w:eastAsiaTheme="minorEastAsia"/>
                <w:color w:val="000000" w:themeColor="text1"/>
                <w:szCs w:val="21"/>
              </w:rPr>
              <w:t>0.59%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摩根领先优选混合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64C3F">
        <w:tc>
          <w:tcPr>
            <w:tcW w:w="1290" w:type="dxa"/>
            <w:vAlign w:val="center"/>
          </w:tcPr>
          <w:p w:rsidR="00764C3F" w:rsidRDefault="004907C7">
            <w:pPr>
              <w:jc w:val="left"/>
            </w:pPr>
            <w:r>
              <w:rPr>
                <w:rFonts w:eastAsiaTheme="minorEastAsia"/>
                <w:color w:val="000000" w:themeColor="text1"/>
                <w:szCs w:val="21"/>
              </w:rPr>
              <w:t>过去三个月</w:t>
            </w:r>
          </w:p>
        </w:tc>
        <w:tc>
          <w:tcPr>
            <w:tcW w:w="1291" w:type="dxa"/>
            <w:vAlign w:val="center"/>
          </w:tcPr>
          <w:p w:rsidR="00764C3F" w:rsidRDefault="004907C7">
            <w:pPr>
              <w:jc w:val="right"/>
            </w:pPr>
            <w:r>
              <w:rPr>
                <w:rFonts w:eastAsiaTheme="minorEastAsia"/>
                <w:color w:val="000000" w:themeColor="text1"/>
                <w:szCs w:val="21"/>
              </w:rPr>
              <w:t>-13.02%</w:t>
            </w:r>
          </w:p>
        </w:tc>
        <w:tc>
          <w:tcPr>
            <w:tcW w:w="1291" w:type="dxa"/>
            <w:vAlign w:val="center"/>
          </w:tcPr>
          <w:p w:rsidR="00764C3F" w:rsidRDefault="004907C7">
            <w:pPr>
              <w:jc w:val="right"/>
            </w:pPr>
            <w:r>
              <w:rPr>
                <w:rFonts w:eastAsiaTheme="minorEastAsia"/>
                <w:color w:val="000000" w:themeColor="text1"/>
                <w:szCs w:val="21"/>
              </w:rPr>
              <w:t>1.24%</w:t>
            </w:r>
          </w:p>
        </w:tc>
        <w:tc>
          <w:tcPr>
            <w:tcW w:w="1291" w:type="dxa"/>
            <w:vAlign w:val="center"/>
          </w:tcPr>
          <w:p w:rsidR="00764C3F" w:rsidRDefault="004907C7">
            <w:pPr>
              <w:jc w:val="right"/>
            </w:pPr>
            <w:r>
              <w:rPr>
                <w:rFonts w:eastAsiaTheme="minorEastAsia"/>
                <w:color w:val="000000" w:themeColor="text1"/>
                <w:szCs w:val="21"/>
              </w:rPr>
              <w:t>-2.13%</w:t>
            </w:r>
          </w:p>
        </w:tc>
        <w:tc>
          <w:tcPr>
            <w:tcW w:w="1291" w:type="dxa"/>
            <w:vAlign w:val="center"/>
          </w:tcPr>
          <w:p w:rsidR="00764C3F" w:rsidRDefault="004907C7">
            <w:pPr>
              <w:jc w:val="right"/>
            </w:pPr>
            <w:r>
              <w:rPr>
                <w:rFonts w:eastAsiaTheme="minorEastAsia"/>
                <w:color w:val="000000" w:themeColor="text1"/>
                <w:szCs w:val="21"/>
              </w:rPr>
              <w:t>0.60%</w:t>
            </w:r>
          </w:p>
        </w:tc>
        <w:tc>
          <w:tcPr>
            <w:tcW w:w="1291" w:type="dxa"/>
            <w:vAlign w:val="center"/>
          </w:tcPr>
          <w:p w:rsidR="00764C3F" w:rsidRDefault="004907C7">
            <w:pPr>
              <w:jc w:val="right"/>
            </w:pPr>
            <w:r>
              <w:rPr>
                <w:rFonts w:eastAsiaTheme="minorEastAsia"/>
                <w:color w:val="000000" w:themeColor="text1"/>
                <w:szCs w:val="21"/>
              </w:rPr>
              <w:t>-10.89%</w:t>
            </w:r>
          </w:p>
        </w:tc>
        <w:tc>
          <w:tcPr>
            <w:tcW w:w="1291" w:type="dxa"/>
            <w:vAlign w:val="center"/>
          </w:tcPr>
          <w:p w:rsidR="00764C3F" w:rsidRDefault="004907C7">
            <w:pPr>
              <w:jc w:val="right"/>
            </w:pPr>
            <w:r>
              <w:rPr>
                <w:rFonts w:eastAsiaTheme="minorEastAsia"/>
                <w:color w:val="000000" w:themeColor="text1"/>
                <w:szCs w:val="21"/>
              </w:rPr>
              <w:t>0.64%</w:t>
            </w:r>
          </w:p>
        </w:tc>
      </w:tr>
      <w:tr w:rsidR="00764C3F">
        <w:tc>
          <w:tcPr>
            <w:tcW w:w="1290" w:type="dxa"/>
            <w:vAlign w:val="center"/>
          </w:tcPr>
          <w:p w:rsidR="00764C3F" w:rsidRDefault="004907C7">
            <w:pPr>
              <w:jc w:val="left"/>
            </w:pPr>
            <w:r>
              <w:rPr>
                <w:rFonts w:eastAsiaTheme="minorEastAsia"/>
                <w:color w:val="000000" w:themeColor="text1"/>
                <w:szCs w:val="21"/>
              </w:rPr>
              <w:t>过去六个月</w:t>
            </w:r>
          </w:p>
        </w:tc>
        <w:tc>
          <w:tcPr>
            <w:tcW w:w="1291" w:type="dxa"/>
            <w:vAlign w:val="center"/>
          </w:tcPr>
          <w:p w:rsidR="00764C3F" w:rsidRDefault="004907C7">
            <w:pPr>
              <w:jc w:val="right"/>
            </w:pPr>
            <w:r>
              <w:rPr>
                <w:rFonts w:eastAsiaTheme="minorEastAsia"/>
                <w:color w:val="000000" w:themeColor="text1"/>
                <w:szCs w:val="21"/>
              </w:rPr>
              <w:t>-8.77%</w:t>
            </w:r>
          </w:p>
        </w:tc>
        <w:tc>
          <w:tcPr>
            <w:tcW w:w="1291" w:type="dxa"/>
            <w:vAlign w:val="center"/>
          </w:tcPr>
          <w:p w:rsidR="00764C3F" w:rsidRDefault="004907C7">
            <w:pPr>
              <w:jc w:val="right"/>
            </w:pPr>
            <w:r>
              <w:rPr>
                <w:rFonts w:eastAsiaTheme="minorEastAsia"/>
                <w:color w:val="000000" w:themeColor="text1"/>
                <w:szCs w:val="21"/>
              </w:rPr>
              <w:t>1.12%</w:t>
            </w:r>
          </w:p>
        </w:tc>
        <w:tc>
          <w:tcPr>
            <w:tcW w:w="1291" w:type="dxa"/>
            <w:vAlign w:val="center"/>
          </w:tcPr>
          <w:p w:rsidR="00764C3F" w:rsidRDefault="004907C7">
            <w:pPr>
              <w:jc w:val="right"/>
            </w:pPr>
            <w:r>
              <w:rPr>
                <w:rFonts w:eastAsiaTheme="minorEastAsia"/>
                <w:color w:val="000000" w:themeColor="text1"/>
                <w:szCs w:val="21"/>
              </w:rPr>
              <w:t>-0.45%</w:t>
            </w:r>
          </w:p>
        </w:tc>
        <w:tc>
          <w:tcPr>
            <w:tcW w:w="1291" w:type="dxa"/>
            <w:vAlign w:val="center"/>
          </w:tcPr>
          <w:p w:rsidR="00764C3F" w:rsidRDefault="004907C7">
            <w:pPr>
              <w:jc w:val="right"/>
            </w:pPr>
            <w:r>
              <w:rPr>
                <w:rFonts w:eastAsiaTheme="minorEastAsia"/>
                <w:color w:val="000000" w:themeColor="text1"/>
                <w:szCs w:val="21"/>
              </w:rPr>
              <w:t>0.61%</w:t>
            </w:r>
          </w:p>
        </w:tc>
        <w:tc>
          <w:tcPr>
            <w:tcW w:w="1291" w:type="dxa"/>
            <w:vAlign w:val="center"/>
          </w:tcPr>
          <w:p w:rsidR="00764C3F" w:rsidRDefault="004907C7">
            <w:pPr>
              <w:jc w:val="right"/>
            </w:pPr>
            <w:r>
              <w:rPr>
                <w:rFonts w:eastAsiaTheme="minorEastAsia"/>
                <w:color w:val="000000" w:themeColor="text1"/>
                <w:szCs w:val="21"/>
              </w:rPr>
              <w:t>-8.32%</w:t>
            </w:r>
          </w:p>
        </w:tc>
        <w:tc>
          <w:tcPr>
            <w:tcW w:w="1291" w:type="dxa"/>
            <w:vAlign w:val="center"/>
          </w:tcPr>
          <w:p w:rsidR="00764C3F" w:rsidRDefault="004907C7">
            <w:pPr>
              <w:jc w:val="right"/>
            </w:pPr>
            <w:r>
              <w:rPr>
                <w:rFonts w:eastAsiaTheme="minorEastAsia"/>
                <w:color w:val="000000" w:themeColor="text1"/>
                <w:szCs w:val="21"/>
              </w:rPr>
              <w:t>0.51%</w:t>
            </w:r>
          </w:p>
        </w:tc>
      </w:tr>
      <w:tr w:rsidR="00764C3F">
        <w:tc>
          <w:tcPr>
            <w:tcW w:w="1290" w:type="dxa"/>
            <w:vAlign w:val="center"/>
          </w:tcPr>
          <w:p w:rsidR="00764C3F" w:rsidRDefault="004907C7">
            <w:pPr>
              <w:jc w:val="left"/>
            </w:pPr>
            <w:r>
              <w:rPr>
                <w:rFonts w:eastAsiaTheme="minorEastAsia"/>
                <w:color w:val="000000" w:themeColor="text1"/>
                <w:szCs w:val="21"/>
              </w:rPr>
              <w:t>过去一年</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r>
      <w:tr w:rsidR="00764C3F">
        <w:tc>
          <w:tcPr>
            <w:tcW w:w="1290" w:type="dxa"/>
            <w:vAlign w:val="center"/>
          </w:tcPr>
          <w:p w:rsidR="00764C3F" w:rsidRDefault="004907C7">
            <w:pPr>
              <w:jc w:val="left"/>
            </w:pPr>
            <w:r>
              <w:rPr>
                <w:rFonts w:eastAsiaTheme="minorEastAsia"/>
                <w:color w:val="000000" w:themeColor="text1"/>
                <w:szCs w:val="21"/>
              </w:rPr>
              <w:t>过去三年</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r>
      <w:tr w:rsidR="00764C3F">
        <w:tc>
          <w:tcPr>
            <w:tcW w:w="1290" w:type="dxa"/>
            <w:vAlign w:val="center"/>
          </w:tcPr>
          <w:p w:rsidR="00764C3F" w:rsidRDefault="004907C7">
            <w:pPr>
              <w:jc w:val="left"/>
            </w:pPr>
            <w:r>
              <w:rPr>
                <w:rFonts w:eastAsiaTheme="minorEastAsia"/>
                <w:color w:val="000000" w:themeColor="text1"/>
                <w:szCs w:val="21"/>
              </w:rPr>
              <w:t>过去五年</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c>
          <w:tcPr>
            <w:tcW w:w="1291" w:type="dxa"/>
            <w:vAlign w:val="center"/>
          </w:tcPr>
          <w:p w:rsidR="00764C3F" w:rsidRDefault="004907C7">
            <w:pPr>
              <w:jc w:val="right"/>
            </w:pPr>
            <w:r>
              <w:rPr>
                <w:rFonts w:eastAsiaTheme="minorEastAsia"/>
                <w:color w:val="000000" w:themeColor="text1"/>
                <w:szCs w:val="21"/>
              </w:rPr>
              <w:t>-</w:t>
            </w:r>
          </w:p>
        </w:tc>
      </w:tr>
      <w:tr w:rsidR="00764C3F">
        <w:tc>
          <w:tcPr>
            <w:tcW w:w="1290" w:type="dxa"/>
            <w:vAlign w:val="center"/>
          </w:tcPr>
          <w:p w:rsidR="00764C3F" w:rsidRDefault="004907C7">
            <w:pPr>
              <w:jc w:val="left"/>
            </w:pPr>
            <w:r>
              <w:rPr>
                <w:rFonts w:eastAsiaTheme="minorEastAsia"/>
                <w:color w:val="000000" w:themeColor="text1"/>
                <w:szCs w:val="21"/>
              </w:rPr>
              <w:t>自基金合同生效起至今</w:t>
            </w:r>
          </w:p>
        </w:tc>
        <w:tc>
          <w:tcPr>
            <w:tcW w:w="1291" w:type="dxa"/>
            <w:vAlign w:val="center"/>
          </w:tcPr>
          <w:p w:rsidR="00764C3F" w:rsidRDefault="004907C7">
            <w:pPr>
              <w:jc w:val="right"/>
            </w:pPr>
            <w:r>
              <w:rPr>
                <w:rFonts w:eastAsiaTheme="minorEastAsia"/>
                <w:color w:val="000000" w:themeColor="text1"/>
                <w:szCs w:val="21"/>
              </w:rPr>
              <w:t>-13.98%</w:t>
            </w:r>
          </w:p>
        </w:tc>
        <w:tc>
          <w:tcPr>
            <w:tcW w:w="1291" w:type="dxa"/>
            <w:vAlign w:val="center"/>
          </w:tcPr>
          <w:p w:rsidR="00764C3F" w:rsidRDefault="004907C7">
            <w:pPr>
              <w:jc w:val="right"/>
            </w:pPr>
            <w:r>
              <w:rPr>
                <w:rFonts w:eastAsiaTheme="minorEastAsia"/>
                <w:color w:val="000000" w:themeColor="text1"/>
                <w:szCs w:val="21"/>
              </w:rPr>
              <w:t>1.07%</w:t>
            </w:r>
          </w:p>
        </w:tc>
        <w:tc>
          <w:tcPr>
            <w:tcW w:w="1291" w:type="dxa"/>
            <w:vAlign w:val="center"/>
          </w:tcPr>
          <w:p w:rsidR="00764C3F" w:rsidRDefault="004907C7">
            <w:pPr>
              <w:jc w:val="right"/>
            </w:pPr>
            <w:r>
              <w:rPr>
                <w:rFonts w:eastAsiaTheme="minorEastAsia"/>
                <w:color w:val="000000" w:themeColor="text1"/>
                <w:szCs w:val="21"/>
              </w:rPr>
              <w:t>3.78%</w:t>
            </w:r>
          </w:p>
        </w:tc>
        <w:tc>
          <w:tcPr>
            <w:tcW w:w="1291" w:type="dxa"/>
            <w:vAlign w:val="center"/>
          </w:tcPr>
          <w:p w:rsidR="00764C3F" w:rsidRDefault="004907C7">
            <w:pPr>
              <w:jc w:val="right"/>
            </w:pPr>
            <w:r>
              <w:rPr>
                <w:rFonts w:eastAsiaTheme="minorEastAsia"/>
                <w:color w:val="000000" w:themeColor="text1"/>
                <w:szCs w:val="21"/>
              </w:rPr>
              <w:t>0.65%</w:t>
            </w:r>
          </w:p>
        </w:tc>
        <w:tc>
          <w:tcPr>
            <w:tcW w:w="1291" w:type="dxa"/>
            <w:vAlign w:val="center"/>
          </w:tcPr>
          <w:p w:rsidR="00764C3F" w:rsidRDefault="004907C7">
            <w:pPr>
              <w:jc w:val="right"/>
            </w:pPr>
            <w:r>
              <w:rPr>
                <w:rFonts w:eastAsiaTheme="minorEastAsia"/>
                <w:color w:val="000000" w:themeColor="text1"/>
                <w:szCs w:val="21"/>
              </w:rPr>
              <w:t>-17.76%</w:t>
            </w:r>
          </w:p>
        </w:tc>
        <w:tc>
          <w:tcPr>
            <w:tcW w:w="1291" w:type="dxa"/>
            <w:vAlign w:val="center"/>
          </w:tcPr>
          <w:p w:rsidR="00764C3F" w:rsidRDefault="004907C7">
            <w:pPr>
              <w:jc w:val="right"/>
            </w:pPr>
            <w:r>
              <w:rPr>
                <w:rFonts w:eastAsiaTheme="minorEastAsia"/>
                <w:color w:val="000000" w:themeColor="text1"/>
                <w:szCs w:val="21"/>
              </w:rPr>
              <w:t>0.42%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摩根领先优选混合型证券投资基金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．摩根领先优选混合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．摩根领先优选混合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64C3F">
        <w:tc>
          <w:tcPr>
            <w:tcW w:w="952" w:type="dxa"/>
            <w:vAlign w:val="center"/>
          </w:tcPr>
          <w:p w:rsidR="00764C3F" w:rsidRDefault="004907C7">
            <w:pPr>
              <w:jc w:val="center"/>
            </w:pPr>
            <w:r>
              <w:rPr>
                <w:rFonts w:eastAsiaTheme="minorEastAsia"/>
                <w:color w:val="000000" w:themeColor="text1"/>
                <w:szCs w:val="21"/>
              </w:rPr>
              <w:t>王丽军</w:t>
            </w:r>
          </w:p>
        </w:tc>
        <w:tc>
          <w:tcPr>
            <w:tcW w:w="930" w:type="dxa"/>
            <w:vAlign w:val="center"/>
          </w:tcPr>
          <w:p w:rsidR="00764C3F" w:rsidRDefault="004907C7">
            <w:pPr>
              <w:jc w:val="center"/>
            </w:pPr>
            <w:r>
              <w:rPr>
                <w:rFonts w:eastAsiaTheme="minorEastAsia"/>
                <w:color w:val="000000" w:themeColor="text1"/>
                <w:szCs w:val="21"/>
              </w:rPr>
              <w:t>本基金基金经理</w:t>
            </w:r>
          </w:p>
        </w:tc>
        <w:tc>
          <w:tcPr>
            <w:tcW w:w="1210" w:type="dxa"/>
            <w:vAlign w:val="center"/>
          </w:tcPr>
          <w:p w:rsidR="00764C3F" w:rsidRDefault="004907C7">
            <w:pPr>
              <w:jc w:val="center"/>
            </w:pPr>
            <w:r>
              <w:rPr>
                <w:rFonts w:eastAsiaTheme="minorEastAsia"/>
                <w:color w:val="000000" w:themeColor="text1"/>
                <w:szCs w:val="21"/>
              </w:rPr>
              <w:t>2019-03-20</w:t>
            </w:r>
          </w:p>
        </w:tc>
        <w:tc>
          <w:tcPr>
            <w:tcW w:w="1309" w:type="dxa"/>
            <w:vAlign w:val="center"/>
          </w:tcPr>
          <w:p w:rsidR="00764C3F" w:rsidRDefault="004907C7">
            <w:pPr>
              <w:jc w:val="center"/>
            </w:pPr>
            <w:r>
              <w:rPr>
                <w:rFonts w:eastAsiaTheme="minorEastAsia"/>
                <w:color w:val="000000" w:themeColor="text1"/>
                <w:szCs w:val="21"/>
              </w:rPr>
              <w:t>-</w:t>
            </w:r>
          </w:p>
        </w:tc>
        <w:tc>
          <w:tcPr>
            <w:tcW w:w="1254" w:type="dxa"/>
            <w:vAlign w:val="center"/>
          </w:tcPr>
          <w:p w:rsidR="00764C3F" w:rsidRDefault="004907C7">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764C3F" w:rsidRDefault="004907C7">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基金经理助理，现任基金经理。</w:t>
            </w:r>
          </w:p>
        </w:tc>
      </w:tr>
      <w:tr w:rsidR="00764C3F">
        <w:tc>
          <w:tcPr>
            <w:tcW w:w="952" w:type="dxa"/>
            <w:vAlign w:val="center"/>
          </w:tcPr>
          <w:p w:rsidR="00764C3F" w:rsidRDefault="004907C7">
            <w:pPr>
              <w:jc w:val="center"/>
            </w:pPr>
            <w:r>
              <w:rPr>
                <w:rFonts w:eastAsiaTheme="minorEastAsia"/>
                <w:color w:val="000000" w:themeColor="text1"/>
                <w:szCs w:val="21"/>
              </w:rPr>
              <w:t>徐项楠</w:t>
            </w:r>
          </w:p>
        </w:tc>
        <w:tc>
          <w:tcPr>
            <w:tcW w:w="930" w:type="dxa"/>
            <w:vAlign w:val="center"/>
          </w:tcPr>
          <w:p w:rsidR="00764C3F" w:rsidRDefault="004907C7">
            <w:pPr>
              <w:jc w:val="center"/>
            </w:pPr>
            <w:r>
              <w:rPr>
                <w:rFonts w:eastAsiaTheme="minorEastAsia"/>
                <w:color w:val="000000" w:themeColor="text1"/>
                <w:szCs w:val="21"/>
              </w:rPr>
              <w:t>本基金基金经理</w:t>
            </w:r>
          </w:p>
        </w:tc>
        <w:tc>
          <w:tcPr>
            <w:tcW w:w="1210" w:type="dxa"/>
            <w:vAlign w:val="center"/>
          </w:tcPr>
          <w:p w:rsidR="00764C3F" w:rsidRDefault="004907C7">
            <w:pPr>
              <w:jc w:val="center"/>
            </w:pPr>
            <w:r>
              <w:rPr>
                <w:rFonts w:eastAsiaTheme="minorEastAsia"/>
                <w:color w:val="000000" w:themeColor="text1"/>
                <w:szCs w:val="21"/>
              </w:rPr>
              <w:t>2023-03-03</w:t>
            </w:r>
          </w:p>
        </w:tc>
        <w:tc>
          <w:tcPr>
            <w:tcW w:w="1309" w:type="dxa"/>
            <w:vAlign w:val="center"/>
          </w:tcPr>
          <w:p w:rsidR="00764C3F" w:rsidRDefault="004907C7">
            <w:pPr>
              <w:jc w:val="center"/>
            </w:pPr>
            <w:r>
              <w:rPr>
                <w:rFonts w:eastAsiaTheme="minorEastAsia"/>
                <w:color w:val="000000" w:themeColor="text1"/>
                <w:szCs w:val="21"/>
              </w:rPr>
              <w:t>-</w:t>
            </w:r>
          </w:p>
        </w:tc>
        <w:tc>
          <w:tcPr>
            <w:tcW w:w="1254" w:type="dxa"/>
            <w:vAlign w:val="center"/>
          </w:tcPr>
          <w:p w:rsidR="00764C3F" w:rsidRDefault="004907C7">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764C3F" w:rsidRDefault="004907C7">
            <w:r>
              <w:rPr>
                <w:rFonts w:eastAsiaTheme="minorEastAsia"/>
                <w:color w:val="000000" w:themeColor="text1"/>
                <w:szCs w:val="21"/>
              </w:rPr>
              <w:t>徐项楠先生曾任中海基金管理有限公司行业分析师，中银基金管理有限公司高级分析师。</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月加入摩根基金管理（中国）有限公司（原上投摩根基金管理有限公司），历任研究员、行业专家、行业专家</w:t>
            </w:r>
            <w:r>
              <w:rPr>
                <w:rFonts w:eastAsiaTheme="minorEastAsia"/>
                <w:color w:val="000000" w:themeColor="text1"/>
                <w:szCs w:val="21"/>
              </w:rPr>
              <w:t>/</w:t>
            </w:r>
            <w:r>
              <w:rPr>
                <w:rFonts w:eastAsiaTheme="minorEastAsia"/>
                <w:color w:val="000000" w:themeColor="text1"/>
                <w:szCs w:val="21"/>
              </w:rPr>
              <w:t>基金经理助理，现任高级基金经理。</w:t>
            </w:r>
          </w:p>
        </w:tc>
      </w:tr>
    </w:tbl>
    <w:p w:rsidR="00764C3F" w:rsidRDefault="004907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64C3F" w:rsidRDefault="004907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王丽军女士为本基金首任基金经理，其任职日期指本基金基金合同生效之日。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年第二季度经济动能有所放缓。一季度经济快速恢复主要受到疫情后供给恢复和积压需求推动，而进入二季度，随着疫情后第一阶段恢复基本完成，经济内生需求偏弱的特点开始显现。尤其是</w:t>
      </w:r>
      <w:r>
        <w:rPr>
          <w:rFonts w:eastAsiaTheme="minorEastAsia"/>
          <w:color w:val="000000" w:themeColor="text1"/>
          <w:szCs w:val="21"/>
        </w:rPr>
        <w:t>4</w:t>
      </w:r>
      <w:r>
        <w:rPr>
          <w:rFonts w:eastAsiaTheme="minorEastAsia"/>
          <w:color w:val="000000" w:themeColor="text1"/>
          <w:szCs w:val="21"/>
        </w:rPr>
        <w:t>月多数宏观经济指标虽然在低基数支撑下同比增速有所改善，但是均低于市场预期，且季调环比增速回落幅度较大，工业增加值、固定资产投资等指标甚至呈现负增长，经济动能显著放缓。</w:t>
      </w: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月以来，经济数据环比有所改善，但复合增速代表的绝对水平仍然低于一季度</w:t>
      </w:r>
      <w:r>
        <w:rPr>
          <w:rFonts w:eastAsiaTheme="minorEastAsia"/>
          <w:color w:val="000000" w:themeColor="text1"/>
          <w:szCs w:val="21"/>
        </w:rPr>
        <w:t>，使得整个二季度经济增速水平较一季度放缓。经济动能的放缓也带动物价水平，尤其是</w:t>
      </w:r>
      <w:r>
        <w:rPr>
          <w:rFonts w:eastAsiaTheme="minorEastAsia"/>
          <w:color w:val="000000" w:themeColor="text1"/>
          <w:szCs w:val="21"/>
        </w:rPr>
        <w:t>PPI</w:t>
      </w:r>
      <w:r>
        <w:rPr>
          <w:rFonts w:eastAsiaTheme="minorEastAsia"/>
          <w:color w:val="000000" w:themeColor="text1"/>
          <w:szCs w:val="21"/>
        </w:rPr>
        <w:t>的下行，进一步使得企业盈利承压。内生需求偏弱背后一方面是外需的环比走弱，另一方面是内需在房地产市场再度走弱、居民部门消费倾向不足等因素的作用下走弱。政策层面，虽然央行维持相对宽</w:t>
      </w:r>
      <w:r>
        <w:rPr>
          <w:rFonts w:eastAsiaTheme="minorEastAsia"/>
          <w:color w:val="000000" w:themeColor="text1"/>
          <w:szCs w:val="21"/>
        </w:rPr>
        <w:lastRenderedPageBreak/>
        <w:t>松的流动性环境并在二季度降息</w:t>
      </w:r>
      <w:r>
        <w:rPr>
          <w:rFonts w:eastAsiaTheme="minorEastAsia"/>
          <w:color w:val="000000" w:themeColor="text1"/>
          <w:szCs w:val="21"/>
        </w:rPr>
        <w:t>10bp</w:t>
      </w:r>
      <w:r>
        <w:rPr>
          <w:rFonts w:eastAsiaTheme="minorEastAsia"/>
          <w:color w:val="000000" w:themeColor="text1"/>
          <w:szCs w:val="21"/>
        </w:rPr>
        <w:t>，进一步加大逆周期调节力度，财政政策整体加力提效，地产支持政策在</w:t>
      </w:r>
      <w:r>
        <w:rPr>
          <w:rFonts w:eastAsiaTheme="minorEastAsia"/>
          <w:color w:val="000000" w:themeColor="text1"/>
          <w:szCs w:val="21"/>
        </w:rPr>
        <w:t>“</w:t>
      </w:r>
      <w:r>
        <w:rPr>
          <w:rFonts w:eastAsiaTheme="minorEastAsia"/>
          <w:color w:val="000000" w:themeColor="text1"/>
          <w:szCs w:val="21"/>
        </w:rPr>
        <w:t>房住不炒</w:t>
      </w:r>
      <w:r>
        <w:rPr>
          <w:rFonts w:eastAsiaTheme="minorEastAsia"/>
          <w:color w:val="000000" w:themeColor="text1"/>
          <w:szCs w:val="21"/>
        </w:rPr>
        <w:t>”</w:t>
      </w:r>
      <w:r>
        <w:rPr>
          <w:rFonts w:eastAsiaTheme="minorEastAsia"/>
          <w:color w:val="000000" w:themeColor="text1"/>
          <w:szCs w:val="21"/>
        </w:rPr>
        <w:t>的基调下进一步宽松，但是整体来看政策支撑力度相较偏弱的需求仍显不足。权益市场也较一季度有所调整，沪深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5.1%</w:t>
      </w:r>
      <w:r>
        <w:rPr>
          <w:rFonts w:eastAsiaTheme="minorEastAsia"/>
          <w:color w:val="000000" w:themeColor="text1"/>
          <w:szCs w:val="21"/>
        </w:rPr>
        <w:t>，创业板指数下跌</w:t>
      </w:r>
      <w:r>
        <w:rPr>
          <w:rFonts w:eastAsiaTheme="minorEastAsia"/>
          <w:color w:val="000000" w:themeColor="text1"/>
          <w:szCs w:val="21"/>
        </w:rPr>
        <w:t>7.7</w:t>
      </w:r>
      <w:r>
        <w:rPr>
          <w:rFonts w:eastAsiaTheme="minorEastAsia"/>
          <w:color w:val="000000" w:themeColor="text1"/>
          <w:szCs w:val="21"/>
        </w:rPr>
        <w:t>%</w:t>
      </w:r>
      <w:r>
        <w:rPr>
          <w:rFonts w:eastAsiaTheme="minorEastAsia"/>
          <w:color w:val="000000" w:themeColor="text1"/>
          <w:szCs w:val="21"/>
        </w:rPr>
        <w:t>，从行业表现来看，通信、家电、传媒等行业涨幅居前，商贸零售、食品饮料、建材等行业表现较为靠后。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第三季度，我们并不悲观。从外部来看，美国经济或呈现环比缓慢下行的态势，三季度陷入衰退的可能性较小，使得中国出口环比虽然走弱但也有一定支撑。美国通胀韧性背景下，美联储或仍有一次加息，随后将在一段时期内保持较高利率水平。从内部来看，内需的内生性修复或随着时间推移进一步展开，强度则取决于政策的力度。我们预计货币政策仍有继续放松的空间，财政政策方面短期或在政策性金融等准财政领域发力，房地产支持政策在供给和需求两端也都有进一步优化空间。在此背景下，居民收入和消费倾向相较于疫情前水平都仍有较大修复空间，或将带动消费进一步恢复。基建和制造业投资或仍将在政策支持下保持较高增速，房地产开发投资在政策推动和基数支撑下或将边际改善，支撑固定资产投资。物价下降压力或也能随着需求恢复有所缓解，且不至于对政策产生收缩压力。风险点主要在于海外持续高利率背景下可能的金融风险以及国内房地产市场调整风险。行业上，我们看好消费和科技这两条投资主线，未来我们将继续严格按照基金契约的要求积极布局具备相对估值优势、增长前景确定的优质公司。我们将加强对上市公司基本面的研究力度，力争为持有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本报告期摩根领先优选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:-12.90%</w:t>
      </w:r>
      <w:r>
        <w:rPr>
          <w:rFonts w:eastAsiaTheme="minorEastAsia"/>
          <w:color w:val="000000" w:themeColor="text1"/>
          <w:szCs w:val="21"/>
        </w:rPr>
        <w:t>，同期业绩比较基准收益率为</w:t>
      </w:r>
      <w:r>
        <w:rPr>
          <w:rFonts w:eastAsiaTheme="minorEastAsia"/>
          <w:color w:val="000000" w:themeColor="text1"/>
          <w:szCs w:val="21"/>
        </w:rPr>
        <w:t>:-2.13%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摩根领先优选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:-13.02%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:-2.13%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47,812,014.76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88.17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47,812,014.76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88.17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5,501,258.34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911,963.97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54,225,237.07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1519100.34</w:t>
      </w:r>
      <w:r w:rsidRPr="00B27A29">
        <w:rPr>
          <w:rFonts w:eastAsiaTheme="minorEastAsia"/>
          <w:color w:val="000000" w:themeColor="text1"/>
          <w:szCs w:val="21"/>
        </w:rPr>
        <w:t>元，占期末净值比例为</w:t>
      </w:r>
      <w:r w:rsidRPr="00B27A29">
        <w:rPr>
          <w:rFonts w:eastAsiaTheme="minorEastAsia"/>
          <w:color w:val="000000" w:themeColor="text1"/>
          <w:szCs w:val="21"/>
        </w:rPr>
        <w:t>2.81%</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10,039,994.75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18.60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36,252,919.67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46,292,914.42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85.75</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764C3F" w:rsidRDefault="004907C7">
            <w:pPr>
              <w:jc w:val="center"/>
            </w:pPr>
            <w:r>
              <w:rPr>
                <w:rFonts w:eastAsiaTheme="minorEastAsia"/>
                <w:color w:val="000000" w:themeColor="text1"/>
                <w:szCs w:val="21"/>
              </w:rPr>
              <w:t>1,366,236.06</w:t>
            </w:r>
          </w:p>
        </w:tc>
        <w:tc>
          <w:tcPr>
            <w:tcW w:w="3118" w:type="dxa"/>
            <w:vAlign w:val="center"/>
          </w:tcPr>
          <w:p w:rsidR="00764C3F" w:rsidRDefault="004907C7">
            <w:pPr>
              <w:jc w:val="center"/>
            </w:pPr>
            <w:r>
              <w:rPr>
                <w:rFonts w:eastAsiaTheme="minorEastAsia"/>
                <w:color w:val="000000" w:themeColor="text1"/>
                <w:szCs w:val="21"/>
              </w:rPr>
              <w:t>2.53</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764C3F" w:rsidRDefault="004907C7">
            <w:pPr>
              <w:jc w:val="center"/>
            </w:pPr>
            <w:r>
              <w:rPr>
                <w:rFonts w:eastAsiaTheme="minorEastAsia"/>
                <w:color w:val="000000" w:themeColor="text1"/>
                <w:szCs w:val="21"/>
              </w:rPr>
              <w:t>152,864.28</w:t>
            </w:r>
          </w:p>
        </w:tc>
        <w:tc>
          <w:tcPr>
            <w:tcW w:w="3118" w:type="dxa"/>
            <w:vAlign w:val="center"/>
          </w:tcPr>
          <w:p w:rsidR="00764C3F" w:rsidRDefault="004907C7">
            <w:pPr>
              <w:jc w:val="center"/>
            </w:pPr>
            <w:r>
              <w:rPr>
                <w:rFonts w:eastAsiaTheme="minorEastAsia"/>
                <w:color w:val="000000" w:themeColor="text1"/>
                <w:szCs w:val="21"/>
              </w:rPr>
              <w:t>0.28</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764C3F">
        <w:trPr>
          <w:jc w:val="center"/>
        </w:trPr>
        <w:tc>
          <w:tcPr>
            <w:tcW w:w="2397" w:type="dxa"/>
            <w:vAlign w:val="center"/>
          </w:tcPr>
          <w:p w:rsidR="00764C3F" w:rsidRDefault="004907C7">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764C3F" w:rsidRDefault="004907C7">
            <w:pPr>
              <w:jc w:val="center"/>
            </w:pPr>
            <w:r>
              <w:rPr>
                <w:rFonts w:eastAsiaTheme="minorEastAsia"/>
                <w:color w:val="000000" w:themeColor="text1"/>
                <w:szCs w:val="21"/>
              </w:rPr>
              <w:t>-</w:t>
            </w:r>
          </w:p>
        </w:tc>
        <w:tc>
          <w:tcPr>
            <w:tcW w:w="3118" w:type="dxa"/>
            <w:vAlign w:val="center"/>
          </w:tcPr>
          <w:p w:rsidR="00764C3F" w:rsidRDefault="004907C7">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1,519,100.34</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2.81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64C3F">
        <w:tc>
          <w:tcPr>
            <w:tcW w:w="817" w:type="dxa"/>
            <w:vAlign w:val="center"/>
          </w:tcPr>
          <w:p w:rsidR="00764C3F" w:rsidRDefault="004907C7">
            <w:pPr>
              <w:jc w:val="center"/>
            </w:pPr>
            <w:r>
              <w:rPr>
                <w:rFonts w:eastAsiaTheme="minorEastAsia"/>
                <w:kern w:val="0"/>
                <w:szCs w:val="21"/>
              </w:rPr>
              <w:t>1</w:t>
            </w:r>
          </w:p>
        </w:tc>
        <w:tc>
          <w:tcPr>
            <w:tcW w:w="1276" w:type="dxa"/>
            <w:vAlign w:val="center"/>
          </w:tcPr>
          <w:p w:rsidR="00764C3F" w:rsidRDefault="004907C7">
            <w:pPr>
              <w:jc w:val="center"/>
            </w:pPr>
            <w:r>
              <w:rPr>
                <w:rFonts w:eastAsiaTheme="minorEastAsia"/>
                <w:kern w:val="0"/>
                <w:szCs w:val="21"/>
              </w:rPr>
              <w:t>002567</w:t>
            </w:r>
          </w:p>
        </w:tc>
        <w:tc>
          <w:tcPr>
            <w:tcW w:w="1701" w:type="dxa"/>
            <w:vAlign w:val="center"/>
          </w:tcPr>
          <w:p w:rsidR="00764C3F" w:rsidRDefault="004907C7">
            <w:pPr>
              <w:jc w:val="center"/>
            </w:pPr>
            <w:r>
              <w:rPr>
                <w:rFonts w:eastAsiaTheme="minorEastAsia"/>
                <w:kern w:val="0"/>
                <w:szCs w:val="21"/>
              </w:rPr>
              <w:t>唐人神</w:t>
            </w:r>
          </w:p>
        </w:tc>
        <w:tc>
          <w:tcPr>
            <w:tcW w:w="1276" w:type="dxa"/>
            <w:vAlign w:val="center"/>
          </w:tcPr>
          <w:p w:rsidR="00764C3F" w:rsidRDefault="004907C7">
            <w:pPr>
              <w:jc w:val="right"/>
            </w:pPr>
            <w:r>
              <w:rPr>
                <w:rFonts w:eastAsiaTheme="minorEastAsia"/>
                <w:kern w:val="0"/>
                <w:szCs w:val="21"/>
              </w:rPr>
              <w:t>777,182.00</w:t>
            </w:r>
          </w:p>
        </w:tc>
        <w:tc>
          <w:tcPr>
            <w:tcW w:w="1842" w:type="dxa"/>
            <w:vAlign w:val="center"/>
          </w:tcPr>
          <w:p w:rsidR="00764C3F" w:rsidRDefault="004907C7">
            <w:pPr>
              <w:jc w:val="right"/>
            </w:pPr>
            <w:r>
              <w:rPr>
                <w:rFonts w:eastAsiaTheme="minorEastAsia"/>
                <w:kern w:val="0"/>
                <w:szCs w:val="21"/>
              </w:rPr>
              <w:t>5,168,260.30</w:t>
            </w:r>
          </w:p>
        </w:tc>
        <w:tc>
          <w:tcPr>
            <w:tcW w:w="1616" w:type="dxa"/>
            <w:vAlign w:val="center"/>
          </w:tcPr>
          <w:p w:rsidR="00764C3F" w:rsidRDefault="004907C7">
            <w:pPr>
              <w:jc w:val="right"/>
            </w:pPr>
            <w:r>
              <w:rPr>
                <w:rFonts w:eastAsiaTheme="minorEastAsia"/>
                <w:kern w:val="0"/>
                <w:szCs w:val="21"/>
              </w:rPr>
              <w:t>9.57</w:t>
            </w:r>
          </w:p>
        </w:tc>
      </w:tr>
      <w:tr w:rsidR="00764C3F">
        <w:tc>
          <w:tcPr>
            <w:tcW w:w="817" w:type="dxa"/>
            <w:vAlign w:val="center"/>
          </w:tcPr>
          <w:p w:rsidR="00764C3F" w:rsidRDefault="004907C7">
            <w:pPr>
              <w:jc w:val="center"/>
            </w:pPr>
            <w:r>
              <w:rPr>
                <w:rFonts w:eastAsiaTheme="minorEastAsia"/>
                <w:kern w:val="0"/>
                <w:szCs w:val="21"/>
              </w:rPr>
              <w:t>2</w:t>
            </w:r>
          </w:p>
        </w:tc>
        <w:tc>
          <w:tcPr>
            <w:tcW w:w="1276" w:type="dxa"/>
            <w:vAlign w:val="center"/>
          </w:tcPr>
          <w:p w:rsidR="00764C3F" w:rsidRDefault="004907C7">
            <w:pPr>
              <w:jc w:val="center"/>
            </w:pPr>
            <w:r>
              <w:rPr>
                <w:rFonts w:eastAsiaTheme="minorEastAsia"/>
                <w:kern w:val="0"/>
                <w:szCs w:val="21"/>
              </w:rPr>
              <w:t>002840</w:t>
            </w:r>
          </w:p>
        </w:tc>
        <w:tc>
          <w:tcPr>
            <w:tcW w:w="1701" w:type="dxa"/>
            <w:vAlign w:val="center"/>
          </w:tcPr>
          <w:p w:rsidR="00764C3F" w:rsidRDefault="004907C7">
            <w:pPr>
              <w:jc w:val="center"/>
            </w:pPr>
            <w:r>
              <w:rPr>
                <w:rFonts w:eastAsiaTheme="minorEastAsia"/>
                <w:kern w:val="0"/>
                <w:szCs w:val="21"/>
              </w:rPr>
              <w:t>华统股份</w:t>
            </w:r>
          </w:p>
        </w:tc>
        <w:tc>
          <w:tcPr>
            <w:tcW w:w="1276" w:type="dxa"/>
            <w:vAlign w:val="center"/>
          </w:tcPr>
          <w:p w:rsidR="00764C3F" w:rsidRDefault="004907C7">
            <w:pPr>
              <w:jc w:val="right"/>
            </w:pPr>
            <w:r>
              <w:rPr>
                <w:rFonts w:eastAsiaTheme="minorEastAsia"/>
                <w:kern w:val="0"/>
                <w:szCs w:val="21"/>
              </w:rPr>
              <w:t>330,410.00</w:t>
            </w:r>
          </w:p>
        </w:tc>
        <w:tc>
          <w:tcPr>
            <w:tcW w:w="1842" w:type="dxa"/>
            <w:vAlign w:val="center"/>
          </w:tcPr>
          <w:p w:rsidR="00764C3F" w:rsidRDefault="004907C7">
            <w:pPr>
              <w:jc w:val="right"/>
            </w:pPr>
            <w:r>
              <w:rPr>
                <w:rFonts w:eastAsiaTheme="minorEastAsia"/>
                <w:kern w:val="0"/>
                <w:szCs w:val="21"/>
              </w:rPr>
              <w:t>5,167,612.40</w:t>
            </w:r>
          </w:p>
        </w:tc>
        <w:tc>
          <w:tcPr>
            <w:tcW w:w="1616" w:type="dxa"/>
            <w:vAlign w:val="center"/>
          </w:tcPr>
          <w:p w:rsidR="00764C3F" w:rsidRDefault="004907C7">
            <w:pPr>
              <w:jc w:val="right"/>
            </w:pPr>
            <w:r>
              <w:rPr>
                <w:rFonts w:eastAsiaTheme="minorEastAsia"/>
                <w:kern w:val="0"/>
                <w:szCs w:val="21"/>
              </w:rPr>
              <w:t>9.57</w:t>
            </w:r>
          </w:p>
        </w:tc>
      </w:tr>
      <w:tr w:rsidR="00764C3F">
        <w:tc>
          <w:tcPr>
            <w:tcW w:w="817" w:type="dxa"/>
            <w:vAlign w:val="center"/>
          </w:tcPr>
          <w:p w:rsidR="00764C3F" w:rsidRDefault="004907C7">
            <w:pPr>
              <w:jc w:val="center"/>
            </w:pPr>
            <w:r>
              <w:rPr>
                <w:rFonts w:eastAsiaTheme="minorEastAsia"/>
                <w:kern w:val="0"/>
                <w:szCs w:val="21"/>
              </w:rPr>
              <w:t>3</w:t>
            </w:r>
          </w:p>
        </w:tc>
        <w:tc>
          <w:tcPr>
            <w:tcW w:w="1276" w:type="dxa"/>
            <w:vAlign w:val="center"/>
          </w:tcPr>
          <w:p w:rsidR="00764C3F" w:rsidRDefault="004907C7">
            <w:pPr>
              <w:jc w:val="center"/>
            </w:pPr>
            <w:r>
              <w:rPr>
                <w:rFonts w:eastAsiaTheme="minorEastAsia"/>
                <w:kern w:val="0"/>
                <w:szCs w:val="21"/>
              </w:rPr>
              <w:t>600975</w:t>
            </w:r>
          </w:p>
        </w:tc>
        <w:tc>
          <w:tcPr>
            <w:tcW w:w="1701" w:type="dxa"/>
            <w:vAlign w:val="center"/>
          </w:tcPr>
          <w:p w:rsidR="00764C3F" w:rsidRDefault="004907C7">
            <w:pPr>
              <w:jc w:val="center"/>
            </w:pPr>
            <w:r>
              <w:rPr>
                <w:rFonts w:eastAsiaTheme="minorEastAsia"/>
                <w:kern w:val="0"/>
                <w:szCs w:val="21"/>
              </w:rPr>
              <w:t>新五丰</w:t>
            </w:r>
          </w:p>
        </w:tc>
        <w:tc>
          <w:tcPr>
            <w:tcW w:w="1276" w:type="dxa"/>
            <w:vAlign w:val="center"/>
          </w:tcPr>
          <w:p w:rsidR="00764C3F" w:rsidRDefault="004907C7">
            <w:pPr>
              <w:jc w:val="right"/>
            </w:pPr>
            <w:r>
              <w:rPr>
                <w:rFonts w:eastAsiaTheme="minorEastAsia"/>
                <w:kern w:val="0"/>
                <w:szCs w:val="21"/>
              </w:rPr>
              <w:t>535,150.00</w:t>
            </w:r>
          </w:p>
        </w:tc>
        <w:tc>
          <w:tcPr>
            <w:tcW w:w="1842" w:type="dxa"/>
            <w:vAlign w:val="center"/>
          </w:tcPr>
          <w:p w:rsidR="00764C3F" w:rsidRDefault="004907C7">
            <w:pPr>
              <w:jc w:val="right"/>
            </w:pPr>
            <w:r>
              <w:rPr>
                <w:rFonts w:eastAsiaTheme="minorEastAsia"/>
                <w:kern w:val="0"/>
                <w:szCs w:val="21"/>
              </w:rPr>
              <w:t>5,116,034.00</w:t>
            </w:r>
          </w:p>
        </w:tc>
        <w:tc>
          <w:tcPr>
            <w:tcW w:w="1616" w:type="dxa"/>
            <w:vAlign w:val="center"/>
          </w:tcPr>
          <w:p w:rsidR="00764C3F" w:rsidRDefault="004907C7">
            <w:pPr>
              <w:jc w:val="right"/>
            </w:pPr>
            <w:r>
              <w:rPr>
                <w:rFonts w:eastAsiaTheme="minorEastAsia"/>
                <w:kern w:val="0"/>
                <w:szCs w:val="21"/>
              </w:rPr>
              <w:t>9.48</w:t>
            </w:r>
          </w:p>
        </w:tc>
      </w:tr>
      <w:tr w:rsidR="00764C3F">
        <w:tc>
          <w:tcPr>
            <w:tcW w:w="817" w:type="dxa"/>
            <w:vAlign w:val="center"/>
          </w:tcPr>
          <w:p w:rsidR="00764C3F" w:rsidRDefault="004907C7">
            <w:pPr>
              <w:jc w:val="center"/>
            </w:pPr>
            <w:r>
              <w:rPr>
                <w:rFonts w:eastAsiaTheme="minorEastAsia"/>
                <w:kern w:val="0"/>
                <w:szCs w:val="21"/>
              </w:rPr>
              <w:t>4</w:t>
            </w:r>
          </w:p>
        </w:tc>
        <w:tc>
          <w:tcPr>
            <w:tcW w:w="1276" w:type="dxa"/>
            <w:vAlign w:val="center"/>
          </w:tcPr>
          <w:p w:rsidR="00764C3F" w:rsidRDefault="004907C7">
            <w:pPr>
              <w:jc w:val="center"/>
            </w:pPr>
            <w:r>
              <w:rPr>
                <w:rFonts w:eastAsiaTheme="minorEastAsia"/>
                <w:kern w:val="0"/>
                <w:szCs w:val="21"/>
              </w:rPr>
              <w:t>000568</w:t>
            </w:r>
          </w:p>
        </w:tc>
        <w:tc>
          <w:tcPr>
            <w:tcW w:w="1701" w:type="dxa"/>
            <w:vAlign w:val="center"/>
          </w:tcPr>
          <w:p w:rsidR="00764C3F" w:rsidRDefault="004907C7">
            <w:pPr>
              <w:jc w:val="center"/>
            </w:pPr>
            <w:r>
              <w:rPr>
                <w:rFonts w:eastAsiaTheme="minorEastAsia"/>
                <w:kern w:val="0"/>
                <w:szCs w:val="21"/>
              </w:rPr>
              <w:t>泸州老窖</w:t>
            </w:r>
          </w:p>
        </w:tc>
        <w:tc>
          <w:tcPr>
            <w:tcW w:w="1276" w:type="dxa"/>
            <w:vAlign w:val="center"/>
          </w:tcPr>
          <w:p w:rsidR="00764C3F" w:rsidRDefault="004907C7">
            <w:pPr>
              <w:jc w:val="right"/>
            </w:pPr>
            <w:r>
              <w:rPr>
                <w:rFonts w:eastAsiaTheme="minorEastAsia"/>
                <w:kern w:val="0"/>
                <w:szCs w:val="21"/>
              </w:rPr>
              <w:t>23,800.00</w:t>
            </w:r>
          </w:p>
        </w:tc>
        <w:tc>
          <w:tcPr>
            <w:tcW w:w="1842" w:type="dxa"/>
            <w:vAlign w:val="center"/>
          </w:tcPr>
          <w:p w:rsidR="00764C3F" w:rsidRDefault="004907C7">
            <w:pPr>
              <w:jc w:val="right"/>
            </w:pPr>
            <w:r>
              <w:rPr>
                <w:rFonts w:eastAsiaTheme="minorEastAsia"/>
                <w:kern w:val="0"/>
                <w:szCs w:val="21"/>
              </w:rPr>
              <w:t>4,987,766.00</w:t>
            </w:r>
          </w:p>
        </w:tc>
        <w:tc>
          <w:tcPr>
            <w:tcW w:w="1616" w:type="dxa"/>
            <w:vAlign w:val="center"/>
          </w:tcPr>
          <w:p w:rsidR="00764C3F" w:rsidRDefault="004907C7">
            <w:pPr>
              <w:jc w:val="right"/>
            </w:pPr>
            <w:r>
              <w:rPr>
                <w:rFonts w:eastAsiaTheme="minorEastAsia"/>
                <w:kern w:val="0"/>
                <w:szCs w:val="21"/>
              </w:rPr>
              <w:t>9.24</w:t>
            </w:r>
          </w:p>
        </w:tc>
      </w:tr>
      <w:tr w:rsidR="00764C3F">
        <w:tc>
          <w:tcPr>
            <w:tcW w:w="817" w:type="dxa"/>
            <w:vAlign w:val="center"/>
          </w:tcPr>
          <w:p w:rsidR="00764C3F" w:rsidRDefault="004907C7">
            <w:pPr>
              <w:jc w:val="center"/>
            </w:pPr>
            <w:r>
              <w:rPr>
                <w:rFonts w:eastAsiaTheme="minorEastAsia"/>
                <w:kern w:val="0"/>
                <w:szCs w:val="21"/>
              </w:rPr>
              <w:t>5</w:t>
            </w:r>
          </w:p>
        </w:tc>
        <w:tc>
          <w:tcPr>
            <w:tcW w:w="1276" w:type="dxa"/>
            <w:vAlign w:val="center"/>
          </w:tcPr>
          <w:p w:rsidR="00764C3F" w:rsidRDefault="004907C7">
            <w:pPr>
              <w:jc w:val="center"/>
            </w:pPr>
            <w:r>
              <w:rPr>
                <w:rFonts w:eastAsiaTheme="minorEastAsia"/>
                <w:kern w:val="0"/>
                <w:szCs w:val="21"/>
              </w:rPr>
              <w:t>000858</w:t>
            </w:r>
          </w:p>
        </w:tc>
        <w:tc>
          <w:tcPr>
            <w:tcW w:w="1701" w:type="dxa"/>
            <w:vAlign w:val="center"/>
          </w:tcPr>
          <w:p w:rsidR="00764C3F" w:rsidRDefault="004907C7">
            <w:pPr>
              <w:jc w:val="center"/>
            </w:pPr>
            <w:r>
              <w:rPr>
                <w:rFonts w:eastAsiaTheme="minorEastAsia"/>
                <w:kern w:val="0"/>
                <w:szCs w:val="21"/>
              </w:rPr>
              <w:t>五</w:t>
            </w:r>
            <w:r>
              <w:rPr>
                <w:rFonts w:eastAsiaTheme="minorEastAsia"/>
                <w:kern w:val="0"/>
                <w:szCs w:val="21"/>
              </w:rPr>
              <w:t xml:space="preserve"> </w:t>
            </w:r>
            <w:r>
              <w:rPr>
                <w:rFonts w:eastAsiaTheme="minorEastAsia"/>
                <w:kern w:val="0"/>
                <w:szCs w:val="21"/>
              </w:rPr>
              <w:t>粮</w:t>
            </w:r>
            <w:r>
              <w:rPr>
                <w:rFonts w:eastAsiaTheme="minorEastAsia"/>
                <w:kern w:val="0"/>
                <w:szCs w:val="21"/>
              </w:rPr>
              <w:t xml:space="preserve"> </w:t>
            </w:r>
            <w:r>
              <w:rPr>
                <w:rFonts w:eastAsiaTheme="minorEastAsia"/>
                <w:kern w:val="0"/>
                <w:szCs w:val="21"/>
              </w:rPr>
              <w:t>液</w:t>
            </w:r>
          </w:p>
        </w:tc>
        <w:tc>
          <w:tcPr>
            <w:tcW w:w="1276" w:type="dxa"/>
            <w:vAlign w:val="center"/>
          </w:tcPr>
          <w:p w:rsidR="00764C3F" w:rsidRDefault="004907C7">
            <w:pPr>
              <w:jc w:val="right"/>
            </w:pPr>
            <w:r>
              <w:rPr>
                <w:rFonts w:eastAsiaTheme="minorEastAsia"/>
                <w:kern w:val="0"/>
                <w:szCs w:val="21"/>
              </w:rPr>
              <w:t>30,221.00</w:t>
            </w:r>
          </w:p>
        </w:tc>
        <w:tc>
          <w:tcPr>
            <w:tcW w:w="1842" w:type="dxa"/>
            <w:vAlign w:val="center"/>
          </w:tcPr>
          <w:p w:rsidR="00764C3F" w:rsidRDefault="004907C7">
            <w:pPr>
              <w:jc w:val="right"/>
            </w:pPr>
            <w:r>
              <w:rPr>
                <w:rFonts w:eastAsiaTheme="minorEastAsia"/>
                <w:kern w:val="0"/>
                <w:szCs w:val="21"/>
              </w:rPr>
              <w:t>4,943,248.97</w:t>
            </w:r>
          </w:p>
        </w:tc>
        <w:tc>
          <w:tcPr>
            <w:tcW w:w="1616" w:type="dxa"/>
            <w:vAlign w:val="center"/>
          </w:tcPr>
          <w:p w:rsidR="00764C3F" w:rsidRDefault="004907C7">
            <w:pPr>
              <w:jc w:val="right"/>
            </w:pPr>
            <w:r>
              <w:rPr>
                <w:rFonts w:eastAsiaTheme="minorEastAsia"/>
                <w:kern w:val="0"/>
                <w:szCs w:val="21"/>
              </w:rPr>
              <w:t>9.16</w:t>
            </w:r>
          </w:p>
        </w:tc>
      </w:tr>
      <w:tr w:rsidR="00764C3F">
        <w:tc>
          <w:tcPr>
            <w:tcW w:w="817" w:type="dxa"/>
            <w:vAlign w:val="center"/>
          </w:tcPr>
          <w:p w:rsidR="00764C3F" w:rsidRDefault="004907C7">
            <w:pPr>
              <w:jc w:val="center"/>
            </w:pPr>
            <w:r>
              <w:rPr>
                <w:rFonts w:eastAsiaTheme="minorEastAsia"/>
                <w:kern w:val="0"/>
                <w:szCs w:val="21"/>
              </w:rPr>
              <w:t>6</w:t>
            </w:r>
          </w:p>
        </w:tc>
        <w:tc>
          <w:tcPr>
            <w:tcW w:w="1276" w:type="dxa"/>
            <w:vAlign w:val="center"/>
          </w:tcPr>
          <w:p w:rsidR="00764C3F" w:rsidRDefault="004907C7">
            <w:pPr>
              <w:jc w:val="center"/>
            </w:pPr>
            <w:r>
              <w:rPr>
                <w:rFonts w:eastAsiaTheme="minorEastAsia"/>
                <w:kern w:val="0"/>
                <w:szCs w:val="21"/>
              </w:rPr>
              <w:t>603477</w:t>
            </w:r>
          </w:p>
        </w:tc>
        <w:tc>
          <w:tcPr>
            <w:tcW w:w="1701" w:type="dxa"/>
            <w:vAlign w:val="center"/>
          </w:tcPr>
          <w:p w:rsidR="00764C3F" w:rsidRDefault="004907C7">
            <w:pPr>
              <w:jc w:val="center"/>
            </w:pPr>
            <w:r>
              <w:rPr>
                <w:rFonts w:eastAsiaTheme="minorEastAsia"/>
                <w:kern w:val="0"/>
                <w:szCs w:val="21"/>
              </w:rPr>
              <w:t>巨星农牧</w:t>
            </w:r>
          </w:p>
        </w:tc>
        <w:tc>
          <w:tcPr>
            <w:tcW w:w="1276" w:type="dxa"/>
            <w:vAlign w:val="center"/>
          </w:tcPr>
          <w:p w:rsidR="00764C3F" w:rsidRDefault="004907C7">
            <w:pPr>
              <w:jc w:val="right"/>
            </w:pPr>
            <w:r>
              <w:rPr>
                <w:rFonts w:eastAsiaTheme="minorEastAsia"/>
                <w:kern w:val="0"/>
                <w:szCs w:val="21"/>
              </w:rPr>
              <w:t>147,645.00</w:t>
            </w:r>
          </w:p>
        </w:tc>
        <w:tc>
          <w:tcPr>
            <w:tcW w:w="1842" w:type="dxa"/>
            <w:vAlign w:val="center"/>
          </w:tcPr>
          <w:p w:rsidR="00764C3F" w:rsidRDefault="004907C7">
            <w:pPr>
              <w:jc w:val="right"/>
            </w:pPr>
            <w:r>
              <w:rPr>
                <w:rFonts w:eastAsiaTheme="minorEastAsia"/>
                <w:kern w:val="0"/>
                <w:szCs w:val="21"/>
              </w:rPr>
              <w:t>4,923,960.75</w:t>
            </w:r>
          </w:p>
        </w:tc>
        <w:tc>
          <w:tcPr>
            <w:tcW w:w="1616" w:type="dxa"/>
            <w:vAlign w:val="center"/>
          </w:tcPr>
          <w:p w:rsidR="00764C3F" w:rsidRDefault="004907C7">
            <w:pPr>
              <w:jc w:val="right"/>
            </w:pPr>
            <w:r>
              <w:rPr>
                <w:rFonts w:eastAsiaTheme="minorEastAsia"/>
                <w:kern w:val="0"/>
                <w:szCs w:val="21"/>
              </w:rPr>
              <w:t>9.12</w:t>
            </w:r>
          </w:p>
        </w:tc>
      </w:tr>
      <w:tr w:rsidR="00764C3F">
        <w:tc>
          <w:tcPr>
            <w:tcW w:w="817" w:type="dxa"/>
            <w:vAlign w:val="center"/>
          </w:tcPr>
          <w:p w:rsidR="00764C3F" w:rsidRDefault="004907C7">
            <w:pPr>
              <w:jc w:val="center"/>
            </w:pPr>
            <w:r>
              <w:rPr>
                <w:rFonts w:eastAsiaTheme="minorEastAsia"/>
                <w:kern w:val="0"/>
                <w:szCs w:val="21"/>
              </w:rPr>
              <w:t>7</w:t>
            </w:r>
          </w:p>
        </w:tc>
        <w:tc>
          <w:tcPr>
            <w:tcW w:w="1276" w:type="dxa"/>
            <w:vAlign w:val="center"/>
          </w:tcPr>
          <w:p w:rsidR="00764C3F" w:rsidRDefault="004907C7">
            <w:pPr>
              <w:jc w:val="center"/>
            </w:pPr>
            <w:r>
              <w:rPr>
                <w:rFonts w:eastAsiaTheme="minorEastAsia"/>
                <w:kern w:val="0"/>
                <w:szCs w:val="21"/>
              </w:rPr>
              <w:t>600779</w:t>
            </w:r>
          </w:p>
        </w:tc>
        <w:tc>
          <w:tcPr>
            <w:tcW w:w="1701" w:type="dxa"/>
            <w:vAlign w:val="center"/>
          </w:tcPr>
          <w:p w:rsidR="00764C3F" w:rsidRDefault="004907C7">
            <w:pPr>
              <w:jc w:val="center"/>
            </w:pPr>
            <w:r>
              <w:rPr>
                <w:rFonts w:eastAsiaTheme="minorEastAsia"/>
                <w:kern w:val="0"/>
                <w:szCs w:val="21"/>
              </w:rPr>
              <w:t>水井坊</w:t>
            </w:r>
          </w:p>
        </w:tc>
        <w:tc>
          <w:tcPr>
            <w:tcW w:w="1276" w:type="dxa"/>
            <w:vAlign w:val="center"/>
          </w:tcPr>
          <w:p w:rsidR="00764C3F" w:rsidRDefault="004907C7">
            <w:pPr>
              <w:jc w:val="right"/>
            </w:pPr>
            <w:r>
              <w:rPr>
                <w:rFonts w:eastAsiaTheme="minorEastAsia"/>
                <w:kern w:val="0"/>
                <w:szCs w:val="21"/>
              </w:rPr>
              <w:t>81,662.00</w:t>
            </w:r>
          </w:p>
        </w:tc>
        <w:tc>
          <w:tcPr>
            <w:tcW w:w="1842" w:type="dxa"/>
            <w:vAlign w:val="center"/>
          </w:tcPr>
          <w:p w:rsidR="00764C3F" w:rsidRDefault="004907C7">
            <w:pPr>
              <w:jc w:val="right"/>
            </w:pPr>
            <w:r>
              <w:rPr>
                <w:rFonts w:eastAsiaTheme="minorEastAsia"/>
                <w:kern w:val="0"/>
                <w:szCs w:val="21"/>
              </w:rPr>
              <w:t>4,817,241.38</w:t>
            </w:r>
          </w:p>
        </w:tc>
        <w:tc>
          <w:tcPr>
            <w:tcW w:w="1616" w:type="dxa"/>
            <w:vAlign w:val="center"/>
          </w:tcPr>
          <w:p w:rsidR="00764C3F" w:rsidRDefault="004907C7">
            <w:pPr>
              <w:jc w:val="right"/>
            </w:pPr>
            <w:r>
              <w:rPr>
                <w:rFonts w:eastAsiaTheme="minorEastAsia"/>
                <w:kern w:val="0"/>
                <w:szCs w:val="21"/>
              </w:rPr>
              <w:t>8.92</w:t>
            </w:r>
          </w:p>
        </w:tc>
      </w:tr>
      <w:tr w:rsidR="00764C3F">
        <w:tc>
          <w:tcPr>
            <w:tcW w:w="817" w:type="dxa"/>
            <w:vAlign w:val="center"/>
          </w:tcPr>
          <w:p w:rsidR="00764C3F" w:rsidRDefault="004907C7">
            <w:pPr>
              <w:jc w:val="center"/>
            </w:pPr>
            <w:r>
              <w:rPr>
                <w:rFonts w:eastAsiaTheme="minorEastAsia"/>
                <w:kern w:val="0"/>
                <w:szCs w:val="21"/>
              </w:rPr>
              <w:t>8</w:t>
            </w:r>
          </w:p>
        </w:tc>
        <w:tc>
          <w:tcPr>
            <w:tcW w:w="1276" w:type="dxa"/>
            <w:vAlign w:val="center"/>
          </w:tcPr>
          <w:p w:rsidR="00764C3F" w:rsidRDefault="004907C7">
            <w:pPr>
              <w:jc w:val="center"/>
            </w:pPr>
            <w:r>
              <w:rPr>
                <w:rFonts w:eastAsiaTheme="minorEastAsia"/>
                <w:kern w:val="0"/>
                <w:szCs w:val="21"/>
              </w:rPr>
              <w:t>002271</w:t>
            </w:r>
          </w:p>
        </w:tc>
        <w:tc>
          <w:tcPr>
            <w:tcW w:w="1701" w:type="dxa"/>
            <w:vAlign w:val="center"/>
          </w:tcPr>
          <w:p w:rsidR="00764C3F" w:rsidRDefault="004907C7">
            <w:pPr>
              <w:jc w:val="center"/>
            </w:pPr>
            <w:r>
              <w:rPr>
                <w:rFonts w:eastAsiaTheme="minorEastAsia"/>
                <w:kern w:val="0"/>
                <w:szCs w:val="21"/>
              </w:rPr>
              <w:t>东方雨虹</w:t>
            </w:r>
          </w:p>
        </w:tc>
        <w:tc>
          <w:tcPr>
            <w:tcW w:w="1276" w:type="dxa"/>
            <w:vAlign w:val="center"/>
          </w:tcPr>
          <w:p w:rsidR="00764C3F" w:rsidRDefault="004907C7">
            <w:pPr>
              <w:jc w:val="right"/>
            </w:pPr>
            <w:r>
              <w:rPr>
                <w:rFonts w:eastAsiaTheme="minorEastAsia"/>
                <w:kern w:val="0"/>
                <w:szCs w:val="21"/>
              </w:rPr>
              <w:t>125,318.00</w:t>
            </w:r>
          </w:p>
        </w:tc>
        <w:tc>
          <w:tcPr>
            <w:tcW w:w="1842" w:type="dxa"/>
            <w:vAlign w:val="center"/>
          </w:tcPr>
          <w:p w:rsidR="00764C3F" w:rsidRDefault="004907C7">
            <w:pPr>
              <w:jc w:val="right"/>
            </w:pPr>
            <w:r>
              <w:rPr>
                <w:rFonts w:eastAsiaTheme="minorEastAsia"/>
                <w:kern w:val="0"/>
                <w:szCs w:val="21"/>
              </w:rPr>
              <w:t>3,416,168.68</w:t>
            </w:r>
          </w:p>
        </w:tc>
        <w:tc>
          <w:tcPr>
            <w:tcW w:w="1616" w:type="dxa"/>
            <w:vAlign w:val="center"/>
          </w:tcPr>
          <w:p w:rsidR="00764C3F" w:rsidRDefault="004907C7">
            <w:pPr>
              <w:jc w:val="right"/>
            </w:pPr>
            <w:r>
              <w:rPr>
                <w:rFonts w:eastAsiaTheme="minorEastAsia"/>
                <w:kern w:val="0"/>
                <w:szCs w:val="21"/>
              </w:rPr>
              <w:t>6.33</w:t>
            </w:r>
          </w:p>
        </w:tc>
      </w:tr>
      <w:tr w:rsidR="00764C3F">
        <w:tc>
          <w:tcPr>
            <w:tcW w:w="817" w:type="dxa"/>
            <w:vAlign w:val="center"/>
          </w:tcPr>
          <w:p w:rsidR="00764C3F" w:rsidRDefault="004907C7">
            <w:pPr>
              <w:jc w:val="center"/>
            </w:pPr>
            <w:r>
              <w:rPr>
                <w:rFonts w:eastAsiaTheme="minorEastAsia"/>
                <w:kern w:val="0"/>
                <w:szCs w:val="21"/>
              </w:rPr>
              <w:t>9</w:t>
            </w:r>
          </w:p>
        </w:tc>
        <w:tc>
          <w:tcPr>
            <w:tcW w:w="1276" w:type="dxa"/>
            <w:vAlign w:val="center"/>
          </w:tcPr>
          <w:p w:rsidR="00764C3F" w:rsidRDefault="004907C7">
            <w:pPr>
              <w:jc w:val="center"/>
            </w:pPr>
            <w:r>
              <w:rPr>
                <w:rFonts w:eastAsiaTheme="minorEastAsia"/>
                <w:kern w:val="0"/>
                <w:szCs w:val="21"/>
              </w:rPr>
              <w:t>600702</w:t>
            </w:r>
          </w:p>
        </w:tc>
        <w:tc>
          <w:tcPr>
            <w:tcW w:w="1701" w:type="dxa"/>
            <w:vAlign w:val="center"/>
          </w:tcPr>
          <w:p w:rsidR="00764C3F" w:rsidRDefault="004907C7">
            <w:pPr>
              <w:jc w:val="center"/>
            </w:pPr>
            <w:r>
              <w:rPr>
                <w:rFonts w:eastAsiaTheme="minorEastAsia"/>
                <w:kern w:val="0"/>
                <w:szCs w:val="21"/>
              </w:rPr>
              <w:t>舍得酒业</w:t>
            </w:r>
          </w:p>
        </w:tc>
        <w:tc>
          <w:tcPr>
            <w:tcW w:w="1276" w:type="dxa"/>
            <w:vAlign w:val="center"/>
          </w:tcPr>
          <w:p w:rsidR="00764C3F" w:rsidRDefault="004907C7">
            <w:pPr>
              <w:jc w:val="right"/>
            </w:pPr>
            <w:r>
              <w:rPr>
                <w:rFonts w:eastAsiaTheme="minorEastAsia"/>
                <w:kern w:val="0"/>
                <w:szCs w:val="21"/>
              </w:rPr>
              <w:t>19,825.00</w:t>
            </w:r>
          </w:p>
        </w:tc>
        <w:tc>
          <w:tcPr>
            <w:tcW w:w="1842" w:type="dxa"/>
            <w:vAlign w:val="center"/>
          </w:tcPr>
          <w:p w:rsidR="00764C3F" w:rsidRDefault="004907C7">
            <w:pPr>
              <w:jc w:val="right"/>
            </w:pPr>
            <w:r>
              <w:rPr>
                <w:rFonts w:eastAsiaTheme="minorEastAsia"/>
                <w:kern w:val="0"/>
                <w:szCs w:val="21"/>
              </w:rPr>
              <w:t>2,457,308.75</w:t>
            </w:r>
          </w:p>
        </w:tc>
        <w:tc>
          <w:tcPr>
            <w:tcW w:w="1616" w:type="dxa"/>
            <w:vAlign w:val="center"/>
          </w:tcPr>
          <w:p w:rsidR="00764C3F" w:rsidRDefault="004907C7">
            <w:pPr>
              <w:jc w:val="right"/>
            </w:pPr>
            <w:r>
              <w:rPr>
                <w:rFonts w:eastAsiaTheme="minorEastAsia"/>
                <w:kern w:val="0"/>
                <w:szCs w:val="21"/>
              </w:rPr>
              <w:t>4.55</w:t>
            </w:r>
          </w:p>
        </w:tc>
      </w:tr>
      <w:tr w:rsidR="00764C3F">
        <w:tc>
          <w:tcPr>
            <w:tcW w:w="817" w:type="dxa"/>
            <w:vAlign w:val="center"/>
          </w:tcPr>
          <w:p w:rsidR="00764C3F" w:rsidRDefault="004907C7">
            <w:pPr>
              <w:jc w:val="center"/>
            </w:pPr>
            <w:r>
              <w:rPr>
                <w:rFonts w:eastAsiaTheme="minorEastAsia"/>
                <w:kern w:val="0"/>
                <w:szCs w:val="21"/>
              </w:rPr>
              <w:t>10</w:t>
            </w:r>
          </w:p>
        </w:tc>
        <w:tc>
          <w:tcPr>
            <w:tcW w:w="1276" w:type="dxa"/>
            <w:vAlign w:val="center"/>
          </w:tcPr>
          <w:p w:rsidR="00764C3F" w:rsidRDefault="004907C7">
            <w:pPr>
              <w:jc w:val="center"/>
            </w:pPr>
            <w:r>
              <w:rPr>
                <w:rFonts w:eastAsiaTheme="minorEastAsia"/>
                <w:kern w:val="0"/>
                <w:szCs w:val="21"/>
              </w:rPr>
              <w:t>02469</w:t>
            </w:r>
          </w:p>
        </w:tc>
        <w:tc>
          <w:tcPr>
            <w:tcW w:w="1701" w:type="dxa"/>
            <w:vAlign w:val="center"/>
          </w:tcPr>
          <w:p w:rsidR="00764C3F" w:rsidRDefault="004907C7">
            <w:pPr>
              <w:jc w:val="center"/>
            </w:pPr>
            <w:r>
              <w:rPr>
                <w:rFonts w:eastAsiaTheme="minorEastAsia"/>
                <w:kern w:val="0"/>
                <w:szCs w:val="21"/>
              </w:rPr>
              <w:t>粉笔</w:t>
            </w:r>
          </w:p>
        </w:tc>
        <w:tc>
          <w:tcPr>
            <w:tcW w:w="1276" w:type="dxa"/>
            <w:vAlign w:val="center"/>
          </w:tcPr>
          <w:p w:rsidR="00764C3F" w:rsidRDefault="004907C7">
            <w:pPr>
              <w:jc w:val="right"/>
            </w:pPr>
            <w:r>
              <w:rPr>
                <w:rFonts w:eastAsiaTheme="minorEastAsia"/>
                <w:kern w:val="0"/>
                <w:szCs w:val="21"/>
              </w:rPr>
              <w:t>333,000.00</w:t>
            </w:r>
          </w:p>
        </w:tc>
        <w:tc>
          <w:tcPr>
            <w:tcW w:w="1842" w:type="dxa"/>
            <w:vAlign w:val="center"/>
          </w:tcPr>
          <w:p w:rsidR="00764C3F" w:rsidRDefault="004907C7">
            <w:pPr>
              <w:jc w:val="right"/>
            </w:pPr>
            <w:r>
              <w:rPr>
                <w:rFonts w:eastAsiaTheme="minorEastAsia"/>
                <w:kern w:val="0"/>
                <w:szCs w:val="21"/>
              </w:rPr>
              <w:t>1,366,236.06</w:t>
            </w:r>
          </w:p>
        </w:tc>
        <w:tc>
          <w:tcPr>
            <w:tcW w:w="1616" w:type="dxa"/>
            <w:vAlign w:val="center"/>
          </w:tcPr>
          <w:p w:rsidR="00764C3F" w:rsidRDefault="004907C7">
            <w:pPr>
              <w:jc w:val="right"/>
            </w:pPr>
            <w:r>
              <w:rPr>
                <w:rFonts w:eastAsiaTheme="minorEastAsia"/>
                <w:kern w:val="0"/>
                <w:szCs w:val="21"/>
              </w:rPr>
              <w:t>2.53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18,203.28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889,336.64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4,424.05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911,963.97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摩根领先优选混合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45,977,070.04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2,760,850.21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6,669,075.37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3,661,108.55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1,059,922.50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2,792,875.93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51,586,222.91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3,629,082.83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摩根领先优选混合型证券投资基金基金合同</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摩根领先优选混合型证券投资基金托管协议</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64C3F" w:rsidRDefault="004907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907C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907C7">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907C7">
      <w:rPr>
        <w:rStyle w:val="af6"/>
        <w:noProof/>
      </w:rPr>
      <w:t>6</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摩根领先优选混合型证券投资基金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07C7"/>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4C3F"/>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8441D-EC95-4244-8BC5-7A6EF3A2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1257</Words>
  <Characters>7170</Characters>
  <Application>Microsoft Office Word</Application>
  <DocSecurity>0</DocSecurity>
  <Lines>59</Lines>
  <Paragraphs>16</Paragraphs>
  <ScaleCrop>false</ScaleCrop>
  <Company>TRT. Ltd. Co.</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2023-07-20T05:27:00Z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