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0C2E49" w14:textId="77777777" w:rsidR="009857A8" w:rsidRDefault="009857A8">
      <w:pPr>
        <w:spacing w:line="360" w:lineRule="auto"/>
        <w:rPr>
          <w:rFonts w:ascii="宋体" w:hAnsi="宋体" w:hint="eastAsia"/>
          <w:sz w:val="48"/>
        </w:rPr>
      </w:pPr>
      <w:r>
        <w:rPr>
          <w:rFonts w:ascii="宋体" w:hAnsi="宋体" w:hint="eastAsia"/>
          <w:sz w:val="48"/>
        </w:rPr>
        <w:t xml:space="preserve">　 </w:t>
      </w:r>
    </w:p>
    <w:p w14:paraId="3558AE11" w14:textId="77777777" w:rsidR="009857A8" w:rsidRDefault="009857A8">
      <w:pPr>
        <w:spacing w:line="360" w:lineRule="auto"/>
        <w:rPr>
          <w:rFonts w:ascii="宋体" w:hAnsi="宋体" w:hint="eastAsia"/>
          <w:sz w:val="48"/>
        </w:rPr>
      </w:pPr>
      <w:r>
        <w:rPr>
          <w:rFonts w:ascii="宋体" w:hAnsi="宋体" w:hint="eastAsia"/>
          <w:sz w:val="48"/>
        </w:rPr>
        <w:t xml:space="preserve">　 </w:t>
      </w:r>
    </w:p>
    <w:p w14:paraId="261A8C48" w14:textId="77777777" w:rsidR="009857A8" w:rsidRDefault="009857A8">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摩根欧洲动力策略股票型证券投资基金(QDII)</w:t>
      </w:r>
      <w:r>
        <w:rPr>
          <w:rFonts w:ascii="宋体" w:hAnsi="宋体" w:hint="eastAsia"/>
          <w:b/>
          <w:bCs/>
          <w:sz w:val="48"/>
          <w:szCs w:val="48"/>
        </w:rPr>
        <w:br/>
        <w:t>2026年第1季度报告</w:t>
      </w:r>
    </w:p>
    <w:p w14:paraId="63847248" w14:textId="77777777" w:rsidR="009857A8" w:rsidRDefault="009857A8">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6B2122F9" w14:textId="77777777" w:rsidR="009857A8" w:rsidRDefault="009857A8">
      <w:pPr>
        <w:spacing w:line="360" w:lineRule="auto"/>
        <w:jc w:val="center"/>
      </w:pPr>
      <w:r>
        <w:rPr>
          <w:rFonts w:ascii="宋体" w:hAnsi="宋体" w:hint="eastAsia"/>
          <w:b/>
          <w:bCs/>
          <w:sz w:val="28"/>
          <w:szCs w:val="30"/>
        </w:rPr>
        <w:t>2026年3月31日</w:t>
      </w:r>
    </w:p>
    <w:p w14:paraId="71479D18"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3629E9F"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96C322C"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6CD97DB"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847662E"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627C057"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E0A83F9"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475D467"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762514E"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1D5E7AB"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62545CB" w14:textId="77777777" w:rsidR="009857A8" w:rsidRDefault="009857A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EF338D6" w14:textId="77777777" w:rsidR="009857A8" w:rsidRDefault="009857A8">
      <w:pPr>
        <w:spacing w:line="360" w:lineRule="auto"/>
        <w:ind w:firstLineChars="800" w:firstLine="2249"/>
        <w:jc w:val="left"/>
      </w:pPr>
      <w:r>
        <w:rPr>
          <w:rFonts w:ascii="宋体" w:hAnsi="宋体" w:hint="eastAsia"/>
          <w:b/>
          <w:bCs/>
          <w:sz w:val="28"/>
          <w:szCs w:val="30"/>
        </w:rPr>
        <w:t>基金管理人：摩根基金管理（中国）有限公司</w:t>
      </w:r>
    </w:p>
    <w:p w14:paraId="53D85D81" w14:textId="77777777" w:rsidR="009857A8" w:rsidRDefault="009857A8">
      <w:pPr>
        <w:spacing w:line="360" w:lineRule="auto"/>
        <w:ind w:firstLineChars="800" w:firstLine="2249"/>
        <w:jc w:val="left"/>
      </w:pPr>
      <w:r>
        <w:rPr>
          <w:rFonts w:ascii="宋体" w:hAnsi="宋体" w:hint="eastAsia"/>
          <w:b/>
          <w:bCs/>
          <w:sz w:val="28"/>
          <w:szCs w:val="30"/>
        </w:rPr>
        <w:t>基金托管人：招商银行股份有限公司</w:t>
      </w:r>
    </w:p>
    <w:p w14:paraId="2E881021" w14:textId="77777777" w:rsidR="009857A8" w:rsidRDefault="009857A8">
      <w:pPr>
        <w:spacing w:line="360" w:lineRule="auto"/>
        <w:ind w:firstLineChars="800" w:firstLine="2249"/>
        <w:jc w:val="left"/>
      </w:pPr>
      <w:r>
        <w:rPr>
          <w:rFonts w:ascii="宋体" w:hAnsi="宋体" w:hint="eastAsia"/>
          <w:b/>
          <w:bCs/>
          <w:sz w:val="28"/>
          <w:szCs w:val="30"/>
        </w:rPr>
        <w:t>报告送出日期：2026年4月22日</w:t>
      </w:r>
    </w:p>
    <w:p w14:paraId="34DF9BE7" w14:textId="77777777" w:rsidR="009857A8" w:rsidRDefault="009857A8">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
    <w:p w14:paraId="016CC590" w14:textId="77777777" w:rsidR="009857A8" w:rsidRDefault="009857A8">
      <w:pPr>
        <w:spacing w:line="360" w:lineRule="auto"/>
        <w:ind w:firstLineChars="200" w:firstLine="420"/>
        <w:divId w:val="1323316129"/>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4E3D438" w14:textId="77777777" w:rsidR="009857A8" w:rsidRDefault="009857A8">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r>
        <w:rPr>
          <w:rFonts w:hint="eastAsia"/>
        </w:rPr>
        <w:t>基金产品概况</w:t>
      </w:r>
      <w:bookmarkEnd w:id="26"/>
      <w:bookmarkEnd w:id="27"/>
      <w:bookmarkEnd w:id="28"/>
      <w:bookmarkEnd w:id="29"/>
      <w:bookmarkEnd w:id="30"/>
      <w:bookmarkEnd w:id="31"/>
      <w:bookmarkEnd w:id="32"/>
      <w:bookmarkEnd w:id="33"/>
      <w:bookmarkEnd w:id="34"/>
      <w:bookmarkEnd w:id="35"/>
      <w:bookmarkEnd w:id="36"/>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4046E9" w14:paraId="0F04F778" w14:textId="77777777">
        <w:trPr>
          <w:divId w:val="67121274"/>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136F1" w14:textId="77777777" w:rsidR="009857A8" w:rsidRDefault="009857A8">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5B59D" w14:textId="77777777" w:rsidR="009857A8" w:rsidRDefault="009857A8">
            <w:pPr>
              <w:spacing w:line="360" w:lineRule="auto"/>
              <w:jc w:val="left"/>
            </w:pPr>
            <w:r>
              <w:rPr>
                <w:rFonts w:ascii="宋体" w:hAnsi="宋体" w:hint="eastAsia"/>
                <w:szCs w:val="24"/>
                <w:lang w:eastAsia="zh-Hans"/>
              </w:rPr>
              <w:t>摩根欧洲动力策略股票(QDII)</w:t>
            </w:r>
            <w:r>
              <w:rPr>
                <w:rFonts w:ascii="宋体" w:hAnsi="宋体" w:hint="eastAsia"/>
                <w:lang w:eastAsia="zh-Hans"/>
              </w:rPr>
              <w:t xml:space="preserve"> </w:t>
            </w:r>
          </w:p>
        </w:tc>
      </w:tr>
      <w:tr w:rsidR="004046E9" w14:paraId="44A49236" w14:textId="77777777">
        <w:trPr>
          <w:divId w:val="6712127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6693F" w14:textId="77777777" w:rsidR="009857A8" w:rsidRDefault="009857A8">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067A2" w14:textId="77777777" w:rsidR="009857A8" w:rsidRDefault="009857A8">
            <w:pPr>
              <w:spacing w:line="360" w:lineRule="auto"/>
              <w:jc w:val="left"/>
            </w:pPr>
            <w:r>
              <w:rPr>
                <w:rFonts w:ascii="宋体" w:hAnsi="宋体" w:hint="eastAsia"/>
                <w:lang w:eastAsia="zh-Hans"/>
              </w:rPr>
              <w:t>006282</w:t>
            </w:r>
          </w:p>
        </w:tc>
      </w:tr>
      <w:tr w:rsidR="004046E9" w14:paraId="48587FB3" w14:textId="77777777">
        <w:trPr>
          <w:divId w:val="6712127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9EBB8" w14:textId="77777777" w:rsidR="009857A8" w:rsidRDefault="009857A8">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4E455" w14:textId="77777777" w:rsidR="009857A8" w:rsidRDefault="009857A8">
            <w:pPr>
              <w:spacing w:line="360" w:lineRule="auto"/>
              <w:jc w:val="left"/>
            </w:pPr>
            <w:r>
              <w:rPr>
                <w:rFonts w:ascii="宋体" w:hAnsi="宋体" w:hint="eastAsia"/>
                <w:lang w:eastAsia="zh-Hans"/>
              </w:rPr>
              <w:t>契约型开放式</w:t>
            </w:r>
          </w:p>
        </w:tc>
      </w:tr>
      <w:tr w:rsidR="004046E9" w14:paraId="0466C9F9" w14:textId="77777777">
        <w:trPr>
          <w:divId w:val="6712127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7C24F" w14:textId="77777777" w:rsidR="009857A8" w:rsidRDefault="009857A8">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5600BB" w14:textId="77777777" w:rsidR="009857A8" w:rsidRDefault="009857A8">
            <w:pPr>
              <w:spacing w:line="360" w:lineRule="auto"/>
              <w:jc w:val="left"/>
            </w:pPr>
            <w:r>
              <w:rPr>
                <w:rFonts w:ascii="宋体" w:hAnsi="宋体" w:hint="eastAsia"/>
                <w:lang w:eastAsia="zh-Hans"/>
              </w:rPr>
              <w:t>2018年10月31日</w:t>
            </w:r>
          </w:p>
        </w:tc>
      </w:tr>
      <w:tr w:rsidR="004046E9" w14:paraId="43751F9D" w14:textId="77777777">
        <w:trPr>
          <w:divId w:val="6712127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5F063B" w14:textId="77777777" w:rsidR="009857A8" w:rsidRDefault="009857A8">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F0F27" w14:textId="77777777" w:rsidR="009857A8" w:rsidRDefault="009857A8">
            <w:pPr>
              <w:spacing w:line="360" w:lineRule="auto"/>
              <w:jc w:val="left"/>
            </w:pPr>
            <w:r>
              <w:rPr>
                <w:rFonts w:ascii="宋体" w:hAnsi="宋体" w:hint="eastAsia"/>
                <w:lang w:eastAsia="zh-Hans"/>
              </w:rPr>
              <w:t>476,632,283.39</w:t>
            </w:r>
            <w:r>
              <w:rPr>
                <w:rFonts w:asciiTheme="minorHAnsi" w:eastAsiaTheme="minorEastAsia" w:hAnsiTheme="minorHAnsi" w:hint="eastAsia"/>
              </w:rPr>
              <w:t>份</w:t>
            </w:r>
            <w:r>
              <w:rPr>
                <w:rFonts w:ascii="宋体" w:hAnsi="宋体" w:hint="eastAsia"/>
                <w:lang w:eastAsia="zh-Hans"/>
              </w:rPr>
              <w:t xml:space="preserve"> </w:t>
            </w:r>
          </w:p>
        </w:tc>
      </w:tr>
      <w:tr w:rsidR="004046E9" w14:paraId="578FF61D" w14:textId="77777777">
        <w:trPr>
          <w:divId w:val="6712127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A98B5" w14:textId="77777777" w:rsidR="009857A8" w:rsidRDefault="009857A8">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14D50" w14:textId="77777777" w:rsidR="009857A8" w:rsidRDefault="009857A8">
            <w:pPr>
              <w:spacing w:line="360" w:lineRule="auto"/>
              <w:jc w:val="left"/>
            </w:pPr>
            <w:r>
              <w:rPr>
                <w:rFonts w:ascii="宋体" w:hAnsi="宋体" w:hint="eastAsia"/>
                <w:lang w:eastAsia="zh-Hans"/>
              </w:rPr>
              <w:t>本基金主要投资于欧洲股票，在严格控制风险的前提下追求超越业绩比较基准的回报。</w:t>
            </w:r>
          </w:p>
        </w:tc>
      </w:tr>
      <w:tr w:rsidR="004046E9" w14:paraId="161BF46B" w14:textId="77777777">
        <w:trPr>
          <w:divId w:val="6712127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1A0B5" w14:textId="77777777" w:rsidR="009857A8" w:rsidRDefault="009857A8">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F285B" w14:textId="77777777" w:rsidR="009857A8" w:rsidRDefault="009857A8">
            <w:pPr>
              <w:spacing w:line="360" w:lineRule="auto"/>
              <w:jc w:val="left"/>
            </w:pPr>
            <w:r>
              <w:rPr>
                <w:rFonts w:ascii="宋体" w:hAnsi="宋体" w:hint="eastAsia"/>
                <w:lang w:eastAsia="zh-Hans"/>
              </w:rPr>
              <w:t>1、资产配置策略</w:t>
            </w:r>
            <w:r>
              <w:rPr>
                <w:rFonts w:ascii="宋体" w:hAnsi="宋体" w:hint="eastAsia"/>
                <w:lang w:eastAsia="zh-Hans"/>
              </w:rPr>
              <w:br/>
              <w:t>本基金将根据欧洲资本市场情况、企业竞争优势等进行综合分析、评估，精选优秀的欧洲企业进行跨市场配置以构建股票投资组合。</w:t>
            </w:r>
            <w:r>
              <w:rPr>
                <w:rFonts w:ascii="宋体" w:hAnsi="宋体" w:hint="eastAsia"/>
                <w:lang w:eastAsia="zh-Hans"/>
              </w:rPr>
              <w:br/>
              <w:t>2、本基金的股票投资策略如下：</w:t>
            </w:r>
            <w:r>
              <w:rPr>
                <w:rFonts w:ascii="宋体" w:hAnsi="宋体" w:hint="eastAsia"/>
                <w:lang w:eastAsia="zh-Hans"/>
              </w:rPr>
              <w:br/>
              <w:t>（1）本基金综合考虑不同欧洲地区不同市场的宏观经济环境、增长和通胀背景、不同市场的估值水平和流动性因素、相关公司所处的发展阶段、盈利前景和竞争环境以及其他影响投资组合回报及风险的重要要素将基金资产在欧洲市场之间进行</w:t>
            </w:r>
            <w:r>
              <w:rPr>
                <w:rFonts w:ascii="宋体" w:hAnsi="宋体" w:hint="eastAsia"/>
                <w:lang w:eastAsia="zh-Hans"/>
              </w:rPr>
              <w:lastRenderedPageBreak/>
              <w:t>配置。</w:t>
            </w:r>
            <w:r>
              <w:rPr>
                <w:rFonts w:ascii="宋体" w:hAnsi="宋体" w:hint="eastAsia"/>
                <w:lang w:eastAsia="zh-Hans"/>
              </w:rPr>
              <w:br/>
              <w:t>（2）个股选择：从估值、股票质量及趋势三个维度在欧洲上市公司股票中进行筛选，估值方面主要考虑基于市盈率、自由现金流收益率和其他相关价值衡量指标，横向对比选取估值相对便宜的股票；股票质量方面主要考虑企业盈利的可持续性、企业资本的运用配置情况及实际盈利能力，选取拥有可持续利润及严谨的资本管理的盈利公司；股票动能方面，通过每日跟踪公司盈利公告、订单及产品计划，选取正处于正面盈利趋势及正面价格趋势双支撑的股票。除前述三个维度外，本基金还将综合分析企业的财务状况、商业模式以及公司管理层三个方面，从中筛选出优秀的上市公司。</w:t>
            </w:r>
            <w:r>
              <w:rPr>
                <w:rFonts w:ascii="宋体" w:hAnsi="宋体" w:hint="eastAsia"/>
                <w:lang w:eastAsia="zh-Hans"/>
              </w:rPr>
              <w:br/>
              <w:t>（3）投资组合构建：根据上述精选出的个股，结合各项定量和定性指标挑选出最具上涨潜力的标的自下而上构建投资组合。</w:t>
            </w:r>
            <w:r>
              <w:rPr>
                <w:rFonts w:ascii="宋体" w:hAnsi="宋体" w:hint="eastAsia"/>
                <w:lang w:eastAsia="zh-Hans"/>
              </w:rPr>
              <w:br/>
              <w:t>3、其他投资策略：包括债券投资策略、中小企业私募债投资策略、证券公司短期公司债投资策略、资产支持证券投资策略、金融衍生品投资策略。</w:t>
            </w:r>
          </w:p>
        </w:tc>
      </w:tr>
      <w:tr w:rsidR="004046E9" w14:paraId="248A177C" w14:textId="77777777">
        <w:trPr>
          <w:divId w:val="6712127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C59AE" w14:textId="77777777" w:rsidR="009857A8" w:rsidRDefault="009857A8">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93384" w14:textId="77777777" w:rsidR="009857A8" w:rsidRDefault="009857A8">
            <w:pPr>
              <w:spacing w:line="360" w:lineRule="auto"/>
              <w:jc w:val="left"/>
            </w:pPr>
            <w:r>
              <w:rPr>
                <w:rFonts w:ascii="宋体" w:hAnsi="宋体" w:hint="eastAsia"/>
                <w:lang w:eastAsia="zh-Hans"/>
              </w:rPr>
              <w:t>本基金的业绩比较基准：90%×MSCI欧洲净收益指数（MSCI　Europe　Index　(Total　Return　Net)）收益率+　10%×税后银行活期存款收益率</w:t>
            </w:r>
          </w:p>
        </w:tc>
      </w:tr>
      <w:tr w:rsidR="004046E9" w14:paraId="263340BA" w14:textId="77777777">
        <w:trPr>
          <w:divId w:val="6712127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3C34A" w14:textId="77777777" w:rsidR="009857A8" w:rsidRDefault="009857A8">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7E684" w14:textId="77777777" w:rsidR="009857A8" w:rsidRDefault="009857A8">
            <w:pPr>
              <w:spacing w:line="360" w:lineRule="auto"/>
              <w:jc w:val="left"/>
            </w:pPr>
            <w:r>
              <w:rPr>
                <w:rFonts w:ascii="宋体" w:hAnsi="宋体" w:hint="eastAsia"/>
                <w:lang w:eastAsia="zh-Hans"/>
              </w:rPr>
              <w:t>本基金属于股票型基金产品，预期风险和收益水平高于混合型基金、债券型基金和货币市场基金。</w:t>
            </w:r>
          </w:p>
        </w:tc>
      </w:tr>
      <w:tr w:rsidR="004046E9" w14:paraId="5279FA48" w14:textId="77777777">
        <w:trPr>
          <w:divId w:val="67121274"/>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6F345" w14:textId="77777777" w:rsidR="009857A8" w:rsidRDefault="009857A8">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F4D6D" w14:textId="77777777" w:rsidR="009857A8" w:rsidRDefault="009857A8">
            <w:pPr>
              <w:spacing w:line="360" w:lineRule="auto"/>
              <w:jc w:val="left"/>
            </w:pPr>
            <w:r>
              <w:rPr>
                <w:rFonts w:ascii="宋体" w:hAnsi="宋体" w:hint="eastAsia"/>
                <w:lang w:eastAsia="zh-Hans"/>
              </w:rPr>
              <w:t>摩根基金管理（中国）有限公司</w:t>
            </w:r>
          </w:p>
        </w:tc>
      </w:tr>
      <w:tr w:rsidR="004046E9" w14:paraId="06D688E3" w14:textId="77777777">
        <w:trPr>
          <w:divId w:val="67121274"/>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37207" w14:textId="77777777" w:rsidR="009857A8" w:rsidRDefault="009857A8">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A302A" w14:textId="77777777" w:rsidR="009857A8" w:rsidRDefault="009857A8">
            <w:pPr>
              <w:spacing w:line="360" w:lineRule="auto"/>
              <w:jc w:val="left"/>
            </w:pPr>
            <w:r>
              <w:rPr>
                <w:rFonts w:ascii="宋体" w:hAnsi="宋体" w:hint="eastAsia"/>
                <w:lang w:eastAsia="zh-Hans"/>
              </w:rPr>
              <w:t>招商银行股份有限公司</w:t>
            </w:r>
          </w:p>
        </w:tc>
      </w:tr>
      <w:tr w:rsidR="004046E9" w14:paraId="5ABDB5B4" w14:textId="77777777">
        <w:trPr>
          <w:divId w:val="6712127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4E26D5" w14:textId="77777777" w:rsidR="009857A8" w:rsidRDefault="009857A8">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34A654" w14:textId="77777777" w:rsidR="009857A8" w:rsidRDefault="009857A8">
            <w:pPr>
              <w:spacing w:line="360" w:lineRule="auto"/>
              <w:jc w:val="center"/>
            </w:pPr>
            <w:r>
              <w:rPr>
                <w:rFonts w:ascii="宋体" w:hAnsi="宋体" w:hint="eastAsia"/>
                <w:lang w:eastAsia="zh-Hans"/>
              </w:rPr>
              <w:t>摩根欧洲动力策略股票(QDII)A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DD9C31" w14:textId="77777777" w:rsidR="009857A8" w:rsidRDefault="009857A8">
            <w:pPr>
              <w:spacing w:line="360" w:lineRule="auto"/>
              <w:jc w:val="center"/>
            </w:pPr>
            <w:r>
              <w:rPr>
                <w:rFonts w:ascii="宋体" w:hAnsi="宋体" w:hint="eastAsia"/>
                <w:lang w:eastAsia="zh-Hans"/>
              </w:rPr>
              <w:t>摩根欧洲动力策略股票(QDII)C</w:t>
            </w:r>
            <w:r>
              <w:rPr>
                <w:rFonts w:ascii="宋体" w:hAnsi="宋体" w:hint="eastAsia"/>
                <w:kern w:val="0"/>
                <w:sz w:val="20"/>
                <w:lang w:eastAsia="zh-Hans"/>
              </w:rPr>
              <w:t xml:space="preserve"> </w:t>
            </w:r>
          </w:p>
        </w:tc>
      </w:tr>
      <w:tr w:rsidR="004046E9" w14:paraId="3322D5EA" w14:textId="77777777">
        <w:trPr>
          <w:divId w:val="6712127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F0932E" w14:textId="77777777" w:rsidR="009857A8" w:rsidRDefault="009857A8">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4B2EEB" w14:textId="77777777" w:rsidR="009857A8" w:rsidRDefault="009857A8">
            <w:pPr>
              <w:spacing w:line="360" w:lineRule="auto"/>
              <w:jc w:val="center"/>
            </w:pPr>
            <w:r>
              <w:rPr>
                <w:rFonts w:ascii="宋体" w:hAnsi="宋体" w:hint="eastAsia"/>
                <w:lang w:eastAsia="zh-Hans"/>
              </w:rPr>
              <w:t>006282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3B3BA" w14:textId="77777777" w:rsidR="009857A8" w:rsidRDefault="009857A8">
            <w:pPr>
              <w:spacing w:line="360" w:lineRule="auto"/>
              <w:jc w:val="center"/>
            </w:pPr>
            <w:r>
              <w:rPr>
                <w:rFonts w:ascii="宋体" w:hAnsi="宋体" w:hint="eastAsia"/>
                <w:lang w:eastAsia="zh-Hans"/>
              </w:rPr>
              <w:t>019450</w:t>
            </w:r>
            <w:r>
              <w:rPr>
                <w:rFonts w:ascii="宋体" w:hAnsi="宋体" w:hint="eastAsia"/>
                <w:kern w:val="0"/>
                <w:sz w:val="20"/>
                <w:lang w:eastAsia="zh-Hans"/>
              </w:rPr>
              <w:t xml:space="preserve"> </w:t>
            </w:r>
          </w:p>
        </w:tc>
      </w:tr>
      <w:bookmarkEnd w:id="38"/>
      <w:tr w:rsidR="004046E9" w14:paraId="69A7B6BA" w14:textId="77777777">
        <w:trPr>
          <w:divId w:val="6712127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7548D9" w14:textId="77777777" w:rsidR="009857A8" w:rsidRDefault="009857A8">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89AAD" w14:textId="77777777" w:rsidR="009857A8" w:rsidRDefault="009857A8">
            <w:pPr>
              <w:spacing w:line="360" w:lineRule="auto"/>
              <w:jc w:val="center"/>
            </w:pPr>
            <w:r>
              <w:rPr>
                <w:rFonts w:ascii="宋体" w:hAnsi="宋体" w:hint="eastAsia"/>
                <w:lang w:eastAsia="zh-Hans"/>
              </w:rPr>
              <w:t>343,902,320.64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2C3A1" w14:textId="77777777" w:rsidR="009857A8" w:rsidRDefault="009857A8">
            <w:pPr>
              <w:spacing w:line="360" w:lineRule="auto"/>
              <w:jc w:val="center"/>
            </w:pPr>
            <w:r>
              <w:rPr>
                <w:rFonts w:ascii="宋体" w:hAnsi="宋体" w:hint="eastAsia"/>
                <w:lang w:eastAsia="zh-Hans"/>
              </w:rPr>
              <w:t>132,729,962.75</w:t>
            </w:r>
            <w:r>
              <w:rPr>
                <w:rFonts w:hint="eastAsia"/>
              </w:rPr>
              <w:t>份</w:t>
            </w:r>
            <w:r>
              <w:rPr>
                <w:rFonts w:ascii="宋体" w:hAnsi="宋体" w:hint="eastAsia"/>
                <w:lang w:eastAsia="zh-Hans"/>
              </w:rPr>
              <w:t xml:space="preserve"> </w:t>
            </w:r>
          </w:p>
        </w:tc>
      </w:tr>
      <w:tr w:rsidR="004046E9" w14:paraId="6766BA42" w14:textId="77777777">
        <w:trPr>
          <w:divId w:val="67121274"/>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9E319" w14:textId="77777777" w:rsidR="009857A8" w:rsidRDefault="009857A8">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62A14A5" w14:textId="77777777" w:rsidR="009857A8" w:rsidRDefault="009857A8">
            <w:pPr>
              <w:widowControl/>
              <w:spacing w:line="315" w:lineRule="atLeast"/>
              <w:jc w:val="left"/>
            </w:pPr>
            <w:r>
              <w:rPr>
                <w:rFonts w:asciiTheme="minorEastAsia" w:eastAsiaTheme="minorEastAsia" w:hAnsiTheme="minorEastAsia" w:hint="eastAsia"/>
              </w:rPr>
              <w:t>英文名称：JPMorgan Asset Management(UK) Limited</w:t>
            </w:r>
          </w:p>
        </w:tc>
      </w:tr>
      <w:tr w:rsidR="004046E9" w14:paraId="5A2842B1" w14:textId="77777777">
        <w:trPr>
          <w:divId w:val="67121274"/>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045848" w14:textId="77777777" w:rsidR="009857A8" w:rsidRDefault="009857A8">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0BBA7FC" w14:textId="77777777" w:rsidR="009857A8" w:rsidRDefault="009857A8">
            <w:pPr>
              <w:widowControl/>
              <w:spacing w:line="315" w:lineRule="atLeast"/>
              <w:jc w:val="left"/>
            </w:pPr>
            <w:r>
              <w:rPr>
                <w:rFonts w:asciiTheme="minorEastAsia" w:eastAsiaTheme="minorEastAsia" w:hAnsiTheme="minorEastAsia" w:hint="eastAsia"/>
              </w:rPr>
              <w:t>中文名称：摩根资产管理(英国)有限公司</w:t>
            </w:r>
          </w:p>
        </w:tc>
      </w:tr>
      <w:tr w:rsidR="004046E9" w14:paraId="64752E1F" w14:textId="77777777">
        <w:trPr>
          <w:divId w:val="67121274"/>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35977" w14:textId="77777777" w:rsidR="009857A8" w:rsidRDefault="009857A8">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10DC09EB" w14:textId="77777777" w:rsidR="009857A8" w:rsidRDefault="009857A8">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4046E9" w14:paraId="29D87E54" w14:textId="77777777">
        <w:trPr>
          <w:divId w:val="67121274"/>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774C7A" w14:textId="77777777" w:rsidR="009857A8" w:rsidRDefault="009857A8">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1BDCFC5" w14:textId="77777777" w:rsidR="009857A8" w:rsidRDefault="009857A8">
            <w:pPr>
              <w:widowControl/>
              <w:spacing w:line="315" w:lineRule="atLeast"/>
              <w:jc w:val="left"/>
            </w:pPr>
            <w:r>
              <w:rPr>
                <w:rFonts w:asciiTheme="minorEastAsia" w:eastAsiaTheme="minorEastAsia" w:hAnsiTheme="minorEastAsia" w:hint="eastAsia"/>
              </w:rPr>
              <w:t>中文名称：香港上海汇丰银行有限公司</w:t>
            </w:r>
          </w:p>
        </w:tc>
      </w:tr>
    </w:tbl>
    <w:p w14:paraId="7173141C" w14:textId="77777777" w:rsidR="009857A8" w:rsidRDefault="009857A8">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
    <w:p w14:paraId="66D76DD5" w14:textId="77777777" w:rsidR="009857A8" w:rsidRDefault="009857A8">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r>
        <w:rPr>
          <w:rFonts w:eastAsia="宋体" w:hint="eastAsia"/>
        </w:rPr>
        <w:t>主要财务指标</w:t>
      </w:r>
      <w:bookmarkEnd w:id="52"/>
      <w:bookmarkEnd w:id="53"/>
      <w:bookmarkEnd w:id="54"/>
      <w:bookmarkEnd w:id="55"/>
      <w:bookmarkEnd w:id="56"/>
      <w:bookmarkEnd w:id="57"/>
      <w:r>
        <w:rPr>
          <w:rFonts w:eastAsia="宋体" w:hint="eastAsia"/>
        </w:rPr>
        <w:t xml:space="preserve"> </w:t>
      </w:r>
      <w:bookmarkEnd w:id="58"/>
      <w:bookmarkEnd w:id="59"/>
      <w:bookmarkEnd w:id="60"/>
      <w:bookmarkEnd w:id="61"/>
      <w:bookmarkEnd w:id="62"/>
    </w:p>
    <w:p w14:paraId="719D615D" w14:textId="77777777" w:rsidR="009857A8" w:rsidRDefault="009857A8">
      <w:pPr>
        <w:jc w:val="right"/>
        <w:divId w:val="23451098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1"/>
        <w:gridCol w:w="2982"/>
        <w:gridCol w:w="2982"/>
      </w:tblGrid>
      <w:tr w:rsidR="004046E9" w14:paraId="5288FB36" w14:textId="77777777">
        <w:trPr>
          <w:divId w:val="23451098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DAD1696" w14:textId="77777777" w:rsidR="009857A8" w:rsidRDefault="009857A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4483E40" w14:textId="77777777" w:rsidR="009857A8" w:rsidRDefault="009857A8">
            <w:pPr>
              <w:pStyle w:val="a5"/>
              <w:jc w:val="center"/>
              <w:rPr>
                <w:rFonts w:hint="eastAsia"/>
              </w:rPr>
            </w:pPr>
            <w:r>
              <w:rPr>
                <w:rFonts w:hint="eastAsia"/>
                <w:kern w:val="2"/>
                <w:sz w:val="21"/>
                <w:szCs w:val="24"/>
                <w:lang w:eastAsia="zh-Hans"/>
              </w:rPr>
              <w:t xml:space="preserve">报告期（2026年1月1日 - 2026年3月31日） </w:t>
            </w:r>
          </w:p>
        </w:tc>
      </w:tr>
      <w:tr w:rsidR="004046E9" w14:paraId="207E8EC6" w14:textId="77777777">
        <w:trPr>
          <w:divId w:val="23451098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A17E9" w14:textId="77777777" w:rsidR="009857A8" w:rsidRDefault="009857A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01448EB" w14:textId="77777777" w:rsidR="009857A8" w:rsidRDefault="009857A8">
            <w:pPr>
              <w:jc w:val="center"/>
            </w:pPr>
            <w:r>
              <w:rPr>
                <w:rFonts w:ascii="宋体" w:hAnsi="宋体" w:hint="eastAsia"/>
                <w:szCs w:val="24"/>
                <w:lang w:eastAsia="zh-Hans"/>
              </w:rPr>
              <w:t>摩根欧洲动力策略股票(QDII)A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53E4233" w14:textId="77777777" w:rsidR="009857A8" w:rsidRDefault="009857A8">
            <w:pPr>
              <w:jc w:val="center"/>
            </w:pPr>
            <w:r>
              <w:rPr>
                <w:rFonts w:ascii="宋体" w:hAnsi="宋体" w:hint="eastAsia"/>
                <w:szCs w:val="24"/>
                <w:lang w:eastAsia="zh-Hans"/>
              </w:rPr>
              <w:t>摩根欧洲动力策略股票(QDII)C</w:t>
            </w:r>
          </w:p>
        </w:tc>
      </w:tr>
      <w:tr w:rsidR="004046E9" w14:paraId="529DF0C5" w14:textId="77777777">
        <w:trPr>
          <w:divId w:val="2345109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37F927" w14:textId="77777777" w:rsidR="009857A8" w:rsidRDefault="009857A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5E21FD" w14:textId="77777777" w:rsidR="009857A8" w:rsidRDefault="009857A8">
            <w:pPr>
              <w:jc w:val="right"/>
            </w:pPr>
            <w:r>
              <w:rPr>
                <w:rFonts w:ascii="宋体" w:hAnsi="宋体" w:hint="eastAsia"/>
                <w:szCs w:val="24"/>
                <w:lang w:eastAsia="zh-Hans"/>
              </w:rPr>
              <w:t>4,798,153.73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4AB210" w14:textId="77777777" w:rsidR="009857A8" w:rsidRDefault="009857A8">
            <w:pPr>
              <w:jc w:val="right"/>
            </w:pPr>
            <w:r>
              <w:rPr>
                <w:rFonts w:ascii="宋体" w:hAnsi="宋体" w:hint="eastAsia"/>
                <w:szCs w:val="24"/>
                <w:lang w:eastAsia="zh-Hans"/>
              </w:rPr>
              <w:t>2,003,667.23</w:t>
            </w:r>
          </w:p>
        </w:tc>
      </w:tr>
      <w:tr w:rsidR="004046E9" w14:paraId="42522D18" w14:textId="77777777">
        <w:trPr>
          <w:divId w:val="2345109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2A910F" w14:textId="77777777" w:rsidR="009857A8" w:rsidRDefault="009857A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0B979C" w14:textId="77777777" w:rsidR="009857A8" w:rsidRDefault="009857A8">
            <w:pPr>
              <w:jc w:val="right"/>
            </w:pPr>
            <w:r>
              <w:rPr>
                <w:rFonts w:ascii="宋体" w:hAnsi="宋体" w:hint="eastAsia"/>
                <w:szCs w:val="24"/>
                <w:lang w:eastAsia="zh-Hans"/>
              </w:rPr>
              <w:t>-23,993,696.77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C4071F" w14:textId="77777777" w:rsidR="009857A8" w:rsidRDefault="009857A8">
            <w:pPr>
              <w:jc w:val="right"/>
            </w:pPr>
            <w:r>
              <w:rPr>
                <w:rFonts w:ascii="宋体" w:hAnsi="宋体" w:hint="eastAsia"/>
                <w:szCs w:val="24"/>
                <w:lang w:eastAsia="zh-Hans"/>
              </w:rPr>
              <w:t>-7,540,333.29</w:t>
            </w:r>
          </w:p>
        </w:tc>
      </w:tr>
      <w:tr w:rsidR="004046E9" w14:paraId="25A085A7" w14:textId="77777777">
        <w:trPr>
          <w:divId w:val="2345109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98BCDF" w14:textId="77777777" w:rsidR="009857A8" w:rsidRDefault="009857A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9297F8" w14:textId="77777777" w:rsidR="009857A8" w:rsidRDefault="009857A8">
            <w:pPr>
              <w:jc w:val="right"/>
            </w:pPr>
            <w:r>
              <w:rPr>
                <w:rFonts w:ascii="宋体" w:hAnsi="宋体" w:hint="eastAsia"/>
                <w:szCs w:val="24"/>
                <w:lang w:eastAsia="zh-Hans"/>
              </w:rPr>
              <w:t>-0.0735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DCE095" w14:textId="77777777" w:rsidR="009857A8" w:rsidRDefault="009857A8">
            <w:pPr>
              <w:jc w:val="right"/>
            </w:pPr>
            <w:r>
              <w:rPr>
                <w:rFonts w:ascii="宋体" w:hAnsi="宋体" w:hint="eastAsia"/>
                <w:szCs w:val="24"/>
                <w:lang w:eastAsia="zh-Hans"/>
              </w:rPr>
              <w:t>-0.0550</w:t>
            </w:r>
          </w:p>
        </w:tc>
      </w:tr>
      <w:tr w:rsidR="004046E9" w14:paraId="0CC99C36" w14:textId="77777777">
        <w:trPr>
          <w:divId w:val="2345109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342320" w14:textId="77777777" w:rsidR="009857A8" w:rsidRDefault="009857A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3432BA" w14:textId="77777777" w:rsidR="009857A8" w:rsidRDefault="009857A8">
            <w:pPr>
              <w:jc w:val="right"/>
            </w:pPr>
            <w:r>
              <w:rPr>
                <w:rFonts w:ascii="宋体" w:hAnsi="宋体" w:hint="eastAsia"/>
                <w:szCs w:val="24"/>
                <w:lang w:eastAsia="zh-Hans"/>
              </w:rPr>
              <w:t>582,263,011.82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8AFAF0" w14:textId="77777777" w:rsidR="009857A8" w:rsidRDefault="009857A8">
            <w:pPr>
              <w:jc w:val="right"/>
            </w:pPr>
            <w:r>
              <w:rPr>
                <w:rFonts w:ascii="宋体" w:hAnsi="宋体" w:hint="eastAsia"/>
                <w:szCs w:val="24"/>
                <w:lang w:eastAsia="zh-Hans"/>
              </w:rPr>
              <w:t>223,397,499.95</w:t>
            </w:r>
          </w:p>
        </w:tc>
      </w:tr>
      <w:tr w:rsidR="004046E9" w14:paraId="62BDA9D5" w14:textId="77777777">
        <w:trPr>
          <w:divId w:val="2345109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7A80FC" w14:textId="77777777" w:rsidR="009857A8" w:rsidRDefault="009857A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B31452" w14:textId="77777777" w:rsidR="009857A8" w:rsidRDefault="009857A8">
            <w:pPr>
              <w:jc w:val="right"/>
            </w:pPr>
            <w:r>
              <w:rPr>
                <w:rFonts w:ascii="宋体" w:hAnsi="宋体" w:hint="eastAsia"/>
                <w:szCs w:val="24"/>
                <w:lang w:eastAsia="zh-Hans"/>
              </w:rPr>
              <w:t>1.6931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1F604A" w14:textId="77777777" w:rsidR="009857A8" w:rsidRDefault="009857A8">
            <w:pPr>
              <w:jc w:val="right"/>
            </w:pPr>
            <w:r>
              <w:rPr>
                <w:rFonts w:ascii="宋体" w:hAnsi="宋体" w:hint="eastAsia"/>
                <w:szCs w:val="24"/>
                <w:lang w:eastAsia="zh-Hans"/>
              </w:rPr>
              <w:t>1.6831</w:t>
            </w:r>
          </w:p>
        </w:tc>
      </w:tr>
    </w:tbl>
    <w:p w14:paraId="21293E00" w14:textId="77777777" w:rsidR="009857A8" w:rsidRDefault="009857A8">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63C55E0" w14:textId="77777777" w:rsidR="009857A8" w:rsidRDefault="009857A8">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r>
        <w:rPr>
          <w:rFonts w:eastAsia="宋体" w:hint="eastAsia"/>
        </w:rPr>
        <w:t xml:space="preserve"> </w:t>
      </w:r>
    </w:p>
    <w:p w14:paraId="13B73DFB" w14:textId="77777777" w:rsidR="009857A8" w:rsidRDefault="009857A8">
      <w:pPr>
        <w:pStyle w:val="XBRLTitle3"/>
        <w:spacing w:before="156" w:line="360" w:lineRule="auto"/>
        <w:ind w:left="624"/>
      </w:pPr>
      <w:bookmarkStart w:id="74" w:name="_Toc514088248"/>
      <w:bookmarkStart w:id="75" w:name="_Toc513542649"/>
      <w:bookmarkStart w:id="76" w:name="_Toc480465418"/>
      <w:r>
        <w:rPr>
          <w:rFonts w:hAnsi="宋体" w:hint="eastAsia"/>
        </w:rPr>
        <w:t>基金份额净值增长率及其与同期业绩比较基准收益率的比较</w:t>
      </w:r>
      <w:bookmarkEnd w:id="74"/>
      <w:bookmarkEnd w:id="75"/>
      <w:bookmarkEnd w:id="76"/>
      <w:r>
        <w:rPr>
          <w:rFonts w:hAnsi="宋体" w:hint="eastAsia"/>
        </w:rPr>
        <w:t xml:space="preserve"> </w:t>
      </w:r>
    </w:p>
    <w:p w14:paraId="77D18439" w14:textId="77777777" w:rsidR="009857A8" w:rsidRDefault="009857A8">
      <w:pPr>
        <w:spacing w:line="360" w:lineRule="auto"/>
        <w:jc w:val="center"/>
        <w:divId w:val="1299339350"/>
      </w:pPr>
      <w:r>
        <w:rPr>
          <w:rFonts w:ascii="宋体" w:hAnsi="宋体" w:hint="eastAsia"/>
        </w:rPr>
        <w:t>摩根欧洲动力策略股票(QDII)A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046E9" w14:paraId="306F315C" w14:textId="77777777">
        <w:trPr>
          <w:divId w:val="129933935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CA67D5" w14:textId="77777777" w:rsidR="009857A8" w:rsidRDefault="009857A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FE2A39" w14:textId="77777777" w:rsidR="009857A8" w:rsidRDefault="009857A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A6B05C" w14:textId="77777777" w:rsidR="009857A8" w:rsidRDefault="009857A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C8A997" w14:textId="77777777" w:rsidR="009857A8" w:rsidRDefault="009857A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1EDC7A" w14:textId="77777777" w:rsidR="009857A8" w:rsidRDefault="009857A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CE6E6" w14:textId="77777777" w:rsidR="009857A8" w:rsidRDefault="009857A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32D055" w14:textId="77777777" w:rsidR="009857A8" w:rsidRDefault="009857A8">
            <w:pPr>
              <w:spacing w:line="360" w:lineRule="auto"/>
              <w:jc w:val="center"/>
            </w:pPr>
            <w:r>
              <w:rPr>
                <w:rFonts w:ascii="宋体" w:hAnsi="宋体" w:hint="eastAsia"/>
              </w:rPr>
              <w:t xml:space="preserve">②－④ </w:t>
            </w:r>
          </w:p>
        </w:tc>
      </w:tr>
      <w:tr w:rsidR="004046E9" w14:paraId="716925A3" w14:textId="77777777">
        <w:trPr>
          <w:divId w:val="1299339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56027" w14:textId="77777777" w:rsidR="009857A8" w:rsidRDefault="009857A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687D2" w14:textId="77777777" w:rsidR="009857A8" w:rsidRDefault="009857A8">
            <w:pPr>
              <w:spacing w:line="360" w:lineRule="auto"/>
              <w:jc w:val="right"/>
            </w:pPr>
            <w:r>
              <w:rPr>
                <w:rFonts w:ascii="宋体" w:hAnsi="宋体" w:hint="eastAsia"/>
              </w:rPr>
              <w:t xml:space="preserve">-3.74%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539FC" w14:textId="77777777" w:rsidR="009857A8" w:rsidRDefault="009857A8">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E6951" w14:textId="77777777" w:rsidR="009857A8" w:rsidRDefault="009857A8">
            <w:pPr>
              <w:spacing w:line="360" w:lineRule="auto"/>
              <w:jc w:val="right"/>
            </w:pPr>
            <w:r>
              <w:rPr>
                <w:rFonts w:ascii="宋体" w:hAnsi="宋体" w:hint="eastAsia"/>
              </w:rPr>
              <w:t xml:space="preserve">-3.89%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B0A24" w14:textId="77777777" w:rsidR="009857A8" w:rsidRDefault="009857A8">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40C605" w14:textId="77777777" w:rsidR="009857A8" w:rsidRDefault="009857A8">
            <w:pPr>
              <w:spacing w:line="360" w:lineRule="auto"/>
              <w:jc w:val="right"/>
            </w:pPr>
            <w:r>
              <w:rPr>
                <w:rFonts w:ascii="宋体" w:hAnsi="宋体" w:hint="eastAsia"/>
              </w:rPr>
              <w:t xml:space="preserve">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9777A" w14:textId="77777777" w:rsidR="009857A8" w:rsidRDefault="009857A8">
            <w:pPr>
              <w:spacing w:line="360" w:lineRule="auto"/>
              <w:jc w:val="right"/>
            </w:pPr>
            <w:r>
              <w:rPr>
                <w:rFonts w:ascii="宋体" w:hAnsi="宋体" w:hint="eastAsia"/>
              </w:rPr>
              <w:t xml:space="preserve">-0.07% </w:t>
            </w:r>
          </w:p>
        </w:tc>
      </w:tr>
      <w:tr w:rsidR="004046E9" w14:paraId="54E65EF4" w14:textId="77777777">
        <w:trPr>
          <w:divId w:val="1299339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5BF65" w14:textId="77777777" w:rsidR="009857A8" w:rsidRDefault="009857A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C7629" w14:textId="77777777" w:rsidR="009857A8" w:rsidRDefault="009857A8">
            <w:pPr>
              <w:spacing w:line="360" w:lineRule="auto"/>
              <w:jc w:val="right"/>
            </w:pPr>
            <w:r>
              <w:rPr>
                <w:rFonts w:ascii="宋体" w:hAnsi="宋体" w:hint="eastAsia"/>
              </w:rPr>
              <w:t xml:space="preserve">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DCF07" w14:textId="77777777" w:rsidR="009857A8" w:rsidRDefault="009857A8">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BE1A2" w14:textId="77777777" w:rsidR="009857A8" w:rsidRDefault="009857A8">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BF67D" w14:textId="77777777" w:rsidR="009857A8" w:rsidRDefault="009857A8">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AC1651" w14:textId="77777777" w:rsidR="009857A8" w:rsidRDefault="009857A8">
            <w:pPr>
              <w:spacing w:line="360" w:lineRule="auto"/>
              <w:jc w:val="right"/>
            </w:pPr>
            <w:r>
              <w:rPr>
                <w:rFonts w:ascii="宋体" w:hAnsi="宋体" w:hint="eastAsia"/>
              </w:rPr>
              <w:t xml:space="preserve">0.12%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0F365" w14:textId="77777777" w:rsidR="009857A8" w:rsidRDefault="009857A8">
            <w:pPr>
              <w:spacing w:line="360" w:lineRule="auto"/>
              <w:jc w:val="right"/>
            </w:pPr>
            <w:r>
              <w:rPr>
                <w:rFonts w:ascii="宋体" w:hAnsi="宋体" w:hint="eastAsia"/>
              </w:rPr>
              <w:t xml:space="preserve">-0.03% </w:t>
            </w:r>
          </w:p>
        </w:tc>
      </w:tr>
      <w:tr w:rsidR="004046E9" w14:paraId="62EE927F" w14:textId="77777777">
        <w:trPr>
          <w:divId w:val="1299339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59ABF" w14:textId="77777777" w:rsidR="009857A8" w:rsidRDefault="009857A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E5EA4" w14:textId="77777777" w:rsidR="009857A8" w:rsidRDefault="009857A8">
            <w:pPr>
              <w:spacing w:line="360" w:lineRule="auto"/>
              <w:jc w:val="right"/>
            </w:pPr>
            <w:r>
              <w:rPr>
                <w:rFonts w:ascii="宋体" w:hAnsi="宋体" w:hint="eastAsia"/>
              </w:rPr>
              <w:t xml:space="preserve">14.13%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17779" w14:textId="77777777" w:rsidR="009857A8" w:rsidRDefault="009857A8">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111C9" w14:textId="77777777" w:rsidR="009857A8" w:rsidRDefault="009857A8">
            <w:pPr>
              <w:spacing w:line="360" w:lineRule="auto"/>
              <w:jc w:val="right"/>
            </w:pPr>
            <w:r>
              <w:rPr>
                <w:rFonts w:ascii="宋体" w:hAnsi="宋体" w:hint="eastAsia"/>
              </w:rPr>
              <w:t xml:space="preserve">13.37%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401AC" w14:textId="77777777" w:rsidR="009857A8" w:rsidRDefault="009857A8">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80D90E" w14:textId="77777777" w:rsidR="009857A8" w:rsidRDefault="009857A8">
            <w:pPr>
              <w:spacing w:line="360" w:lineRule="auto"/>
              <w:jc w:val="right"/>
            </w:pPr>
            <w:r>
              <w:rPr>
                <w:rFonts w:ascii="宋体" w:hAnsi="宋体" w:hint="eastAsia"/>
              </w:rPr>
              <w:t xml:space="preserve">0.76%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3E96B" w14:textId="77777777" w:rsidR="009857A8" w:rsidRDefault="009857A8">
            <w:pPr>
              <w:spacing w:line="360" w:lineRule="auto"/>
              <w:jc w:val="right"/>
            </w:pPr>
            <w:r>
              <w:rPr>
                <w:rFonts w:ascii="宋体" w:hAnsi="宋体" w:hint="eastAsia"/>
              </w:rPr>
              <w:t xml:space="preserve">-0.12% </w:t>
            </w:r>
          </w:p>
        </w:tc>
      </w:tr>
      <w:tr w:rsidR="004046E9" w14:paraId="241E0B0D" w14:textId="77777777">
        <w:trPr>
          <w:divId w:val="1299339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7102A" w14:textId="77777777" w:rsidR="009857A8" w:rsidRDefault="009857A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40906" w14:textId="77777777" w:rsidR="009857A8" w:rsidRDefault="009857A8">
            <w:pPr>
              <w:spacing w:line="360" w:lineRule="auto"/>
              <w:jc w:val="right"/>
            </w:pPr>
            <w:r>
              <w:rPr>
                <w:rFonts w:ascii="宋体" w:hAnsi="宋体" w:hint="eastAsia"/>
              </w:rPr>
              <w:t xml:space="preserve">37.65%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B2F6D" w14:textId="77777777" w:rsidR="009857A8" w:rsidRDefault="009857A8">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7595D" w14:textId="77777777" w:rsidR="009857A8" w:rsidRDefault="009857A8">
            <w:pPr>
              <w:spacing w:line="360" w:lineRule="auto"/>
              <w:jc w:val="right"/>
            </w:pPr>
            <w:r>
              <w:rPr>
                <w:rFonts w:ascii="宋体" w:hAnsi="宋体" w:hint="eastAsia"/>
              </w:rPr>
              <w:t xml:space="preserve">41.74%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C2CC9" w14:textId="77777777" w:rsidR="009857A8" w:rsidRDefault="009857A8">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2EF95A" w14:textId="77777777" w:rsidR="009857A8" w:rsidRDefault="009857A8">
            <w:pPr>
              <w:spacing w:line="360" w:lineRule="auto"/>
              <w:jc w:val="right"/>
            </w:pPr>
            <w:r>
              <w:rPr>
                <w:rFonts w:ascii="宋体" w:hAnsi="宋体" w:hint="eastAsia"/>
              </w:rPr>
              <w:t xml:space="preserve">-4.09%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0E5D5" w14:textId="77777777" w:rsidR="009857A8" w:rsidRDefault="009857A8">
            <w:pPr>
              <w:spacing w:line="360" w:lineRule="auto"/>
              <w:jc w:val="right"/>
            </w:pPr>
            <w:r>
              <w:rPr>
                <w:rFonts w:ascii="宋体" w:hAnsi="宋体" w:hint="eastAsia"/>
              </w:rPr>
              <w:t xml:space="preserve">-0.10% </w:t>
            </w:r>
          </w:p>
        </w:tc>
      </w:tr>
      <w:tr w:rsidR="004046E9" w14:paraId="44B8F565" w14:textId="77777777">
        <w:trPr>
          <w:divId w:val="1299339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AB010" w14:textId="77777777" w:rsidR="009857A8" w:rsidRDefault="009857A8">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13472" w14:textId="77777777" w:rsidR="009857A8" w:rsidRDefault="009857A8">
            <w:pPr>
              <w:spacing w:line="360" w:lineRule="auto"/>
              <w:jc w:val="right"/>
            </w:pPr>
            <w:r>
              <w:rPr>
                <w:rFonts w:ascii="宋体" w:hAnsi="宋体" w:hint="eastAsia"/>
              </w:rPr>
              <w:t xml:space="preserve">39.91%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5E311" w14:textId="77777777" w:rsidR="009857A8" w:rsidRDefault="009857A8">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4BB00" w14:textId="77777777" w:rsidR="009857A8" w:rsidRDefault="009857A8">
            <w:pPr>
              <w:spacing w:line="360" w:lineRule="auto"/>
              <w:jc w:val="right"/>
            </w:pPr>
            <w:r>
              <w:rPr>
                <w:rFonts w:ascii="宋体" w:hAnsi="宋体" w:hint="eastAsia"/>
              </w:rPr>
              <w:t xml:space="preserve">54.62%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6AED6" w14:textId="77777777" w:rsidR="009857A8" w:rsidRDefault="009857A8">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6E3EA8" w14:textId="77777777" w:rsidR="009857A8" w:rsidRDefault="009857A8">
            <w:pPr>
              <w:spacing w:line="360" w:lineRule="auto"/>
              <w:jc w:val="right"/>
            </w:pPr>
            <w:r>
              <w:rPr>
                <w:rFonts w:ascii="宋体" w:hAnsi="宋体" w:hint="eastAsia"/>
              </w:rPr>
              <w:t xml:space="preserve">-14.71%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67C3D" w14:textId="77777777" w:rsidR="009857A8" w:rsidRDefault="009857A8">
            <w:pPr>
              <w:spacing w:line="360" w:lineRule="auto"/>
              <w:jc w:val="right"/>
            </w:pPr>
            <w:r>
              <w:rPr>
                <w:rFonts w:ascii="宋体" w:hAnsi="宋体" w:hint="eastAsia"/>
              </w:rPr>
              <w:t xml:space="preserve">-0.12% </w:t>
            </w:r>
          </w:p>
        </w:tc>
      </w:tr>
      <w:tr w:rsidR="004046E9" w14:paraId="150F3406" w14:textId="77777777">
        <w:trPr>
          <w:divId w:val="12993393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AF73E" w14:textId="77777777" w:rsidR="009857A8" w:rsidRDefault="009857A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BA6F0" w14:textId="77777777" w:rsidR="009857A8" w:rsidRDefault="009857A8">
            <w:pPr>
              <w:spacing w:line="360" w:lineRule="auto"/>
              <w:jc w:val="right"/>
            </w:pPr>
            <w:r>
              <w:rPr>
                <w:rFonts w:ascii="宋体" w:hAnsi="宋体" w:hint="eastAsia"/>
              </w:rPr>
              <w:t xml:space="preserve">69.31%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045D6" w14:textId="77777777" w:rsidR="009857A8" w:rsidRDefault="009857A8">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41E39" w14:textId="77777777" w:rsidR="009857A8" w:rsidRDefault="009857A8">
            <w:pPr>
              <w:spacing w:line="360" w:lineRule="auto"/>
              <w:jc w:val="right"/>
            </w:pPr>
            <w:r>
              <w:rPr>
                <w:rFonts w:ascii="宋体" w:hAnsi="宋体" w:hint="eastAsia"/>
              </w:rPr>
              <w:t xml:space="preserve">87.78%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857BB" w14:textId="77777777" w:rsidR="009857A8" w:rsidRDefault="009857A8">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BA97C5" w14:textId="77777777" w:rsidR="009857A8" w:rsidRDefault="009857A8">
            <w:pPr>
              <w:spacing w:line="360" w:lineRule="auto"/>
              <w:jc w:val="right"/>
            </w:pPr>
            <w:r>
              <w:rPr>
                <w:rFonts w:ascii="宋体" w:hAnsi="宋体" w:hint="eastAsia"/>
              </w:rPr>
              <w:t xml:space="preserve">-18.47%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D3D8D" w14:textId="77777777" w:rsidR="009857A8" w:rsidRDefault="009857A8">
            <w:pPr>
              <w:spacing w:line="360" w:lineRule="auto"/>
              <w:jc w:val="right"/>
            </w:pPr>
            <w:r>
              <w:rPr>
                <w:rFonts w:ascii="宋体" w:hAnsi="宋体" w:hint="eastAsia"/>
              </w:rPr>
              <w:t xml:space="preserve">-0.13% </w:t>
            </w:r>
          </w:p>
        </w:tc>
      </w:tr>
    </w:tbl>
    <w:p w14:paraId="034B8FF1" w14:textId="77777777" w:rsidR="009857A8" w:rsidRDefault="009857A8">
      <w:pPr>
        <w:spacing w:line="360" w:lineRule="auto"/>
        <w:jc w:val="center"/>
        <w:divId w:val="1240793582"/>
      </w:pPr>
      <w:r>
        <w:rPr>
          <w:rFonts w:ascii="宋体" w:hAnsi="宋体" w:hint="eastAsia"/>
        </w:rPr>
        <w:lastRenderedPageBreak/>
        <w:t>摩根欧洲动力策略股票(QDII)C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046E9" w14:paraId="002F5550" w14:textId="77777777">
        <w:trPr>
          <w:divId w:val="124079358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DDC827" w14:textId="77777777" w:rsidR="009857A8" w:rsidRDefault="009857A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542B1B" w14:textId="77777777" w:rsidR="009857A8" w:rsidRDefault="009857A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067859" w14:textId="77777777" w:rsidR="009857A8" w:rsidRDefault="009857A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43DF2C" w14:textId="77777777" w:rsidR="009857A8" w:rsidRDefault="009857A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D58A1B" w14:textId="77777777" w:rsidR="009857A8" w:rsidRDefault="009857A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FEF98" w14:textId="77777777" w:rsidR="009857A8" w:rsidRDefault="009857A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37867E" w14:textId="77777777" w:rsidR="009857A8" w:rsidRDefault="009857A8">
            <w:pPr>
              <w:spacing w:line="360" w:lineRule="auto"/>
              <w:jc w:val="center"/>
            </w:pPr>
            <w:r>
              <w:rPr>
                <w:rFonts w:ascii="宋体" w:hAnsi="宋体" w:hint="eastAsia"/>
              </w:rPr>
              <w:t xml:space="preserve">②－④ </w:t>
            </w:r>
          </w:p>
        </w:tc>
      </w:tr>
      <w:tr w:rsidR="004046E9" w14:paraId="49E892FD" w14:textId="77777777">
        <w:trPr>
          <w:divId w:val="12407935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880C1" w14:textId="77777777" w:rsidR="009857A8" w:rsidRDefault="009857A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049C7" w14:textId="77777777" w:rsidR="009857A8" w:rsidRDefault="009857A8">
            <w:pPr>
              <w:spacing w:line="360" w:lineRule="auto"/>
              <w:jc w:val="right"/>
            </w:pPr>
            <w:r>
              <w:rPr>
                <w:rFonts w:ascii="宋体" w:hAnsi="宋体" w:hint="eastAsia"/>
              </w:rPr>
              <w:t xml:space="preserve">-3.84%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B1B1A" w14:textId="77777777" w:rsidR="009857A8" w:rsidRDefault="009857A8">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B9D0C" w14:textId="77777777" w:rsidR="009857A8" w:rsidRDefault="009857A8">
            <w:pPr>
              <w:spacing w:line="360" w:lineRule="auto"/>
              <w:jc w:val="right"/>
            </w:pPr>
            <w:r>
              <w:rPr>
                <w:rFonts w:ascii="宋体" w:hAnsi="宋体" w:hint="eastAsia"/>
              </w:rPr>
              <w:t xml:space="preserve">-3.89%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49EB8" w14:textId="77777777" w:rsidR="009857A8" w:rsidRDefault="009857A8">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19A5A6" w14:textId="77777777" w:rsidR="009857A8" w:rsidRDefault="009857A8">
            <w:pPr>
              <w:spacing w:line="360" w:lineRule="auto"/>
              <w:jc w:val="right"/>
            </w:pPr>
            <w:r>
              <w:rPr>
                <w:rFonts w:ascii="宋体" w:hAnsi="宋体" w:hint="eastAsia"/>
              </w:rPr>
              <w:t xml:space="preserve">0.05%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4C2F8" w14:textId="77777777" w:rsidR="009857A8" w:rsidRDefault="009857A8">
            <w:pPr>
              <w:spacing w:line="360" w:lineRule="auto"/>
              <w:jc w:val="right"/>
            </w:pPr>
            <w:r>
              <w:rPr>
                <w:rFonts w:ascii="宋体" w:hAnsi="宋体" w:hint="eastAsia"/>
              </w:rPr>
              <w:t xml:space="preserve">-0.07% </w:t>
            </w:r>
          </w:p>
        </w:tc>
      </w:tr>
      <w:tr w:rsidR="004046E9" w14:paraId="1B5F62BD" w14:textId="77777777">
        <w:trPr>
          <w:divId w:val="12407935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BC727" w14:textId="77777777" w:rsidR="009857A8" w:rsidRDefault="009857A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41BCE" w14:textId="77777777" w:rsidR="009857A8" w:rsidRDefault="009857A8">
            <w:pPr>
              <w:spacing w:line="360" w:lineRule="auto"/>
              <w:jc w:val="right"/>
            </w:pPr>
            <w:r>
              <w:rPr>
                <w:rFonts w:ascii="宋体" w:hAnsi="宋体" w:hint="eastAsia"/>
              </w:rPr>
              <w:t xml:space="preserve">0.38%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B7266" w14:textId="77777777" w:rsidR="009857A8" w:rsidRDefault="009857A8">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06E3F" w14:textId="77777777" w:rsidR="009857A8" w:rsidRDefault="009857A8">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253C2" w14:textId="77777777" w:rsidR="009857A8" w:rsidRDefault="009857A8">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641065" w14:textId="77777777" w:rsidR="009857A8" w:rsidRDefault="009857A8">
            <w:pPr>
              <w:spacing w:line="360" w:lineRule="auto"/>
              <w:jc w:val="right"/>
            </w:pPr>
            <w:r>
              <w:rPr>
                <w:rFonts w:ascii="宋体" w:hAnsi="宋体" w:hint="eastAsia"/>
              </w:rPr>
              <w:t xml:space="preserve">-0.09%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5C124" w14:textId="77777777" w:rsidR="009857A8" w:rsidRDefault="009857A8">
            <w:pPr>
              <w:spacing w:line="360" w:lineRule="auto"/>
              <w:jc w:val="right"/>
            </w:pPr>
            <w:r>
              <w:rPr>
                <w:rFonts w:ascii="宋体" w:hAnsi="宋体" w:hint="eastAsia"/>
              </w:rPr>
              <w:t xml:space="preserve">-0.03% </w:t>
            </w:r>
          </w:p>
        </w:tc>
      </w:tr>
      <w:tr w:rsidR="004046E9" w14:paraId="2D4A8AD2" w14:textId="77777777">
        <w:trPr>
          <w:divId w:val="12407935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BAC46" w14:textId="77777777" w:rsidR="009857A8" w:rsidRDefault="009857A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CDB70" w14:textId="77777777" w:rsidR="009857A8" w:rsidRDefault="009857A8">
            <w:pPr>
              <w:spacing w:line="360" w:lineRule="auto"/>
              <w:jc w:val="right"/>
            </w:pPr>
            <w:r>
              <w:rPr>
                <w:rFonts w:ascii="宋体" w:hAnsi="宋体" w:hint="eastAsia"/>
              </w:rPr>
              <w:t xml:space="preserve">13.64%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B21A4" w14:textId="77777777" w:rsidR="009857A8" w:rsidRDefault="009857A8">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67522" w14:textId="77777777" w:rsidR="009857A8" w:rsidRDefault="009857A8">
            <w:pPr>
              <w:spacing w:line="360" w:lineRule="auto"/>
              <w:jc w:val="right"/>
            </w:pPr>
            <w:r>
              <w:rPr>
                <w:rFonts w:ascii="宋体" w:hAnsi="宋体" w:hint="eastAsia"/>
              </w:rPr>
              <w:t xml:space="preserve">13.37%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86A0D" w14:textId="77777777" w:rsidR="009857A8" w:rsidRDefault="009857A8">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494041" w14:textId="77777777" w:rsidR="009857A8" w:rsidRDefault="009857A8">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2B4AF" w14:textId="77777777" w:rsidR="009857A8" w:rsidRDefault="009857A8">
            <w:pPr>
              <w:spacing w:line="360" w:lineRule="auto"/>
              <w:jc w:val="right"/>
            </w:pPr>
            <w:r>
              <w:rPr>
                <w:rFonts w:ascii="宋体" w:hAnsi="宋体" w:hint="eastAsia"/>
              </w:rPr>
              <w:t xml:space="preserve">-0.12% </w:t>
            </w:r>
          </w:p>
        </w:tc>
      </w:tr>
      <w:tr w:rsidR="004046E9" w14:paraId="3E77CBBA" w14:textId="77777777">
        <w:trPr>
          <w:divId w:val="12407935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C6DB0" w14:textId="77777777" w:rsidR="009857A8" w:rsidRDefault="009857A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8B2C9" w14:textId="77777777" w:rsidR="009857A8" w:rsidRDefault="009857A8">
            <w:pPr>
              <w:spacing w:line="360" w:lineRule="auto"/>
              <w:jc w:val="right"/>
            </w:pPr>
            <w:r>
              <w:rPr>
                <w:rFonts w:ascii="宋体" w:hAnsi="宋体" w:hint="eastAsia"/>
              </w:rPr>
              <w:t xml:space="preserve">33.11%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F8530" w14:textId="77777777" w:rsidR="009857A8" w:rsidRDefault="009857A8">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556CE" w14:textId="77777777" w:rsidR="009857A8" w:rsidRDefault="009857A8">
            <w:pPr>
              <w:spacing w:line="360" w:lineRule="auto"/>
              <w:jc w:val="right"/>
            </w:pPr>
            <w:r>
              <w:rPr>
                <w:rFonts w:ascii="宋体" w:hAnsi="宋体" w:hint="eastAsia"/>
              </w:rPr>
              <w:t xml:space="preserve">35.82%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00AE8" w14:textId="77777777" w:rsidR="009857A8" w:rsidRDefault="009857A8">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2F399B" w14:textId="77777777" w:rsidR="009857A8" w:rsidRDefault="009857A8">
            <w:pPr>
              <w:spacing w:line="360" w:lineRule="auto"/>
              <w:jc w:val="right"/>
            </w:pPr>
            <w:r>
              <w:rPr>
                <w:rFonts w:ascii="宋体" w:hAnsi="宋体" w:hint="eastAsia"/>
              </w:rPr>
              <w:t xml:space="preserve">-2.71%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1A230" w14:textId="77777777" w:rsidR="009857A8" w:rsidRDefault="009857A8">
            <w:pPr>
              <w:spacing w:line="360" w:lineRule="auto"/>
              <w:jc w:val="right"/>
            </w:pPr>
            <w:r>
              <w:rPr>
                <w:rFonts w:ascii="宋体" w:hAnsi="宋体" w:hint="eastAsia"/>
              </w:rPr>
              <w:t xml:space="preserve">-0.10% </w:t>
            </w:r>
          </w:p>
        </w:tc>
      </w:tr>
    </w:tbl>
    <w:p w14:paraId="14CF7291" w14:textId="77777777" w:rsidR="009857A8" w:rsidRDefault="009857A8">
      <w:pPr>
        <w:pStyle w:val="XBRLTitle3"/>
        <w:spacing w:before="156" w:line="360" w:lineRule="auto"/>
        <w:ind w:left="624"/>
      </w:pPr>
      <w:bookmarkStart w:id="77" w:name="_Toc514088249"/>
      <w:bookmarkStart w:id="78" w:name="_Toc480465419"/>
      <w:bookmarkStart w:id="79" w:name="_Toc513542650"/>
      <w:r>
        <w:rPr>
          <w:rFonts w:hAnsi="宋体" w:hint="eastAsia"/>
        </w:rPr>
        <w:t>自基金合同生效以来基金累计净值增长率变动及其与同期业绩比较基准收益率变动的比较</w:t>
      </w:r>
      <w:bookmarkEnd w:id="77"/>
      <w:bookmarkEnd w:id="78"/>
      <w:bookmarkEnd w:id="79"/>
      <w:r>
        <w:rPr>
          <w:rFonts w:hAnsi="宋体" w:hint="eastAsia"/>
        </w:rPr>
        <w:t xml:space="preserve"> </w:t>
      </w:r>
    </w:p>
    <w:p w14:paraId="756AEFE7" w14:textId="6FAEB517" w:rsidR="009857A8" w:rsidRDefault="006B7D08">
      <w:pPr>
        <w:spacing w:line="360" w:lineRule="auto"/>
        <w:jc w:val="left"/>
        <w:divId w:val="371617066"/>
      </w:pPr>
      <w:bookmarkStart w:id="80" w:name="m07_04_07_09_tab"/>
      <w:bookmarkStart w:id="81" w:name="m07_04_07_09"/>
      <w:bookmarkStart w:id="82" w:name="m01_01"/>
      <w:r>
        <w:rPr>
          <w:rFonts w:ascii="宋体" w:hAnsi="宋体" w:hint="eastAsia"/>
          <w:noProof/>
        </w:rPr>
        <w:drawing>
          <wp:inline distT="0" distB="0" distL="0" distR="0" wp14:anchorId="6137E246" wp14:editId="37F08859">
            <wp:extent cx="5226050" cy="3009900"/>
            <wp:effectExtent l="0" t="0" r="0" b="0"/>
            <wp:docPr id="533676004" name="图片 53367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28258D8" w14:textId="1C6613B7" w:rsidR="009857A8" w:rsidRDefault="006B7D08">
      <w:pPr>
        <w:spacing w:line="360" w:lineRule="auto"/>
        <w:jc w:val="left"/>
        <w:divId w:val="451367687"/>
      </w:pPr>
      <w:r>
        <w:rPr>
          <w:rFonts w:ascii="宋体" w:hAnsi="宋体" w:hint="eastAsia"/>
          <w:noProof/>
        </w:rPr>
        <w:lastRenderedPageBreak/>
        <w:drawing>
          <wp:inline distT="0" distB="0" distL="0" distR="0" wp14:anchorId="1E6AEA7E" wp14:editId="06B2B6CC">
            <wp:extent cx="5226050" cy="3009900"/>
            <wp:effectExtent l="0" t="0" r="0" b="0"/>
            <wp:docPr id="313523121" name="图片 31352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D972DE8" w14:textId="77777777" w:rsidR="009857A8" w:rsidRDefault="009857A8">
      <w:pPr>
        <w:spacing w:line="360" w:lineRule="auto"/>
      </w:pPr>
      <w:r>
        <w:rPr>
          <w:rFonts w:ascii="宋体" w:hAnsi="宋体" w:hint="eastAsia"/>
        </w:rPr>
        <w:t>注：</w:t>
      </w:r>
      <w:r>
        <w:rPr>
          <w:rFonts w:ascii="宋体" w:hAnsi="宋体" w:hint="eastAsia"/>
          <w:lang w:eastAsia="zh-Hans"/>
        </w:rPr>
        <w:t>本基金合同生效日为2018年10月31日，图示的时间段为合同生效日至本报告期末。</w:t>
      </w:r>
      <w:r>
        <w:rPr>
          <w:rFonts w:ascii="宋体" w:hAnsi="宋体" w:hint="eastAsia"/>
          <w:lang w:eastAsia="zh-Hans"/>
        </w:rPr>
        <w:br/>
        <w:t xml:space="preserve">　　本基金自　2023年9月8日起增加C类份额，相关数据按实际存续期计算。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2BC91C83" w14:textId="77777777" w:rsidR="009857A8" w:rsidRDefault="009857A8">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r>
        <w:rPr>
          <w:rFonts w:hint="eastAsia"/>
        </w:rPr>
        <w:t>管理人报告</w:t>
      </w:r>
      <w:bookmarkEnd w:id="83"/>
      <w:bookmarkEnd w:id="84"/>
      <w:bookmarkEnd w:id="85"/>
      <w:bookmarkEnd w:id="86"/>
      <w:bookmarkEnd w:id="87"/>
      <w:bookmarkEnd w:id="88"/>
      <w:bookmarkEnd w:id="89"/>
      <w:bookmarkEnd w:id="90"/>
      <w:bookmarkEnd w:id="91"/>
      <w:bookmarkEnd w:id="92"/>
      <w:bookmarkEnd w:id="93"/>
    </w:p>
    <w:p w14:paraId="5D57918C" w14:textId="77777777" w:rsidR="009857A8" w:rsidRDefault="009857A8">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046E9" w14:paraId="41E69509" w14:textId="77777777">
        <w:trPr>
          <w:divId w:val="144129338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779E66" w14:textId="77777777" w:rsidR="009857A8" w:rsidRDefault="009857A8">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4702B" w14:textId="77777777" w:rsidR="009857A8" w:rsidRDefault="009857A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FF58B" w14:textId="77777777" w:rsidR="009857A8" w:rsidRDefault="009857A8">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B99C1" w14:textId="77777777" w:rsidR="009857A8" w:rsidRDefault="009857A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966D29" w14:textId="77777777" w:rsidR="009857A8" w:rsidRDefault="009857A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046E9" w14:paraId="56795298" w14:textId="77777777">
        <w:trPr>
          <w:divId w:val="144129338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05DA0" w14:textId="77777777" w:rsidR="009857A8" w:rsidRDefault="009857A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4976C" w14:textId="77777777" w:rsidR="009857A8" w:rsidRDefault="009857A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71CAF9" w14:textId="77777777" w:rsidR="009857A8" w:rsidRDefault="009857A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489E6" w14:textId="77777777" w:rsidR="009857A8" w:rsidRDefault="009857A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B156B" w14:textId="77777777" w:rsidR="009857A8" w:rsidRDefault="009857A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1940B" w14:textId="77777777" w:rsidR="009857A8" w:rsidRDefault="009857A8">
            <w:pPr>
              <w:widowControl/>
              <w:jc w:val="left"/>
            </w:pPr>
          </w:p>
        </w:tc>
      </w:tr>
      <w:tr w:rsidR="004046E9" w14:paraId="51E1D9D0" w14:textId="77777777">
        <w:trPr>
          <w:divId w:val="144129338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280F1" w14:textId="77777777" w:rsidR="009857A8" w:rsidRDefault="009857A8">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94A5B" w14:textId="77777777" w:rsidR="009857A8" w:rsidRDefault="009857A8">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676BA" w14:textId="77777777" w:rsidR="009857A8" w:rsidRDefault="009857A8">
            <w:pPr>
              <w:jc w:val="center"/>
            </w:pPr>
            <w:r>
              <w:rPr>
                <w:rFonts w:ascii="宋体" w:hAnsi="宋体" w:hint="eastAsia"/>
                <w:szCs w:val="24"/>
                <w:lang w:eastAsia="zh-Hans"/>
              </w:rPr>
              <w:t>2018年10月31日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5861B" w14:textId="77777777" w:rsidR="009857A8" w:rsidRDefault="009857A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666B1" w14:textId="77777777" w:rsidR="009857A8" w:rsidRDefault="009857A8">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E6693" w14:textId="77777777" w:rsidR="009857A8" w:rsidRDefault="009857A8">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606DD42E" w14:textId="77777777" w:rsidR="009857A8" w:rsidRDefault="009857A8">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071DDD2" w14:textId="77777777" w:rsidR="009857A8" w:rsidRDefault="009857A8">
      <w:pPr>
        <w:pStyle w:val="XBRLTitle3"/>
        <w:spacing w:before="156" w:line="360" w:lineRule="auto"/>
        <w:ind w:left="624"/>
        <w:divId w:val="905339355"/>
      </w:pPr>
      <w:bookmarkStart w:id="106" w:name="_Toc512519488"/>
      <w:bookmarkStart w:id="107" w:name="_Toc490050009"/>
      <w:bookmarkStart w:id="108" w:name="_Toc438646459"/>
      <w:bookmarkStart w:id="109" w:name="_Toc481075055"/>
      <w:bookmarkStart w:id="110" w:name="_Toc5134656621"/>
      <w:r>
        <w:rPr>
          <w:rFonts w:hAnsi="宋体" w:hint="eastAsia"/>
        </w:rPr>
        <w:t>期末兼任私募资产管理计划投资经理的基金经理同时管理的产品情况</w:t>
      </w:r>
      <w:bookmarkEnd w:id="106"/>
      <w:bookmarkEnd w:id="107"/>
      <w:bookmarkEnd w:id="108"/>
      <w:bookmarkEnd w:id="109"/>
      <w:bookmarkEnd w:id="110"/>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4046E9" w14:paraId="13057EFB" w14:textId="77777777">
        <w:trPr>
          <w:divId w:val="811992261"/>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B57BDD2" w14:textId="77777777" w:rsidR="009857A8" w:rsidRDefault="009857A8">
            <w:pPr>
              <w:snapToGrid w:val="0"/>
              <w:jc w:val="center"/>
            </w:pPr>
            <w:bookmarkStart w:id="111" w:name="m04_01_02_tab"/>
            <w:r>
              <w:rPr>
                <w:rFonts w:ascii="宋体" w:hAnsi="宋体" w:hint="eastAsia"/>
                <w:szCs w:val="24"/>
              </w:rPr>
              <w:lastRenderedPageBreak/>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019F6EE" w14:textId="77777777" w:rsidR="009857A8" w:rsidRDefault="009857A8">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F22F9E8" w14:textId="77777777" w:rsidR="009857A8" w:rsidRDefault="009857A8">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BD9ECE8" w14:textId="77777777" w:rsidR="009857A8" w:rsidRDefault="009857A8">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2625FE5" w14:textId="77777777" w:rsidR="009857A8" w:rsidRDefault="009857A8">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4046E9" w14:paraId="6130D659" w14:textId="77777777">
        <w:trPr>
          <w:divId w:val="811992261"/>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50BCC" w14:textId="77777777" w:rsidR="009857A8" w:rsidRDefault="009857A8">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026CD2" w14:textId="77777777" w:rsidR="009857A8" w:rsidRDefault="009857A8">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159AB7" w14:textId="77777777" w:rsidR="009857A8" w:rsidRDefault="009857A8">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DD4401" w14:textId="77777777" w:rsidR="009857A8" w:rsidRDefault="009857A8">
            <w:pPr>
              <w:jc w:val="right"/>
            </w:pPr>
            <w:r>
              <w:rPr>
                <w:rFonts w:ascii="宋体" w:hAnsi="宋体" w:hint="eastAsia"/>
                <w:szCs w:val="24"/>
              </w:rPr>
              <w:t>15,504,039,263.74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86DF49" w14:textId="77777777" w:rsidR="009857A8" w:rsidRDefault="009857A8">
            <w:pPr>
              <w:jc w:val="center"/>
            </w:pPr>
            <w:r>
              <w:rPr>
                <w:rFonts w:ascii="宋体" w:hAnsi="宋体" w:hint="eastAsia"/>
                <w:szCs w:val="24"/>
              </w:rPr>
              <w:t>2008-03-08</w:t>
            </w:r>
          </w:p>
        </w:tc>
      </w:tr>
      <w:tr w:rsidR="004046E9" w14:paraId="02FAC8A4" w14:textId="77777777">
        <w:trPr>
          <w:divId w:val="81199226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99C0494" w14:textId="77777777" w:rsidR="009857A8" w:rsidRDefault="009857A8">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858FC" w14:textId="77777777" w:rsidR="009857A8" w:rsidRDefault="009857A8">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2AB6BA" w14:textId="77777777" w:rsidR="009857A8" w:rsidRDefault="009857A8">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0EF17" w14:textId="77777777" w:rsidR="009857A8" w:rsidRDefault="009857A8">
            <w:pPr>
              <w:jc w:val="right"/>
            </w:pPr>
            <w:r>
              <w:rPr>
                <w:rFonts w:ascii="宋体" w:hAnsi="宋体" w:hint="eastAsia"/>
                <w:szCs w:val="24"/>
              </w:rPr>
              <w:t>22,159,511.73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D10007" w14:textId="77777777" w:rsidR="009857A8" w:rsidRDefault="009857A8">
            <w:pPr>
              <w:jc w:val="center"/>
            </w:pPr>
            <w:r>
              <w:rPr>
                <w:rFonts w:ascii="宋体" w:hAnsi="宋体" w:hint="eastAsia"/>
                <w:szCs w:val="24"/>
              </w:rPr>
              <w:t>2021-07-09</w:t>
            </w:r>
          </w:p>
        </w:tc>
      </w:tr>
      <w:tr w:rsidR="004046E9" w14:paraId="2FC358BF" w14:textId="77777777">
        <w:trPr>
          <w:divId w:val="81199226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9EFE29D" w14:textId="77777777" w:rsidR="009857A8" w:rsidRDefault="009857A8">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D5933B" w14:textId="77777777" w:rsidR="009857A8" w:rsidRDefault="009857A8">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7E0205" w14:textId="77777777" w:rsidR="009857A8" w:rsidRDefault="009857A8">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204D82" w14:textId="77777777" w:rsidR="009857A8" w:rsidRDefault="009857A8">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4A704F" w14:textId="77777777" w:rsidR="009857A8" w:rsidRDefault="009857A8">
            <w:pPr>
              <w:jc w:val="center"/>
            </w:pPr>
            <w:r>
              <w:rPr>
                <w:rFonts w:ascii="宋体" w:hAnsi="宋体" w:hint="eastAsia"/>
                <w:szCs w:val="24"/>
              </w:rPr>
              <w:t>-</w:t>
            </w:r>
          </w:p>
        </w:tc>
      </w:tr>
      <w:tr w:rsidR="004046E9" w14:paraId="38A1120C" w14:textId="77777777">
        <w:trPr>
          <w:divId w:val="81199226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4306D40" w14:textId="77777777" w:rsidR="009857A8" w:rsidRDefault="009857A8">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DC369A" w14:textId="77777777" w:rsidR="009857A8" w:rsidRDefault="009857A8">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275949" w14:textId="77777777" w:rsidR="009857A8" w:rsidRDefault="009857A8">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906DC" w14:textId="77777777" w:rsidR="009857A8" w:rsidRDefault="009857A8">
            <w:pPr>
              <w:jc w:val="right"/>
            </w:pPr>
            <w:r>
              <w:rPr>
                <w:rFonts w:ascii="宋体" w:hAnsi="宋体" w:hint="eastAsia"/>
                <w:szCs w:val="24"/>
              </w:rPr>
              <w:t>15,526,198,775.47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A8F3E3" w14:textId="77777777" w:rsidR="009857A8" w:rsidRDefault="009857A8">
            <w:pPr>
              <w:jc w:val="center"/>
            </w:pPr>
            <w:r>
              <w:rPr>
                <w:rFonts w:ascii="宋体" w:hAnsi="宋体" w:hint="eastAsia"/>
                <w:szCs w:val="24"/>
              </w:rPr>
              <w:t xml:space="preserve">- </w:t>
            </w:r>
          </w:p>
        </w:tc>
      </w:tr>
    </w:tbl>
    <w:p w14:paraId="163E343F" w14:textId="77777777" w:rsidR="009857A8" w:rsidRDefault="009857A8">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r>
        <w:rPr>
          <w:rFonts w:eastAsia="宋体" w:hint="eastAsia"/>
        </w:rPr>
        <w:t>境外投资顾问为本基金提供投资建议的主要成员简介</w:t>
      </w:r>
      <w:bookmarkEnd w:id="112"/>
      <w:bookmarkEnd w:id="113"/>
      <w:bookmarkEnd w:id="114"/>
      <w:bookmarkEnd w:id="115"/>
      <w:bookmarkEnd w:id="116"/>
      <w:bookmarkEnd w:id="117"/>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14"/>
        <w:gridCol w:w="2788"/>
        <w:gridCol w:w="1908"/>
        <w:gridCol w:w="2348"/>
      </w:tblGrid>
      <w:tr w:rsidR="004046E9" w14:paraId="09D96EEF" w14:textId="77777777">
        <w:trPr>
          <w:divId w:val="380832963"/>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6B671F37" w14:textId="77777777" w:rsidR="009857A8" w:rsidRDefault="009857A8">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6E256203" w14:textId="77777777" w:rsidR="009857A8" w:rsidRDefault="009857A8">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2B2DEF9F" w14:textId="77777777" w:rsidR="009857A8" w:rsidRDefault="009857A8">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1C4E7B35" w14:textId="77777777" w:rsidR="009857A8" w:rsidRDefault="009857A8">
            <w:pPr>
              <w:jc w:val="center"/>
            </w:pPr>
            <w:r>
              <w:rPr>
                <w:rFonts w:asciiTheme="majorEastAsia" w:eastAsiaTheme="majorEastAsia" w:hAnsiTheme="majorEastAsia" w:hint="eastAsia"/>
              </w:rPr>
              <w:t xml:space="preserve">说明 </w:t>
            </w:r>
          </w:p>
        </w:tc>
      </w:tr>
      <w:tr w:rsidR="004046E9" w14:paraId="2226B7A1" w14:textId="77777777">
        <w:trPr>
          <w:divId w:val="38083296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16FA8" w14:textId="77777777" w:rsidR="009857A8" w:rsidRDefault="009857A8">
            <w:r>
              <w:rPr>
                <w:rFonts w:asciiTheme="majorEastAsia" w:eastAsiaTheme="majorEastAsia" w:hAnsiTheme="majorEastAsia" w:hint="eastAsia"/>
              </w:rPr>
              <w:t>Jon Ingram</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8003" w14:textId="77777777" w:rsidR="009857A8" w:rsidRDefault="009857A8">
            <w:r>
              <w:rPr>
                <w:rFonts w:asciiTheme="majorEastAsia" w:eastAsiaTheme="majorEastAsia" w:hAnsiTheme="majorEastAsia" w:hint="eastAsia"/>
              </w:rPr>
              <w:t>摩根资产管理(英国)董事总经理，摩根资产管理国际股票团队中不受限投资组合子团队的负责人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CAFDB" w14:textId="77777777" w:rsidR="009857A8" w:rsidRDefault="009857A8">
            <w:r>
              <w:rPr>
                <w:rFonts w:asciiTheme="majorEastAsia" w:eastAsiaTheme="majorEastAsia" w:hAnsiTheme="majorEastAsia" w:hint="eastAsia"/>
              </w:rPr>
              <w:t>27年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34A50" w14:textId="77777777" w:rsidR="009857A8" w:rsidRDefault="009857A8">
            <w:r>
              <w:rPr>
                <w:rFonts w:asciiTheme="majorEastAsia" w:eastAsiaTheme="majorEastAsia" w:hAnsiTheme="majorEastAsia" w:hint="eastAsia"/>
              </w:rPr>
              <w:t>Jon Ingram，董事总经理，是投资经理，也是摩根资产管理国际股票团队中不受限投资组合子团队的负责人，常驻伦敦。他领导动态投资团队，负责多头和多空头头寸，此外还负责监督中型和小型股策略。Jon在2000年作为管理培训生加入公司，曾在货币团队担任量化分析师。Jon拥有牛津大学的冶金和材料科学硕士学位，并且是特许金融分析师。</w:t>
            </w:r>
          </w:p>
        </w:tc>
      </w:tr>
      <w:tr w:rsidR="004046E9" w14:paraId="70365573" w14:textId="77777777">
        <w:trPr>
          <w:divId w:val="38083296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F69CA" w14:textId="77777777" w:rsidR="009857A8" w:rsidRDefault="009857A8">
            <w:r>
              <w:rPr>
                <w:rFonts w:asciiTheme="majorEastAsia" w:eastAsiaTheme="majorEastAsia" w:hAnsiTheme="majorEastAsia" w:hint="eastAsia"/>
              </w:rPr>
              <w:t>Blake Crawford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A3D1A" w14:textId="77777777" w:rsidR="009857A8" w:rsidRDefault="009857A8">
            <w:r>
              <w:rPr>
                <w:rFonts w:asciiTheme="majorEastAsia" w:eastAsiaTheme="majorEastAsia" w:hAnsiTheme="majorEastAsia" w:hint="eastAsia"/>
              </w:rPr>
              <w:t>摩根资产管理(英国)执行董事，摩根资产管理国际股票团队中不受限投资组合子团队的投资经理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6FCAA" w14:textId="77777777" w:rsidR="009857A8" w:rsidRDefault="009857A8">
            <w:r>
              <w:rPr>
                <w:rFonts w:asciiTheme="majorEastAsia" w:eastAsiaTheme="majorEastAsia" w:hAnsiTheme="majorEastAsia" w:hint="eastAsia"/>
              </w:rPr>
              <w:t>18年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7E703" w14:textId="77777777" w:rsidR="009857A8" w:rsidRDefault="009857A8">
            <w:r>
              <w:rPr>
                <w:rFonts w:asciiTheme="majorEastAsia" w:eastAsiaTheme="majorEastAsia" w:hAnsiTheme="majorEastAsia" w:hint="eastAsia"/>
              </w:rPr>
              <w:t>Blake Crawford，执行董事，是摩根资产管理国际股票团队的投资经理。在2008年作为管理培训生加入公司。Blake拥有巴斯大学的经济学学士学位，同时也是特许金融分析师。</w:t>
            </w:r>
          </w:p>
        </w:tc>
      </w:tr>
      <w:tr w:rsidR="004046E9" w14:paraId="5E0DE75E" w14:textId="77777777">
        <w:trPr>
          <w:divId w:val="38083296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9042D" w14:textId="77777777" w:rsidR="009857A8" w:rsidRDefault="009857A8">
            <w:r>
              <w:rPr>
                <w:rFonts w:asciiTheme="majorEastAsia" w:eastAsiaTheme="majorEastAsia" w:hAnsiTheme="majorEastAsia" w:hint="eastAsia"/>
              </w:rPr>
              <w:t>Alexander Whyte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225AA" w14:textId="77777777" w:rsidR="009857A8" w:rsidRDefault="009857A8">
            <w:r>
              <w:rPr>
                <w:rFonts w:asciiTheme="majorEastAsia" w:eastAsiaTheme="majorEastAsia" w:hAnsiTheme="majorEastAsia" w:hint="eastAsia"/>
              </w:rPr>
              <w:t>摩根资产管理(英国)执行董事，摩根资产管理国际股票团队中不受限投资组合子团队的投资经理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BB337" w14:textId="77777777" w:rsidR="009857A8" w:rsidRDefault="009857A8">
            <w:r>
              <w:rPr>
                <w:rFonts w:asciiTheme="majorEastAsia" w:eastAsiaTheme="majorEastAsia" w:hAnsiTheme="majorEastAsia" w:hint="eastAsia"/>
              </w:rPr>
              <w:t>13年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71143" w14:textId="77777777" w:rsidR="009857A8" w:rsidRDefault="009857A8">
            <w:r>
              <w:rPr>
                <w:rFonts w:asciiTheme="majorEastAsia" w:eastAsiaTheme="majorEastAsia" w:hAnsiTheme="majorEastAsia" w:hint="eastAsia"/>
              </w:rPr>
              <w:t>Alexander Whyte，执行董事，是摩根资产管理国际股票团队的投资经理。Alex自2013年就以管理培训生的身份加入公司。Alex拥有剑桥大学的机械工程学士学位和硕士学位，并且是特许金融分析师。</w:t>
            </w:r>
          </w:p>
        </w:tc>
      </w:tr>
    </w:tbl>
    <w:p w14:paraId="5671EB8C" w14:textId="77777777" w:rsidR="009857A8" w:rsidRDefault="009857A8">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r>
        <w:rPr>
          <w:rFonts w:eastAsia="宋体" w:hint="eastAsia"/>
        </w:rPr>
        <w:lastRenderedPageBreak/>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r>
        <w:rPr>
          <w:rFonts w:eastAsia="宋体" w:hint="eastAsia"/>
        </w:rPr>
        <w:t xml:space="preserve"> </w:t>
      </w:r>
    </w:p>
    <w:p w14:paraId="6B663100" w14:textId="77777777" w:rsidR="009857A8" w:rsidRDefault="009857A8">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A72B05B" w14:textId="77777777" w:rsidR="009857A8" w:rsidRDefault="009857A8">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r>
        <w:rPr>
          <w:rFonts w:eastAsia="宋体" w:hint="eastAsia"/>
        </w:rPr>
        <w:t xml:space="preserve"> </w:t>
      </w:r>
    </w:p>
    <w:p w14:paraId="2CE46781" w14:textId="77777777" w:rsidR="009857A8" w:rsidRDefault="009857A8">
      <w:pPr>
        <w:pStyle w:val="XBRLTitle3"/>
        <w:spacing w:before="156" w:line="360" w:lineRule="auto"/>
        <w:ind w:left="624"/>
      </w:pPr>
      <w:bookmarkStart w:id="147" w:name="_Toc514088255"/>
      <w:bookmarkStart w:id="148" w:name="_Toc480465425"/>
      <w:bookmarkStart w:id="149" w:name="_Toc513542656"/>
      <w:bookmarkStart w:id="150" w:name="m404_01_0570"/>
      <w:r>
        <w:rPr>
          <w:rFonts w:hAnsi="宋体" w:hint="eastAsia"/>
        </w:rPr>
        <w:t>公平交易制度的执行情况</w:t>
      </w:r>
      <w:bookmarkEnd w:id="147"/>
      <w:r>
        <w:rPr>
          <w:rFonts w:hAnsi="宋体" w:hint="eastAsia"/>
        </w:rPr>
        <w:t xml:space="preserve"> </w:t>
      </w:r>
    </w:p>
    <w:p w14:paraId="51638E8A" w14:textId="77777777" w:rsidR="009857A8" w:rsidRDefault="009857A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3601354" w14:textId="77777777" w:rsidR="009857A8" w:rsidRDefault="009857A8">
      <w:pPr>
        <w:pStyle w:val="XBRLTitle3"/>
        <w:spacing w:before="156" w:line="360" w:lineRule="auto"/>
        <w:ind w:left="624"/>
      </w:pPr>
      <w:bookmarkStart w:id="151" w:name="_Toc514088256"/>
      <w:bookmarkStart w:id="152" w:name="_Toc480465426"/>
      <w:bookmarkStart w:id="153" w:name="_Toc513542657"/>
      <w:bookmarkStart w:id="154" w:name="m404_01_0578"/>
      <w:r>
        <w:rPr>
          <w:rFonts w:hAnsi="宋体" w:hint="eastAsia"/>
        </w:rPr>
        <w:t>异常交易行为的专项说明</w:t>
      </w:r>
      <w:bookmarkEnd w:id="151"/>
      <w:r>
        <w:rPr>
          <w:rFonts w:hAnsi="宋体" w:hint="eastAsia"/>
        </w:rPr>
        <w:t xml:space="preserve"> </w:t>
      </w:r>
    </w:p>
    <w:p w14:paraId="47D27D7E" w14:textId="77777777" w:rsidR="009857A8" w:rsidRDefault="009857A8">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1252DE7" w14:textId="77777777" w:rsidR="009857A8" w:rsidRDefault="009857A8">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r>
        <w:rPr>
          <w:rFonts w:eastAsia="宋体" w:hint="eastAsia"/>
        </w:rPr>
        <w:t xml:space="preserve"> </w:t>
      </w:r>
    </w:p>
    <w:p w14:paraId="3A5EDCAC" w14:textId="77777777" w:rsidR="009857A8" w:rsidRDefault="009857A8">
      <w:pPr>
        <w:pStyle w:val="XBRLTitle3"/>
        <w:spacing w:before="156" w:line="360" w:lineRule="auto"/>
        <w:ind w:left="624"/>
      </w:pPr>
      <w:bookmarkStart w:id="166" w:name="_Toc51408825711"/>
      <w:r>
        <w:rPr>
          <w:rFonts w:hAnsi="宋体" w:hint="eastAsia"/>
        </w:rPr>
        <w:t>报告期内基金投资策略和运作分析</w:t>
      </w:r>
      <w:bookmarkEnd w:id="148"/>
      <w:bookmarkEnd w:id="149"/>
      <w:bookmarkEnd w:id="166"/>
      <w:r>
        <w:rPr>
          <w:rFonts w:hAnsi="宋体" w:hint="eastAsia"/>
        </w:rPr>
        <w:t xml:space="preserve"> </w:t>
      </w:r>
    </w:p>
    <w:p w14:paraId="64447FBC" w14:textId="77777777" w:rsidR="009857A8" w:rsidRDefault="009857A8">
      <w:pPr>
        <w:spacing w:line="360" w:lineRule="auto"/>
        <w:ind w:firstLineChars="200" w:firstLine="420"/>
        <w:divId w:val="802966234"/>
      </w:pPr>
      <w:r>
        <w:rPr>
          <w:rFonts w:ascii="宋体" w:hAnsi="宋体" w:hint="eastAsia"/>
          <w:color w:val="000000"/>
          <w:kern w:val="0"/>
          <w:szCs w:val="21"/>
          <w:lang w:eastAsia="zh-Hans"/>
        </w:rPr>
        <w:t>2026年1月和2月期间，欧洲股市延续上一年的趋势稳步上涨。然而，随着美以伊军事冲突的爆发，原油价格大幅上涨，投资者避险情绪升温，欧洲股市随之回调，基本回吐了此前的涨幅。在板块表现上，能源板块领涨，电信、公用事业和原材料板块也有所上涨，而传媒、汽车和消费</w:t>
      </w:r>
      <w:r>
        <w:rPr>
          <w:rFonts w:ascii="宋体" w:hAnsi="宋体" w:hint="eastAsia"/>
          <w:color w:val="000000"/>
          <w:kern w:val="0"/>
          <w:szCs w:val="21"/>
          <w:lang w:eastAsia="zh-Hans"/>
        </w:rPr>
        <w:lastRenderedPageBreak/>
        <w:t>等板块则出现显著下跌。</w:t>
      </w:r>
      <w:r>
        <w:rPr>
          <w:rFonts w:ascii="宋体" w:hAnsi="宋体" w:hint="eastAsia"/>
          <w:color w:val="000000"/>
          <w:kern w:val="0"/>
          <w:szCs w:val="21"/>
          <w:lang w:eastAsia="zh-Hans"/>
        </w:rPr>
        <w:br/>
        <w:t xml:space="preserve">　　欧洲央行预计，欧元区核心通胀将在2026年和2027年继续低于目标水平，但其在2月份的会议上决定维持利率不变。欧元区CPI（3月初值）为2.5%，核心CPI为2.3%。</w:t>
      </w:r>
      <w:r>
        <w:rPr>
          <w:rFonts w:ascii="宋体" w:hAnsi="宋体" w:hint="eastAsia"/>
          <w:color w:val="000000"/>
          <w:kern w:val="0"/>
          <w:szCs w:val="21"/>
          <w:lang w:eastAsia="zh-Hans"/>
        </w:rPr>
        <w:br/>
        <w:t xml:space="preserve">　　3月份的欧元区经济情绪指数（ESI）受到伊朗冲突影响较小，从2月的98.3降至96.6。企业情绪基本持平，欧洲私人消费与支出之间的相关性相当松散。然而，企业的招聘意愿再次放缓，降至2021年以来的较低水平，显示欧元区劳动力市场在能源冲击前已明显放软。</w:t>
      </w:r>
      <w:r>
        <w:rPr>
          <w:rFonts w:ascii="宋体" w:hAnsi="宋体" w:hint="eastAsia"/>
          <w:color w:val="000000"/>
          <w:kern w:val="0"/>
          <w:szCs w:val="21"/>
          <w:lang w:eastAsia="zh-Hans"/>
        </w:rPr>
        <w:br/>
        <w:t xml:space="preserve">　　ESI报告中较为引人注目的信息是价格子指数的突然上升。消费者的价格预期大幅上升，接近2022年水平。企业的销售价格预期也有所上升。经济数据显示目前对实际经济增长的影响较为温和，但通胀风险明显在上升。</w:t>
      </w:r>
      <w:r>
        <w:rPr>
          <w:rFonts w:ascii="宋体" w:hAnsi="宋体" w:hint="eastAsia"/>
          <w:color w:val="000000"/>
          <w:kern w:val="0"/>
          <w:szCs w:val="21"/>
          <w:lang w:eastAsia="zh-Hans"/>
        </w:rPr>
        <w:br/>
        <w:t xml:space="preserve">　　报告期内，本基金的超额收益的正向贡献主要来自金融和医疗保健行业的行业配置和个股选择。拖累因素主要来自信息技术和消费板块的个股选择。</w:t>
      </w:r>
      <w:r>
        <w:rPr>
          <w:rFonts w:ascii="宋体" w:hAnsi="宋体" w:hint="eastAsia"/>
          <w:color w:val="000000"/>
          <w:kern w:val="0"/>
          <w:szCs w:val="21"/>
          <w:lang w:eastAsia="zh-Hans"/>
        </w:rPr>
        <w:br/>
        <w:t xml:space="preserve">　　展望后市，在伊朗局势升级之前，欧元区的经济前景呈现出谨慎乐观的态势。预计2026年，欧洲大陆的经济活动将显著加速，部分原因在于德国在2025年宣布了远超历史规模的财政刺激政策。该刺激计划涵盖了一系列广泛的项目，包括国防、交通基础设施以及工业支持措施。德国以投资为导向的政策，预计有望进一步推动制造业活动，并支持整体经济增长。但在伊朗局势恶化后，我们会紧密跟进后续地缘冲突造成的能源价格上涨所带来的影响并修正我们对于欧洲经济在2026年的增长预期。</w:t>
      </w:r>
      <w:r>
        <w:rPr>
          <w:rFonts w:ascii="宋体" w:hAnsi="宋体" w:hint="eastAsia"/>
          <w:color w:val="000000"/>
          <w:kern w:val="0"/>
          <w:szCs w:val="21"/>
          <w:lang w:eastAsia="zh-Hans"/>
        </w:rPr>
        <w:br/>
        <w:t xml:space="preserve">　　在欧洲其他地区，各国政府也在增加国防支出。根据承诺，到2035年，北约成员国的军事开支将占GDP的3.5%（若包括相关基础设施投资，最高可达5%）。2024年，欧盟的国防支出达到3430亿欧元，同比增长19%，预计到2027年底有望增至4000亿欧元。欧盟已推出多项举措，帮助成员国实现这些目标，包括1500亿欧元的“欧洲安全行动”（SAFE）计划，该计划为国防采购提供贷款，同时还对财政规则进行了调整。伊朗局势的升级在未来或将进一步提升欧洲国防支出的投入。</w:t>
      </w:r>
      <w:r>
        <w:rPr>
          <w:rFonts w:ascii="宋体" w:hAnsi="宋体" w:hint="eastAsia"/>
          <w:color w:val="000000"/>
          <w:kern w:val="0"/>
          <w:szCs w:val="21"/>
          <w:lang w:eastAsia="zh-Hans"/>
        </w:rPr>
        <w:br/>
        <w:t xml:space="preserve">　　财政刺激也推动了南欧地区的强劲表现，该地区显著受益于欧盟复苏基金。德国的政府投资预计在2026年或将同比增长20%，这对该地区而言是一个重要变化。</w:t>
      </w:r>
      <w:r>
        <w:rPr>
          <w:rFonts w:ascii="宋体" w:hAnsi="宋体" w:hint="eastAsia"/>
          <w:color w:val="000000"/>
          <w:kern w:val="0"/>
          <w:szCs w:val="21"/>
          <w:lang w:eastAsia="zh-Hans"/>
        </w:rPr>
        <w:br/>
        <w:t xml:space="preserve">　　欧洲未来仍可能从货币刺激政策中持续受益。欧元区作为一个对短期利率高度敏感的经济体，以往的降息政策仍在支撑信贷增长。在德国，房地产市场正逐渐活跃，预计可能带动家具及家居装修支出的增加，从而进一步支撑国内需求。然而，这些积极因素可能在能源价格上涨以及货币政策因通胀压力而转向的预期下被部分抵消。</w:t>
      </w:r>
      <w:r>
        <w:rPr>
          <w:rFonts w:ascii="宋体" w:hAnsi="宋体" w:hint="eastAsia"/>
          <w:color w:val="000000"/>
          <w:kern w:val="0"/>
          <w:szCs w:val="21"/>
          <w:lang w:eastAsia="zh-Hans"/>
        </w:rPr>
        <w:br/>
        <w:t xml:space="preserve">　　当前，英国股市的估值相对全球市场处于折价状态，为投资者提供了具有吸引力的入场机会。</w:t>
      </w:r>
      <w:r>
        <w:rPr>
          <w:rFonts w:ascii="宋体" w:hAnsi="宋体" w:hint="eastAsia"/>
          <w:color w:val="000000"/>
          <w:kern w:val="0"/>
          <w:szCs w:val="21"/>
          <w:lang w:eastAsia="zh-Hans"/>
        </w:rPr>
        <w:lastRenderedPageBreak/>
        <w:t>并购活动的增加以及市场上不断涌现的收购传闻，进一步印证了该市场的估值吸引力。与此同时，英国政府正在将财政支出重新分配至国防和基础设施领域，并对福利政策进行调整，以应对财政挑战并维持经济稳定。</w:t>
      </w:r>
      <w:r>
        <w:rPr>
          <w:rFonts w:ascii="宋体" w:hAnsi="宋体" w:hint="eastAsia"/>
          <w:color w:val="000000"/>
          <w:kern w:val="0"/>
          <w:szCs w:val="21"/>
          <w:lang w:eastAsia="zh-Hans"/>
        </w:rPr>
        <w:br/>
        <w:t xml:space="preserve">　　尽管当前全球经济环境充满不确定性，但这或也为长期投资者创造了宝贵的入场机会。政治格局的演变、技术进步以及产业变革的加速，要求投资者更加审慎地应对市场变化，并进一步凸显了对公司层面分析和个股精选能力的重要性。在这一背景下，聘请具备丰富资源和专业能力的主动型基金经理，将有助于在指数估值偏高的市场环境中识别具有吸引力的投资机会，并争取实现更有效的股票市场多元化配置。</w:t>
      </w:r>
      <w:r>
        <w:rPr>
          <w:rFonts w:ascii="宋体" w:hAnsi="宋体" w:hint="eastAsia"/>
          <w:color w:val="000000"/>
          <w:kern w:val="0"/>
          <w:szCs w:val="21"/>
          <w:lang w:eastAsia="zh-Hans"/>
        </w:rPr>
        <w:br/>
        <w:t xml:space="preserve">　　我们正在积极利用当前的市场条件，力争识别那些股价与长期基本面出现显著偏离的公司，并持续寻找新的投资机会。</w:t>
      </w:r>
      <w:r>
        <w:rPr>
          <w:rFonts w:ascii="宋体" w:hAnsi="宋体" w:hint="eastAsia"/>
          <w:color w:val="000000"/>
          <w:kern w:val="0"/>
          <w:szCs w:val="21"/>
          <w:lang w:eastAsia="zh-Hans"/>
        </w:rPr>
        <w:br/>
        <w:t xml:space="preserve">　　总体来看，尽管欧洲经济面临外部贸易压力和地缘政治的不确定性，但其对财政和货币政策支持的坚定承诺，为未来的增长奠定了坚实基础。随着全球经济格局的持续演变，欧洲政策制定者和投资者需保持高度警觉，并具备灵活应变的能力，以争取把握新兴机遇，同时有效应对潜在风险。</w:t>
      </w:r>
      <w:r>
        <w:rPr>
          <w:rFonts w:ascii="宋体" w:hAnsi="宋体" w:hint="eastAsia"/>
          <w:color w:val="000000"/>
          <w:kern w:val="0"/>
          <w:sz w:val="24"/>
        </w:rPr>
        <w:t xml:space="preserve"> </w:t>
      </w:r>
      <w:bookmarkEnd w:id="82"/>
    </w:p>
    <w:p w14:paraId="32E5338D" w14:textId="77777777" w:rsidR="009857A8" w:rsidRDefault="009857A8">
      <w:pPr>
        <w:pStyle w:val="XBRLTitle3"/>
        <w:spacing w:before="156" w:line="360" w:lineRule="auto"/>
        <w:ind w:left="624"/>
      </w:pPr>
      <w:bookmarkStart w:id="167" w:name="_Toc51408825712"/>
      <w:bookmarkEnd w:id="150"/>
      <w:r>
        <w:rPr>
          <w:rFonts w:hAnsi="宋体" w:hint="eastAsia"/>
        </w:rPr>
        <w:t>报告期内基金的业绩表现</w:t>
      </w:r>
      <w:bookmarkEnd w:id="152"/>
      <w:bookmarkEnd w:id="153"/>
      <w:bookmarkEnd w:id="167"/>
      <w:r>
        <w:rPr>
          <w:rFonts w:hAnsi="宋体" w:hint="eastAsia"/>
        </w:rPr>
        <w:t xml:space="preserve"> </w:t>
      </w:r>
    </w:p>
    <w:p w14:paraId="1DF7836A" w14:textId="77777777" w:rsidR="009857A8" w:rsidRDefault="009857A8">
      <w:pPr>
        <w:spacing w:line="360" w:lineRule="auto"/>
        <w:ind w:firstLineChars="200" w:firstLine="420"/>
        <w:jc w:val="left"/>
      </w:pPr>
      <w:r>
        <w:rPr>
          <w:rFonts w:ascii="宋体" w:hAnsi="宋体" w:cs="宋体" w:hint="eastAsia"/>
          <w:color w:val="000000"/>
          <w:kern w:val="0"/>
        </w:rPr>
        <w:t>本报告期摩根欧洲动力策略股票(QDII)A份额净值增长率为：-3.74%，同期业绩比较基准收益率为：-3.89%；</w:t>
      </w:r>
      <w:r>
        <w:rPr>
          <w:rFonts w:ascii="宋体" w:hAnsi="宋体" w:cs="宋体" w:hint="eastAsia"/>
          <w:color w:val="000000"/>
          <w:kern w:val="0"/>
        </w:rPr>
        <w:br/>
        <w:t xml:space="preserve">　　摩根欧洲动力策略股票(QDII)C份额净值增长率为：-3.84%，同期业绩比较基准收益率为：-3.89%。</w:t>
      </w:r>
      <w:bookmarkEnd w:id="154"/>
    </w:p>
    <w:p w14:paraId="3B792F28" w14:textId="77777777" w:rsidR="009857A8" w:rsidRDefault="009857A8">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r>
        <w:rPr>
          <w:rFonts w:eastAsia="宋体" w:hint="eastAsia"/>
        </w:rPr>
        <w:t xml:space="preserve"> </w:t>
      </w:r>
    </w:p>
    <w:p w14:paraId="3312ED78" w14:textId="77777777" w:rsidR="009857A8" w:rsidRDefault="009857A8">
      <w:pPr>
        <w:spacing w:line="360" w:lineRule="auto"/>
        <w:ind w:firstLineChars="200" w:firstLine="420"/>
        <w:jc w:val="left"/>
      </w:pPr>
      <w:r>
        <w:rPr>
          <w:rFonts w:ascii="宋体" w:hAnsi="宋体" w:hint="eastAsia"/>
        </w:rPr>
        <w:t>无。</w:t>
      </w:r>
    </w:p>
    <w:p w14:paraId="782CE98F" w14:textId="77777777" w:rsidR="009857A8" w:rsidRDefault="009857A8">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
    <w:p w14:paraId="6E091266" w14:textId="77777777" w:rsidR="009857A8" w:rsidRDefault="009857A8">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r>
        <w:rPr>
          <w:rFonts w:eastAsia="宋体" w:hint="eastAsia"/>
        </w:rPr>
        <w:t>报告期末基金资产组合情况</w:t>
      </w:r>
      <w:bookmarkEnd w:id="193"/>
      <w:bookmarkEnd w:id="194"/>
      <w:bookmarkEnd w:id="195"/>
      <w:bookmarkEnd w:id="196"/>
      <w:bookmarkEnd w:id="197"/>
      <w:bookmarkEnd w:id="198"/>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4046E9" w14:paraId="758A4881"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3D235" w14:textId="77777777" w:rsidR="009857A8" w:rsidRDefault="009857A8">
            <w:pPr>
              <w:jc w:val="center"/>
            </w:pPr>
            <w:bookmarkStart w:id="205" w:name="m08QD_01_tab"/>
            <w:bookmarkStart w:id="206" w:name="OLE_LINK46"/>
            <w:bookmarkStart w:id="207" w:name="OLE_LINK45"/>
            <w:bookmarkStart w:id="208" w:name="OLE_LINK42"/>
            <w:bookmarkStart w:id="209" w:name="OLE_LINK41"/>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2C741E89" w14:textId="77777777" w:rsidR="009857A8" w:rsidRDefault="009857A8">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7DC43B2B" w14:textId="77777777" w:rsidR="009857A8" w:rsidRDefault="009857A8">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6C1ED2CF" w14:textId="77777777" w:rsidR="009857A8" w:rsidRDefault="009857A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046E9" w14:paraId="64E6378A"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50C8010" w14:textId="77777777" w:rsidR="009857A8" w:rsidRDefault="009857A8">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5B99C1C0" w14:textId="77777777" w:rsidR="009857A8" w:rsidRDefault="009857A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4AAB7B8" w14:textId="77777777" w:rsidR="009857A8" w:rsidRDefault="009857A8">
            <w:pPr>
              <w:jc w:val="right"/>
            </w:pPr>
            <w:r>
              <w:rPr>
                <w:rFonts w:ascii="宋体" w:hAnsi="宋体" w:hint="eastAsia"/>
                <w:szCs w:val="24"/>
                <w:lang w:eastAsia="zh-Hans"/>
              </w:rPr>
              <w:t>737,736,293.02</w:t>
            </w:r>
          </w:p>
        </w:tc>
        <w:tc>
          <w:tcPr>
            <w:tcW w:w="2373" w:type="dxa"/>
            <w:tcBorders>
              <w:top w:val="single" w:sz="4" w:space="0" w:color="auto"/>
              <w:left w:val="nil"/>
              <w:bottom w:val="single" w:sz="4" w:space="0" w:color="auto"/>
              <w:right w:val="single" w:sz="4" w:space="0" w:color="auto"/>
            </w:tcBorders>
            <w:vAlign w:val="center"/>
            <w:hideMark/>
          </w:tcPr>
          <w:p w14:paraId="1456E6F0" w14:textId="77777777" w:rsidR="009857A8" w:rsidRDefault="009857A8">
            <w:pPr>
              <w:jc w:val="right"/>
            </w:pPr>
            <w:r>
              <w:rPr>
                <w:rFonts w:ascii="宋体" w:hAnsi="宋体" w:hint="eastAsia"/>
                <w:szCs w:val="24"/>
                <w:lang w:eastAsia="zh-Hans"/>
              </w:rPr>
              <w:t>88.16</w:t>
            </w:r>
          </w:p>
        </w:tc>
      </w:tr>
      <w:tr w:rsidR="004046E9" w14:paraId="24362A93"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EED855E"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92257FE" w14:textId="77777777" w:rsidR="009857A8" w:rsidRDefault="009857A8">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5967408" w14:textId="77777777" w:rsidR="009857A8" w:rsidRDefault="009857A8">
            <w:pPr>
              <w:jc w:val="right"/>
            </w:pPr>
            <w:r>
              <w:rPr>
                <w:rFonts w:ascii="宋体" w:hAnsi="宋体" w:hint="eastAsia"/>
                <w:szCs w:val="24"/>
                <w:lang w:eastAsia="zh-Hans"/>
              </w:rPr>
              <w:t>731,259,070.36</w:t>
            </w:r>
          </w:p>
        </w:tc>
        <w:tc>
          <w:tcPr>
            <w:tcW w:w="2373" w:type="dxa"/>
            <w:tcBorders>
              <w:top w:val="single" w:sz="4" w:space="0" w:color="auto"/>
              <w:left w:val="nil"/>
              <w:bottom w:val="single" w:sz="4" w:space="0" w:color="auto"/>
              <w:right w:val="single" w:sz="4" w:space="0" w:color="auto"/>
            </w:tcBorders>
            <w:vAlign w:val="center"/>
            <w:hideMark/>
          </w:tcPr>
          <w:p w14:paraId="17EE18B2" w14:textId="77777777" w:rsidR="009857A8" w:rsidRDefault="009857A8">
            <w:pPr>
              <w:jc w:val="right"/>
            </w:pPr>
            <w:r>
              <w:rPr>
                <w:rFonts w:ascii="宋体" w:hAnsi="宋体" w:hint="eastAsia"/>
                <w:szCs w:val="24"/>
                <w:lang w:eastAsia="zh-Hans"/>
              </w:rPr>
              <w:t>87.38</w:t>
            </w:r>
          </w:p>
        </w:tc>
      </w:tr>
      <w:tr w:rsidR="004046E9" w14:paraId="3BE70951"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D0C0EEF"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2A5D63E" w14:textId="77777777" w:rsidR="009857A8" w:rsidRDefault="009857A8">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F18E630"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94374DC" w14:textId="77777777" w:rsidR="009857A8" w:rsidRDefault="009857A8">
            <w:pPr>
              <w:jc w:val="right"/>
            </w:pPr>
            <w:r>
              <w:rPr>
                <w:rFonts w:ascii="宋体" w:hAnsi="宋体" w:hint="eastAsia"/>
                <w:szCs w:val="24"/>
                <w:lang w:eastAsia="zh-Hans"/>
              </w:rPr>
              <w:t>-</w:t>
            </w:r>
          </w:p>
        </w:tc>
      </w:tr>
      <w:tr w:rsidR="004046E9" w14:paraId="4C77C4FC"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95D49C2"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AE36F70" w14:textId="77777777" w:rsidR="009857A8" w:rsidRDefault="009857A8">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372556" w14:textId="77777777" w:rsidR="009857A8" w:rsidRDefault="009857A8">
            <w:pPr>
              <w:jc w:val="right"/>
            </w:pPr>
            <w:r>
              <w:rPr>
                <w:rFonts w:ascii="宋体" w:hAnsi="宋体" w:hint="eastAsia"/>
                <w:szCs w:val="24"/>
                <w:lang w:eastAsia="zh-Hans"/>
              </w:rPr>
              <w:t>6,477,222.66</w:t>
            </w:r>
          </w:p>
        </w:tc>
        <w:tc>
          <w:tcPr>
            <w:tcW w:w="2373" w:type="dxa"/>
            <w:tcBorders>
              <w:top w:val="single" w:sz="4" w:space="0" w:color="auto"/>
              <w:left w:val="nil"/>
              <w:bottom w:val="single" w:sz="4" w:space="0" w:color="auto"/>
              <w:right w:val="single" w:sz="4" w:space="0" w:color="auto"/>
            </w:tcBorders>
            <w:vAlign w:val="center"/>
            <w:hideMark/>
          </w:tcPr>
          <w:p w14:paraId="189FFB48" w14:textId="77777777" w:rsidR="009857A8" w:rsidRDefault="009857A8">
            <w:pPr>
              <w:jc w:val="right"/>
            </w:pPr>
            <w:r>
              <w:rPr>
                <w:rFonts w:ascii="宋体" w:hAnsi="宋体" w:hint="eastAsia"/>
                <w:szCs w:val="24"/>
                <w:lang w:eastAsia="zh-Hans"/>
              </w:rPr>
              <w:t>0.77</w:t>
            </w:r>
          </w:p>
        </w:tc>
      </w:tr>
      <w:tr w:rsidR="004046E9" w14:paraId="5FBEF5DB"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9CCE17F"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3F398D5" w14:textId="77777777" w:rsidR="009857A8" w:rsidRDefault="009857A8">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33AF919"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8730621" w14:textId="77777777" w:rsidR="009857A8" w:rsidRDefault="009857A8">
            <w:pPr>
              <w:jc w:val="right"/>
            </w:pPr>
            <w:r>
              <w:rPr>
                <w:rFonts w:ascii="宋体" w:hAnsi="宋体" w:hint="eastAsia"/>
                <w:szCs w:val="24"/>
                <w:lang w:eastAsia="zh-Hans"/>
              </w:rPr>
              <w:t>-</w:t>
            </w:r>
          </w:p>
        </w:tc>
      </w:tr>
      <w:tr w:rsidR="004046E9" w14:paraId="658D143A"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BEAB28B" w14:textId="77777777" w:rsidR="009857A8" w:rsidRDefault="009857A8">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35D04C1F" w14:textId="77777777" w:rsidR="009857A8" w:rsidRDefault="009857A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30521FF"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6F5FA38" w14:textId="77777777" w:rsidR="009857A8" w:rsidRDefault="009857A8">
            <w:pPr>
              <w:jc w:val="right"/>
            </w:pPr>
            <w:r>
              <w:rPr>
                <w:rFonts w:ascii="宋体" w:hAnsi="宋体" w:hint="eastAsia"/>
                <w:szCs w:val="24"/>
                <w:lang w:eastAsia="zh-Hans"/>
              </w:rPr>
              <w:t>-</w:t>
            </w:r>
          </w:p>
        </w:tc>
      </w:tr>
      <w:tr w:rsidR="004046E9" w14:paraId="1BA3DB3A"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04DE5C3" w14:textId="77777777" w:rsidR="009857A8" w:rsidRDefault="009857A8">
            <w:pPr>
              <w:jc w:val="center"/>
            </w:pPr>
            <w:r>
              <w:rPr>
                <w:rFonts w:ascii="宋体" w:hAnsi="宋体" w:hint="eastAsia"/>
                <w:color w:val="000000"/>
                <w:lang w:eastAsia="zh-Hans"/>
              </w:rPr>
              <w:lastRenderedPageBreak/>
              <w:t xml:space="preserve">3 </w:t>
            </w:r>
          </w:p>
        </w:tc>
        <w:tc>
          <w:tcPr>
            <w:tcW w:w="3529" w:type="dxa"/>
            <w:tcBorders>
              <w:top w:val="single" w:sz="4" w:space="0" w:color="auto"/>
              <w:left w:val="nil"/>
              <w:bottom w:val="single" w:sz="4" w:space="0" w:color="auto"/>
              <w:right w:val="single" w:sz="4" w:space="0" w:color="auto"/>
            </w:tcBorders>
            <w:vAlign w:val="center"/>
            <w:hideMark/>
          </w:tcPr>
          <w:p w14:paraId="77744ADE" w14:textId="77777777" w:rsidR="009857A8" w:rsidRDefault="009857A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3692F8B"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551BBF1" w14:textId="77777777" w:rsidR="009857A8" w:rsidRDefault="009857A8">
            <w:pPr>
              <w:jc w:val="right"/>
            </w:pPr>
            <w:r>
              <w:rPr>
                <w:rFonts w:ascii="宋体" w:hAnsi="宋体" w:hint="eastAsia"/>
                <w:szCs w:val="24"/>
                <w:lang w:eastAsia="zh-Hans"/>
              </w:rPr>
              <w:t>-</w:t>
            </w:r>
          </w:p>
        </w:tc>
      </w:tr>
      <w:tr w:rsidR="004046E9" w14:paraId="29BCBE86"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81E0F44"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43CA3AF" w14:textId="77777777" w:rsidR="009857A8" w:rsidRDefault="009857A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5602D58"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5B8485C" w14:textId="77777777" w:rsidR="009857A8" w:rsidRDefault="009857A8">
            <w:pPr>
              <w:jc w:val="right"/>
            </w:pPr>
            <w:r>
              <w:rPr>
                <w:rFonts w:ascii="宋体" w:hAnsi="宋体" w:hint="eastAsia"/>
                <w:szCs w:val="24"/>
                <w:lang w:eastAsia="zh-Hans"/>
              </w:rPr>
              <w:t>-</w:t>
            </w:r>
          </w:p>
        </w:tc>
      </w:tr>
      <w:tr w:rsidR="004046E9" w14:paraId="3D0AE7F0"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8E5F0FF"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85B4A11" w14:textId="77777777" w:rsidR="009857A8" w:rsidRDefault="009857A8">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1354971"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44F30AC" w14:textId="77777777" w:rsidR="009857A8" w:rsidRDefault="009857A8">
            <w:pPr>
              <w:jc w:val="right"/>
            </w:pPr>
            <w:r>
              <w:rPr>
                <w:rFonts w:ascii="宋体" w:hAnsi="宋体" w:hint="eastAsia"/>
                <w:szCs w:val="24"/>
                <w:lang w:eastAsia="zh-Hans"/>
              </w:rPr>
              <w:t>-</w:t>
            </w:r>
          </w:p>
        </w:tc>
      </w:tr>
      <w:tr w:rsidR="004046E9" w14:paraId="3CB22746"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670B787" w14:textId="77777777" w:rsidR="009857A8" w:rsidRDefault="009857A8">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0D3DB1FA" w14:textId="77777777" w:rsidR="009857A8" w:rsidRDefault="009857A8">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2E187EF"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1289391" w14:textId="77777777" w:rsidR="009857A8" w:rsidRDefault="009857A8">
            <w:pPr>
              <w:jc w:val="right"/>
            </w:pPr>
            <w:r>
              <w:rPr>
                <w:rFonts w:ascii="宋体" w:hAnsi="宋体" w:hint="eastAsia"/>
                <w:szCs w:val="24"/>
                <w:lang w:eastAsia="zh-Hans"/>
              </w:rPr>
              <w:t>-</w:t>
            </w:r>
          </w:p>
        </w:tc>
      </w:tr>
      <w:tr w:rsidR="004046E9" w14:paraId="6A7836F0"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9997D2D"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063EB89" w14:textId="77777777" w:rsidR="009857A8" w:rsidRDefault="009857A8">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4FA57D"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E8C6128" w14:textId="77777777" w:rsidR="009857A8" w:rsidRDefault="009857A8">
            <w:pPr>
              <w:jc w:val="right"/>
            </w:pPr>
            <w:r>
              <w:rPr>
                <w:rFonts w:ascii="宋体" w:hAnsi="宋体" w:hint="eastAsia"/>
                <w:szCs w:val="24"/>
                <w:lang w:eastAsia="zh-Hans"/>
              </w:rPr>
              <w:t>-</w:t>
            </w:r>
          </w:p>
        </w:tc>
      </w:tr>
      <w:tr w:rsidR="004046E9" w14:paraId="7D616F68"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0E07553"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E01A65A" w14:textId="77777777" w:rsidR="009857A8" w:rsidRDefault="009857A8">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057A331"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D1C2FC5" w14:textId="77777777" w:rsidR="009857A8" w:rsidRDefault="009857A8">
            <w:pPr>
              <w:jc w:val="right"/>
            </w:pPr>
            <w:r>
              <w:rPr>
                <w:rFonts w:ascii="宋体" w:hAnsi="宋体" w:hint="eastAsia"/>
                <w:szCs w:val="24"/>
                <w:lang w:eastAsia="zh-Hans"/>
              </w:rPr>
              <w:t>-</w:t>
            </w:r>
          </w:p>
        </w:tc>
      </w:tr>
      <w:tr w:rsidR="004046E9" w14:paraId="5A86F248"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DFBE504"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38D8439" w14:textId="77777777" w:rsidR="009857A8" w:rsidRDefault="009857A8">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7165A45"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F91E18F" w14:textId="77777777" w:rsidR="009857A8" w:rsidRDefault="009857A8">
            <w:pPr>
              <w:jc w:val="right"/>
            </w:pPr>
            <w:r>
              <w:rPr>
                <w:rFonts w:ascii="宋体" w:hAnsi="宋体" w:hint="eastAsia"/>
                <w:szCs w:val="24"/>
                <w:lang w:eastAsia="zh-Hans"/>
              </w:rPr>
              <w:t>-</w:t>
            </w:r>
          </w:p>
        </w:tc>
      </w:tr>
      <w:tr w:rsidR="004046E9" w14:paraId="04812E20"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098B01"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726467C" w14:textId="77777777" w:rsidR="009857A8" w:rsidRDefault="009857A8">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26AC176"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48CB178" w14:textId="77777777" w:rsidR="009857A8" w:rsidRDefault="009857A8">
            <w:pPr>
              <w:jc w:val="right"/>
            </w:pPr>
            <w:r>
              <w:rPr>
                <w:rFonts w:ascii="宋体" w:hAnsi="宋体" w:hint="eastAsia"/>
                <w:szCs w:val="24"/>
                <w:lang w:eastAsia="zh-Hans"/>
              </w:rPr>
              <w:t>-</w:t>
            </w:r>
          </w:p>
        </w:tc>
      </w:tr>
      <w:tr w:rsidR="004046E9" w14:paraId="013B8911"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AD339D2" w14:textId="77777777" w:rsidR="009857A8" w:rsidRDefault="009857A8">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445E0FF8" w14:textId="77777777" w:rsidR="009857A8" w:rsidRDefault="009857A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7977F79"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A0231C1" w14:textId="77777777" w:rsidR="009857A8" w:rsidRDefault="009857A8">
            <w:pPr>
              <w:jc w:val="right"/>
            </w:pPr>
            <w:r>
              <w:rPr>
                <w:rFonts w:ascii="宋体" w:hAnsi="宋体" w:hint="eastAsia"/>
                <w:szCs w:val="24"/>
                <w:lang w:eastAsia="zh-Hans"/>
              </w:rPr>
              <w:t>-</w:t>
            </w:r>
          </w:p>
        </w:tc>
      </w:tr>
      <w:tr w:rsidR="004046E9" w14:paraId="2AA0FA85"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405FD62" w14:textId="77777777" w:rsidR="009857A8" w:rsidRDefault="009857A8">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4D678E2" w14:textId="77777777" w:rsidR="009857A8" w:rsidRDefault="009857A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2E86B11"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9603368" w14:textId="77777777" w:rsidR="009857A8" w:rsidRDefault="009857A8">
            <w:pPr>
              <w:jc w:val="right"/>
            </w:pPr>
            <w:r>
              <w:rPr>
                <w:rFonts w:ascii="宋体" w:hAnsi="宋体" w:hint="eastAsia"/>
                <w:szCs w:val="24"/>
                <w:lang w:eastAsia="zh-Hans"/>
              </w:rPr>
              <w:t>-</w:t>
            </w:r>
          </w:p>
        </w:tc>
      </w:tr>
      <w:tr w:rsidR="004046E9" w14:paraId="2B9B0B3B"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CB77CB5" w14:textId="77777777" w:rsidR="009857A8" w:rsidRDefault="009857A8">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26381508" w14:textId="77777777" w:rsidR="009857A8" w:rsidRDefault="009857A8">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08B8F53" w14:textId="77777777" w:rsidR="009857A8" w:rsidRDefault="009857A8">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5063E91" w14:textId="77777777" w:rsidR="009857A8" w:rsidRDefault="009857A8">
            <w:pPr>
              <w:jc w:val="right"/>
            </w:pPr>
            <w:r>
              <w:rPr>
                <w:rFonts w:ascii="宋体" w:hAnsi="宋体" w:hint="eastAsia"/>
                <w:szCs w:val="24"/>
                <w:lang w:eastAsia="zh-Hans"/>
              </w:rPr>
              <w:t>-</w:t>
            </w:r>
          </w:p>
        </w:tc>
      </w:tr>
      <w:tr w:rsidR="004046E9" w14:paraId="69ED8A2F"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60AA601" w14:textId="77777777" w:rsidR="009857A8" w:rsidRDefault="009857A8">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118F70D3" w14:textId="77777777" w:rsidR="009857A8" w:rsidRDefault="009857A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6E7F6E4" w14:textId="77777777" w:rsidR="009857A8" w:rsidRDefault="009857A8">
            <w:pPr>
              <w:jc w:val="right"/>
            </w:pPr>
            <w:r>
              <w:rPr>
                <w:rFonts w:ascii="宋体" w:hAnsi="宋体" w:hint="eastAsia"/>
                <w:szCs w:val="24"/>
                <w:lang w:eastAsia="zh-Hans"/>
              </w:rPr>
              <w:t>88,276,518.19</w:t>
            </w:r>
          </w:p>
        </w:tc>
        <w:tc>
          <w:tcPr>
            <w:tcW w:w="2373" w:type="dxa"/>
            <w:tcBorders>
              <w:top w:val="single" w:sz="4" w:space="0" w:color="auto"/>
              <w:left w:val="nil"/>
              <w:bottom w:val="single" w:sz="4" w:space="0" w:color="auto"/>
              <w:right w:val="single" w:sz="4" w:space="0" w:color="auto"/>
            </w:tcBorders>
            <w:vAlign w:val="center"/>
            <w:hideMark/>
          </w:tcPr>
          <w:p w14:paraId="4BF7510F" w14:textId="77777777" w:rsidR="009857A8" w:rsidRDefault="009857A8">
            <w:pPr>
              <w:jc w:val="right"/>
            </w:pPr>
            <w:r>
              <w:rPr>
                <w:rFonts w:ascii="宋体" w:hAnsi="宋体" w:hint="eastAsia"/>
                <w:szCs w:val="24"/>
                <w:lang w:eastAsia="zh-Hans"/>
              </w:rPr>
              <w:t>10.55</w:t>
            </w:r>
          </w:p>
        </w:tc>
      </w:tr>
      <w:tr w:rsidR="004046E9" w14:paraId="21F136A6"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8DB0FD4" w14:textId="77777777" w:rsidR="009857A8" w:rsidRDefault="009857A8">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66FB214A" w14:textId="77777777" w:rsidR="009857A8" w:rsidRDefault="009857A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B38F597" w14:textId="77777777" w:rsidR="009857A8" w:rsidRDefault="009857A8">
            <w:pPr>
              <w:jc w:val="right"/>
            </w:pPr>
            <w:r>
              <w:rPr>
                <w:rFonts w:ascii="宋体" w:hAnsi="宋体" w:hint="eastAsia"/>
                <w:szCs w:val="24"/>
                <w:lang w:eastAsia="zh-Hans"/>
              </w:rPr>
              <w:t>10,814,846.11</w:t>
            </w:r>
          </w:p>
        </w:tc>
        <w:tc>
          <w:tcPr>
            <w:tcW w:w="2373" w:type="dxa"/>
            <w:tcBorders>
              <w:top w:val="single" w:sz="4" w:space="0" w:color="auto"/>
              <w:left w:val="nil"/>
              <w:bottom w:val="single" w:sz="4" w:space="0" w:color="auto"/>
              <w:right w:val="single" w:sz="4" w:space="0" w:color="auto"/>
            </w:tcBorders>
            <w:vAlign w:val="center"/>
            <w:hideMark/>
          </w:tcPr>
          <w:p w14:paraId="6332764C" w14:textId="77777777" w:rsidR="009857A8" w:rsidRDefault="009857A8">
            <w:pPr>
              <w:jc w:val="right"/>
            </w:pPr>
            <w:r>
              <w:rPr>
                <w:rFonts w:ascii="宋体" w:hAnsi="宋体" w:hint="eastAsia"/>
                <w:szCs w:val="24"/>
                <w:lang w:eastAsia="zh-Hans"/>
              </w:rPr>
              <w:t>1.29</w:t>
            </w:r>
          </w:p>
        </w:tc>
      </w:tr>
      <w:tr w:rsidR="004046E9" w14:paraId="5DE5B182" w14:textId="77777777">
        <w:trPr>
          <w:divId w:val="84150867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CA4D81" w14:textId="77777777" w:rsidR="009857A8" w:rsidRDefault="009857A8">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150C277B" w14:textId="77777777" w:rsidR="009857A8" w:rsidRDefault="009857A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E535674" w14:textId="77777777" w:rsidR="009857A8" w:rsidRDefault="009857A8">
            <w:pPr>
              <w:jc w:val="right"/>
            </w:pPr>
            <w:r>
              <w:rPr>
                <w:rFonts w:ascii="宋体" w:hAnsi="宋体" w:hint="eastAsia"/>
                <w:szCs w:val="24"/>
                <w:lang w:eastAsia="zh-Hans"/>
              </w:rPr>
              <w:t>836,827,657.32</w:t>
            </w:r>
          </w:p>
        </w:tc>
        <w:tc>
          <w:tcPr>
            <w:tcW w:w="2373" w:type="dxa"/>
            <w:tcBorders>
              <w:top w:val="single" w:sz="4" w:space="0" w:color="auto"/>
              <w:left w:val="nil"/>
              <w:bottom w:val="single" w:sz="4" w:space="0" w:color="auto"/>
              <w:right w:val="single" w:sz="4" w:space="0" w:color="auto"/>
            </w:tcBorders>
            <w:vAlign w:val="center"/>
            <w:hideMark/>
          </w:tcPr>
          <w:p w14:paraId="2E285F88" w14:textId="77777777" w:rsidR="009857A8" w:rsidRDefault="009857A8">
            <w:pPr>
              <w:jc w:val="right"/>
            </w:pPr>
            <w:r>
              <w:rPr>
                <w:rFonts w:ascii="宋体" w:hAnsi="宋体" w:hint="eastAsia"/>
                <w:szCs w:val="24"/>
                <w:lang w:eastAsia="zh-Hans"/>
              </w:rPr>
              <w:t>100.00</w:t>
            </w:r>
          </w:p>
        </w:tc>
      </w:tr>
    </w:tbl>
    <w:p w14:paraId="4FD79E8B" w14:textId="77777777" w:rsidR="009857A8" w:rsidRDefault="009857A8">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r>
        <w:rPr>
          <w:rFonts w:eastAsia="宋体" w:hint="eastAsia"/>
        </w:rPr>
        <w:t>报告期末在各个国家（地区）证券市场的股票及存托凭证投资分布</w:t>
      </w:r>
      <w:bookmarkEnd w:id="210"/>
      <w:bookmarkEnd w:id="211"/>
      <w:bookmarkEnd w:id="212"/>
      <w:bookmarkEnd w:id="213"/>
      <w:bookmarkEnd w:id="214"/>
      <w:bookmarkEnd w:id="215"/>
      <w:r>
        <w:rPr>
          <w:rFonts w:hint="eastAsia"/>
        </w:rPr>
        <w:t xml:space="preserve"> </w:t>
      </w:r>
      <w:bookmarkEnd w:id="216"/>
      <w:bookmarkEnd w:id="217"/>
      <w:bookmarkEnd w:id="218"/>
      <w:bookmarkEnd w:id="219"/>
      <w:bookmarkEnd w:id="220"/>
    </w:p>
    <w:tbl>
      <w:tblPr>
        <w:tblW w:w="5000" w:type="pct"/>
        <w:tblLook w:val="04A0" w:firstRow="1" w:lastRow="0" w:firstColumn="1" w:lastColumn="0" w:noHBand="0" w:noVBand="1"/>
      </w:tblPr>
      <w:tblGrid>
        <w:gridCol w:w="2032"/>
        <w:gridCol w:w="3621"/>
        <w:gridCol w:w="3182"/>
      </w:tblGrid>
      <w:tr w:rsidR="004046E9" w14:paraId="3CACEB3C" w14:textId="77777777">
        <w:trPr>
          <w:divId w:val="1649238300"/>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DEA1DEE" w14:textId="77777777" w:rsidR="009857A8" w:rsidRDefault="009857A8">
            <w:pPr>
              <w:jc w:val="center"/>
            </w:pPr>
            <w:bookmarkStart w:id="221" w:name="m08QD_02"/>
            <w:bookmarkStart w:id="222"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98AE85C" w14:textId="77777777" w:rsidR="009857A8" w:rsidRDefault="009857A8">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100F468" w14:textId="77777777" w:rsidR="009857A8" w:rsidRDefault="009857A8">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4046E9" w14:paraId="0340D89F"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C93224" w14:textId="77777777" w:rsidR="009857A8" w:rsidRDefault="009857A8">
            <w:r>
              <w:rPr>
                <w:rFonts w:ascii="宋体" w:hAnsi="宋体" w:hint="eastAsia"/>
                <w:szCs w:val="21"/>
                <w:lang w:eastAsia="zh-Hans"/>
              </w:rPr>
              <w:t>英国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9564A5" w14:textId="77777777" w:rsidR="009857A8" w:rsidRDefault="009857A8">
            <w:pPr>
              <w:jc w:val="right"/>
            </w:pPr>
            <w:r>
              <w:rPr>
                <w:rFonts w:ascii="宋体" w:hAnsi="宋体" w:hint="eastAsia"/>
                <w:szCs w:val="21"/>
                <w:lang w:eastAsia="zh-Hans"/>
              </w:rPr>
              <w:t>228,908,592.27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B42F86A" w14:textId="77777777" w:rsidR="009857A8" w:rsidRDefault="009857A8">
            <w:pPr>
              <w:jc w:val="right"/>
            </w:pPr>
            <w:r>
              <w:rPr>
                <w:rFonts w:ascii="宋体" w:hAnsi="宋体" w:hint="eastAsia"/>
                <w:szCs w:val="21"/>
                <w:lang w:eastAsia="zh-Hans"/>
              </w:rPr>
              <w:t>28.41</w:t>
            </w:r>
          </w:p>
        </w:tc>
      </w:tr>
      <w:tr w:rsidR="004046E9" w14:paraId="6A93E6AF"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C304A1" w14:textId="77777777" w:rsidR="009857A8" w:rsidRDefault="009857A8">
            <w:r>
              <w:rPr>
                <w:rFonts w:ascii="宋体" w:hAnsi="宋体" w:hint="eastAsia"/>
                <w:szCs w:val="21"/>
                <w:lang w:eastAsia="zh-Hans"/>
              </w:rPr>
              <w:t>法国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9958F85" w14:textId="77777777" w:rsidR="009857A8" w:rsidRDefault="009857A8">
            <w:pPr>
              <w:jc w:val="right"/>
            </w:pPr>
            <w:r>
              <w:rPr>
                <w:rFonts w:ascii="宋体" w:hAnsi="宋体" w:hint="eastAsia"/>
                <w:szCs w:val="21"/>
                <w:lang w:eastAsia="zh-Hans"/>
              </w:rPr>
              <w:t>125,451,295.87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9AFDBE5" w14:textId="77777777" w:rsidR="009857A8" w:rsidRDefault="009857A8">
            <w:pPr>
              <w:jc w:val="right"/>
            </w:pPr>
            <w:r>
              <w:rPr>
                <w:rFonts w:ascii="宋体" w:hAnsi="宋体" w:hint="eastAsia"/>
                <w:szCs w:val="21"/>
                <w:lang w:eastAsia="zh-Hans"/>
              </w:rPr>
              <w:t>15.57</w:t>
            </w:r>
          </w:p>
        </w:tc>
      </w:tr>
      <w:tr w:rsidR="004046E9" w14:paraId="098A1F5B"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05C993" w14:textId="77777777" w:rsidR="009857A8" w:rsidRDefault="009857A8">
            <w:r>
              <w:rPr>
                <w:rFonts w:ascii="宋体" w:hAnsi="宋体" w:hint="eastAsia"/>
                <w:szCs w:val="21"/>
                <w:lang w:eastAsia="zh-Hans"/>
              </w:rPr>
              <w:t>德国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12EBDC" w14:textId="77777777" w:rsidR="009857A8" w:rsidRDefault="009857A8">
            <w:pPr>
              <w:jc w:val="right"/>
            </w:pPr>
            <w:r>
              <w:rPr>
                <w:rFonts w:ascii="宋体" w:hAnsi="宋体" w:hint="eastAsia"/>
                <w:szCs w:val="21"/>
                <w:lang w:eastAsia="zh-Hans"/>
              </w:rPr>
              <w:t>118,766,875.20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4EF407F" w14:textId="77777777" w:rsidR="009857A8" w:rsidRDefault="009857A8">
            <w:pPr>
              <w:jc w:val="right"/>
            </w:pPr>
            <w:r>
              <w:rPr>
                <w:rFonts w:ascii="宋体" w:hAnsi="宋体" w:hint="eastAsia"/>
                <w:szCs w:val="21"/>
                <w:lang w:eastAsia="zh-Hans"/>
              </w:rPr>
              <w:t>14.74</w:t>
            </w:r>
          </w:p>
        </w:tc>
      </w:tr>
      <w:tr w:rsidR="004046E9" w14:paraId="42082FF6"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E1AA06" w14:textId="77777777" w:rsidR="009857A8" w:rsidRDefault="009857A8">
            <w:r>
              <w:rPr>
                <w:rFonts w:ascii="宋体" w:hAnsi="宋体" w:hint="eastAsia"/>
                <w:szCs w:val="21"/>
                <w:lang w:eastAsia="zh-Hans"/>
              </w:rPr>
              <w:t>荷兰</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64451FD" w14:textId="77777777" w:rsidR="009857A8" w:rsidRDefault="009857A8">
            <w:pPr>
              <w:jc w:val="right"/>
            </w:pPr>
            <w:r>
              <w:rPr>
                <w:rFonts w:ascii="宋体" w:hAnsi="宋体" w:hint="eastAsia"/>
                <w:szCs w:val="21"/>
                <w:lang w:eastAsia="zh-Hans"/>
              </w:rPr>
              <w:t>93,600,624.03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0A3E63" w14:textId="77777777" w:rsidR="009857A8" w:rsidRDefault="009857A8">
            <w:pPr>
              <w:jc w:val="right"/>
            </w:pPr>
            <w:r>
              <w:rPr>
                <w:rFonts w:ascii="宋体" w:hAnsi="宋体" w:hint="eastAsia"/>
                <w:szCs w:val="21"/>
                <w:lang w:eastAsia="zh-Hans"/>
              </w:rPr>
              <w:t>11.62</w:t>
            </w:r>
          </w:p>
        </w:tc>
      </w:tr>
      <w:tr w:rsidR="004046E9" w14:paraId="426C7F19"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24BB98" w14:textId="77777777" w:rsidR="009857A8" w:rsidRDefault="009857A8">
            <w:r>
              <w:rPr>
                <w:rFonts w:ascii="宋体" w:hAnsi="宋体" w:hint="eastAsia"/>
                <w:szCs w:val="21"/>
                <w:lang w:eastAsia="zh-Hans"/>
              </w:rPr>
              <w:t>瑞士</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F3D9E25" w14:textId="77777777" w:rsidR="009857A8" w:rsidRDefault="009857A8">
            <w:pPr>
              <w:jc w:val="right"/>
            </w:pPr>
            <w:r>
              <w:rPr>
                <w:rFonts w:ascii="宋体" w:hAnsi="宋体" w:hint="eastAsia"/>
                <w:szCs w:val="21"/>
                <w:lang w:eastAsia="zh-Hans"/>
              </w:rPr>
              <w:t>75,247,661.41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9E8C8D0" w14:textId="77777777" w:rsidR="009857A8" w:rsidRDefault="009857A8">
            <w:pPr>
              <w:jc w:val="right"/>
            </w:pPr>
            <w:r>
              <w:rPr>
                <w:rFonts w:ascii="宋体" w:hAnsi="宋体" w:hint="eastAsia"/>
                <w:szCs w:val="21"/>
                <w:lang w:eastAsia="zh-Hans"/>
              </w:rPr>
              <w:t>9.34</w:t>
            </w:r>
          </w:p>
        </w:tc>
      </w:tr>
      <w:tr w:rsidR="004046E9" w14:paraId="1CEA66C0"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54AA03" w14:textId="77777777" w:rsidR="009857A8" w:rsidRDefault="009857A8">
            <w:r>
              <w:rPr>
                <w:rFonts w:ascii="宋体" w:hAnsi="宋体" w:hint="eastAsia"/>
                <w:szCs w:val="21"/>
                <w:lang w:eastAsia="zh-Hans"/>
              </w:rPr>
              <w:t>西班牙</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0B1D50" w14:textId="77777777" w:rsidR="009857A8" w:rsidRDefault="009857A8">
            <w:pPr>
              <w:jc w:val="right"/>
            </w:pPr>
            <w:r>
              <w:rPr>
                <w:rFonts w:ascii="宋体" w:hAnsi="宋体" w:hint="eastAsia"/>
                <w:szCs w:val="21"/>
                <w:lang w:eastAsia="zh-Hans"/>
              </w:rPr>
              <w:t>27,890,489.84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370794D" w14:textId="77777777" w:rsidR="009857A8" w:rsidRDefault="009857A8">
            <w:pPr>
              <w:jc w:val="right"/>
            </w:pPr>
            <w:r>
              <w:rPr>
                <w:rFonts w:ascii="宋体" w:hAnsi="宋体" w:hint="eastAsia"/>
                <w:szCs w:val="21"/>
                <w:lang w:eastAsia="zh-Hans"/>
              </w:rPr>
              <w:t>3.46</w:t>
            </w:r>
          </w:p>
        </w:tc>
      </w:tr>
      <w:tr w:rsidR="004046E9" w14:paraId="583EFB4B"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749D2D" w14:textId="77777777" w:rsidR="009857A8" w:rsidRDefault="009857A8">
            <w:r>
              <w:rPr>
                <w:rFonts w:ascii="宋体" w:hAnsi="宋体" w:hint="eastAsia"/>
                <w:szCs w:val="21"/>
                <w:lang w:eastAsia="zh-Hans"/>
              </w:rPr>
              <w:t>意大利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BEC7D9" w14:textId="77777777" w:rsidR="009857A8" w:rsidRDefault="009857A8">
            <w:pPr>
              <w:jc w:val="right"/>
            </w:pPr>
            <w:r>
              <w:rPr>
                <w:rFonts w:ascii="宋体" w:hAnsi="宋体" w:hint="eastAsia"/>
                <w:szCs w:val="21"/>
                <w:lang w:eastAsia="zh-Hans"/>
              </w:rPr>
              <w:t>27,057,362.86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505BD60" w14:textId="77777777" w:rsidR="009857A8" w:rsidRDefault="009857A8">
            <w:pPr>
              <w:jc w:val="right"/>
            </w:pPr>
            <w:r>
              <w:rPr>
                <w:rFonts w:ascii="宋体" w:hAnsi="宋体" w:hint="eastAsia"/>
                <w:szCs w:val="21"/>
                <w:lang w:eastAsia="zh-Hans"/>
              </w:rPr>
              <w:t>3.36</w:t>
            </w:r>
          </w:p>
        </w:tc>
      </w:tr>
      <w:tr w:rsidR="004046E9" w14:paraId="296CDB60"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3B49E9" w14:textId="77777777" w:rsidR="009857A8" w:rsidRDefault="009857A8">
            <w:r>
              <w:rPr>
                <w:rFonts w:ascii="宋体" w:hAnsi="宋体" w:hint="eastAsia"/>
                <w:szCs w:val="21"/>
                <w:lang w:eastAsia="zh-Hans"/>
              </w:rPr>
              <w:t>比利时</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48F2512" w14:textId="77777777" w:rsidR="009857A8" w:rsidRDefault="009857A8">
            <w:pPr>
              <w:jc w:val="right"/>
            </w:pPr>
            <w:r>
              <w:rPr>
                <w:rFonts w:ascii="宋体" w:hAnsi="宋体" w:hint="eastAsia"/>
                <w:szCs w:val="21"/>
                <w:lang w:eastAsia="zh-Hans"/>
              </w:rPr>
              <w:t>10,402,955.31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28DEA93" w14:textId="77777777" w:rsidR="009857A8" w:rsidRDefault="009857A8">
            <w:pPr>
              <w:jc w:val="right"/>
            </w:pPr>
            <w:r>
              <w:rPr>
                <w:rFonts w:ascii="宋体" w:hAnsi="宋体" w:hint="eastAsia"/>
                <w:szCs w:val="21"/>
                <w:lang w:eastAsia="zh-Hans"/>
              </w:rPr>
              <w:t>1.29</w:t>
            </w:r>
          </w:p>
        </w:tc>
      </w:tr>
      <w:tr w:rsidR="004046E9" w14:paraId="606F7092"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28C0C6" w14:textId="77777777" w:rsidR="009857A8" w:rsidRDefault="009857A8">
            <w:r>
              <w:rPr>
                <w:rFonts w:ascii="宋体" w:hAnsi="宋体" w:hint="eastAsia"/>
                <w:szCs w:val="21"/>
                <w:lang w:eastAsia="zh-Hans"/>
              </w:rPr>
              <w:t>挪威</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6785009" w14:textId="77777777" w:rsidR="009857A8" w:rsidRDefault="009857A8">
            <w:pPr>
              <w:jc w:val="right"/>
            </w:pPr>
            <w:r>
              <w:rPr>
                <w:rFonts w:ascii="宋体" w:hAnsi="宋体" w:hint="eastAsia"/>
                <w:szCs w:val="21"/>
                <w:lang w:eastAsia="zh-Hans"/>
              </w:rPr>
              <w:t>7,065,492.82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0A33686" w14:textId="77777777" w:rsidR="009857A8" w:rsidRDefault="009857A8">
            <w:pPr>
              <w:jc w:val="right"/>
            </w:pPr>
            <w:r>
              <w:rPr>
                <w:rFonts w:ascii="宋体" w:hAnsi="宋体" w:hint="eastAsia"/>
                <w:szCs w:val="21"/>
                <w:lang w:eastAsia="zh-Hans"/>
              </w:rPr>
              <w:t>0.88</w:t>
            </w:r>
          </w:p>
        </w:tc>
      </w:tr>
      <w:tr w:rsidR="004046E9" w14:paraId="5FB5BDA5"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3E6C3A" w14:textId="77777777" w:rsidR="009857A8" w:rsidRDefault="009857A8">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CAC915" w14:textId="77777777" w:rsidR="009857A8" w:rsidRDefault="009857A8">
            <w:pPr>
              <w:jc w:val="right"/>
            </w:pPr>
            <w:r>
              <w:rPr>
                <w:rFonts w:ascii="宋体" w:hAnsi="宋体" w:hint="eastAsia"/>
                <w:szCs w:val="21"/>
                <w:lang w:eastAsia="zh-Hans"/>
              </w:rPr>
              <w:t>6,477,222.66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D910691" w14:textId="77777777" w:rsidR="009857A8" w:rsidRDefault="009857A8">
            <w:pPr>
              <w:jc w:val="right"/>
            </w:pPr>
            <w:r>
              <w:rPr>
                <w:rFonts w:ascii="宋体" w:hAnsi="宋体" w:hint="eastAsia"/>
                <w:szCs w:val="21"/>
                <w:lang w:eastAsia="zh-Hans"/>
              </w:rPr>
              <w:t>0.80</w:t>
            </w:r>
          </w:p>
        </w:tc>
      </w:tr>
      <w:tr w:rsidR="004046E9" w14:paraId="28A4897B"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393C08" w14:textId="77777777" w:rsidR="009857A8" w:rsidRDefault="009857A8">
            <w:r>
              <w:rPr>
                <w:rFonts w:ascii="宋体" w:hAnsi="宋体" w:hint="eastAsia"/>
                <w:szCs w:val="21"/>
                <w:lang w:eastAsia="zh-Hans"/>
              </w:rPr>
              <w:t>瑞典</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C0D79F" w14:textId="77777777" w:rsidR="009857A8" w:rsidRDefault="009857A8">
            <w:pPr>
              <w:jc w:val="right"/>
            </w:pPr>
            <w:r>
              <w:rPr>
                <w:rFonts w:ascii="宋体" w:hAnsi="宋体" w:hint="eastAsia"/>
                <w:szCs w:val="21"/>
                <w:lang w:eastAsia="zh-Hans"/>
              </w:rPr>
              <w:t>6,319,289.88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11CCAFF" w14:textId="77777777" w:rsidR="009857A8" w:rsidRDefault="009857A8">
            <w:pPr>
              <w:jc w:val="right"/>
            </w:pPr>
            <w:r>
              <w:rPr>
                <w:rFonts w:ascii="宋体" w:hAnsi="宋体" w:hint="eastAsia"/>
                <w:szCs w:val="21"/>
                <w:lang w:eastAsia="zh-Hans"/>
              </w:rPr>
              <w:t>0.78</w:t>
            </w:r>
          </w:p>
        </w:tc>
      </w:tr>
      <w:tr w:rsidR="004046E9" w14:paraId="67C72094"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3AFC4A" w14:textId="77777777" w:rsidR="009857A8" w:rsidRDefault="009857A8">
            <w:r>
              <w:rPr>
                <w:rFonts w:ascii="宋体" w:hAnsi="宋体" w:hint="eastAsia"/>
                <w:szCs w:val="21"/>
                <w:lang w:eastAsia="zh-Hans"/>
              </w:rPr>
              <w:t>奥地利</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0ED7D19" w14:textId="77777777" w:rsidR="009857A8" w:rsidRDefault="009857A8">
            <w:pPr>
              <w:jc w:val="right"/>
            </w:pPr>
            <w:r>
              <w:rPr>
                <w:rFonts w:ascii="宋体" w:hAnsi="宋体" w:hint="eastAsia"/>
                <w:szCs w:val="21"/>
                <w:lang w:eastAsia="zh-Hans"/>
              </w:rPr>
              <w:t>5,904,291.63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E4F63C" w14:textId="77777777" w:rsidR="009857A8" w:rsidRDefault="009857A8">
            <w:pPr>
              <w:jc w:val="right"/>
            </w:pPr>
            <w:r>
              <w:rPr>
                <w:rFonts w:ascii="宋体" w:hAnsi="宋体" w:hint="eastAsia"/>
                <w:szCs w:val="21"/>
                <w:lang w:eastAsia="zh-Hans"/>
              </w:rPr>
              <w:t>0.73</w:t>
            </w:r>
          </w:p>
        </w:tc>
      </w:tr>
      <w:tr w:rsidR="004046E9" w14:paraId="07DF4717"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39C43A" w14:textId="77777777" w:rsidR="009857A8" w:rsidRDefault="009857A8">
            <w:r>
              <w:rPr>
                <w:rFonts w:ascii="宋体" w:hAnsi="宋体" w:hint="eastAsia"/>
                <w:szCs w:val="21"/>
                <w:lang w:eastAsia="zh-Hans"/>
              </w:rPr>
              <w:t>爱尔兰</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29C595" w14:textId="77777777" w:rsidR="009857A8" w:rsidRDefault="009857A8">
            <w:pPr>
              <w:jc w:val="right"/>
            </w:pPr>
            <w:r>
              <w:rPr>
                <w:rFonts w:ascii="宋体" w:hAnsi="宋体" w:hint="eastAsia"/>
                <w:szCs w:val="21"/>
                <w:lang w:eastAsia="zh-Hans"/>
              </w:rPr>
              <w:t>4,644,139.24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98D96CF" w14:textId="77777777" w:rsidR="009857A8" w:rsidRDefault="009857A8">
            <w:pPr>
              <w:jc w:val="right"/>
            </w:pPr>
            <w:r>
              <w:rPr>
                <w:rFonts w:ascii="宋体" w:hAnsi="宋体" w:hint="eastAsia"/>
                <w:szCs w:val="21"/>
                <w:lang w:eastAsia="zh-Hans"/>
              </w:rPr>
              <w:t>0.58</w:t>
            </w:r>
          </w:p>
        </w:tc>
      </w:tr>
      <w:tr w:rsidR="004046E9" w14:paraId="6C47CABE" w14:textId="77777777">
        <w:trPr>
          <w:divId w:val="164923830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B6E033" w14:textId="77777777" w:rsidR="009857A8" w:rsidRDefault="009857A8">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1C3C9C3" w14:textId="77777777" w:rsidR="009857A8" w:rsidRDefault="009857A8">
            <w:pPr>
              <w:jc w:val="right"/>
            </w:pPr>
            <w:r>
              <w:rPr>
                <w:rFonts w:ascii="宋体" w:hAnsi="宋体" w:hint="eastAsia"/>
                <w:szCs w:val="21"/>
                <w:lang w:eastAsia="zh-Hans"/>
              </w:rPr>
              <w:t>737,736,293.02</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201162" w14:textId="77777777" w:rsidR="009857A8" w:rsidRDefault="009857A8">
            <w:pPr>
              <w:jc w:val="right"/>
            </w:pPr>
            <w:r>
              <w:rPr>
                <w:rFonts w:ascii="宋体" w:hAnsi="宋体" w:hint="eastAsia"/>
                <w:szCs w:val="21"/>
                <w:lang w:eastAsia="zh-Hans"/>
              </w:rPr>
              <w:t>91.57</w:t>
            </w:r>
            <w:bookmarkEnd w:id="221"/>
          </w:p>
        </w:tc>
      </w:tr>
    </w:tbl>
    <w:p w14:paraId="1939DBAE" w14:textId="77777777" w:rsidR="009857A8" w:rsidRDefault="009857A8">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5BAD510A" w14:textId="77777777" w:rsidR="009857A8" w:rsidRDefault="009857A8">
      <w:pPr>
        <w:pStyle w:val="XBRLTitle2"/>
        <w:spacing w:before="156" w:line="360" w:lineRule="auto"/>
        <w:ind w:left="454"/>
      </w:pPr>
      <w:bookmarkStart w:id="223" w:name="_Toc514088262"/>
      <w:bookmarkStart w:id="224" w:name="_Toc480465434"/>
      <w:bookmarkStart w:id="225" w:name="_Toc448480300"/>
      <w:bookmarkStart w:id="226" w:name="_Toc438654088"/>
      <w:bookmarkStart w:id="227" w:name="_Toc456107133"/>
      <w:bookmarkStart w:id="228" w:name="_Toc459213779"/>
      <w:bookmarkStart w:id="229" w:name="_Toc513542663"/>
      <w:bookmarkStart w:id="230" w:name="_Toc512696265"/>
      <w:bookmarkStart w:id="231" w:name="_Toc512612268"/>
      <w:bookmarkStart w:id="232" w:name="_Toc512612092"/>
      <w:bookmarkStart w:id="233" w:name="_Toc512611296"/>
      <w:bookmarkStart w:id="234" w:name="m503"/>
      <w:bookmarkEnd w:id="222"/>
      <w:r>
        <w:rPr>
          <w:rFonts w:eastAsia="宋体" w:hint="eastAsia"/>
        </w:rPr>
        <w:t>报告期末按行业分类的股票及存托凭证投资组合</w:t>
      </w:r>
      <w:bookmarkEnd w:id="223"/>
      <w:bookmarkEnd w:id="224"/>
      <w:bookmarkEnd w:id="225"/>
      <w:bookmarkEnd w:id="226"/>
      <w:bookmarkEnd w:id="227"/>
      <w:bookmarkEnd w:id="228"/>
      <w:r>
        <w:rPr>
          <w:rFonts w:hint="eastAsia"/>
        </w:rPr>
        <w:t xml:space="preserve"> </w:t>
      </w:r>
      <w:bookmarkEnd w:id="229"/>
      <w:bookmarkEnd w:id="230"/>
      <w:bookmarkEnd w:id="231"/>
      <w:bookmarkEnd w:id="232"/>
      <w:bookmarkEnd w:id="233"/>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4046E9" w14:paraId="295CEAA9"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30ADAA1" w14:textId="77777777" w:rsidR="009857A8" w:rsidRDefault="009857A8">
            <w:pPr>
              <w:jc w:val="center"/>
            </w:pPr>
            <w:bookmarkStart w:id="235" w:name="m08QD_03_01_tab"/>
            <w:bookmarkStart w:id="236" w:name="m08QD_03_tab"/>
            <w:bookmarkStart w:id="237"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2721ED6" w14:textId="77777777" w:rsidR="009857A8" w:rsidRDefault="009857A8">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15FB78" w14:textId="77777777" w:rsidR="009857A8" w:rsidRDefault="009857A8">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4046E9" w14:paraId="174F0F42"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3147B" w14:textId="77777777" w:rsidR="009857A8" w:rsidRDefault="009857A8">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5B0A3" w14:textId="77777777" w:rsidR="009857A8" w:rsidRDefault="009857A8">
            <w:pPr>
              <w:jc w:val="right"/>
            </w:pPr>
            <w:r>
              <w:rPr>
                <w:rFonts w:ascii="宋体" w:hAnsi="宋体" w:hint="eastAsia"/>
                <w:color w:val="000000"/>
                <w:lang w:eastAsia="zh-Hans"/>
              </w:rPr>
              <w:t>46,705,448.29</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64418" w14:textId="77777777" w:rsidR="009857A8" w:rsidRDefault="009857A8">
            <w:pPr>
              <w:jc w:val="right"/>
            </w:pPr>
            <w:r>
              <w:rPr>
                <w:rFonts w:ascii="宋体" w:hAnsi="宋体" w:hint="eastAsia"/>
                <w:color w:val="000000"/>
                <w:lang w:eastAsia="zh-Hans"/>
              </w:rPr>
              <w:t>5.80</w:t>
            </w:r>
          </w:p>
        </w:tc>
      </w:tr>
      <w:tr w:rsidR="004046E9" w14:paraId="7470AEAF"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915D7" w14:textId="77777777" w:rsidR="009857A8" w:rsidRDefault="009857A8">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7C228" w14:textId="77777777" w:rsidR="009857A8" w:rsidRDefault="009857A8">
            <w:pPr>
              <w:jc w:val="right"/>
            </w:pPr>
            <w:r>
              <w:rPr>
                <w:rFonts w:ascii="宋体" w:hAnsi="宋体" w:hint="eastAsia"/>
                <w:color w:val="000000"/>
                <w:lang w:eastAsia="zh-Hans"/>
              </w:rPr>
              <w:t>49,965,349.34</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04556" w14:textId="77777777" w:rsidR="009857A8" w:rsidRDefault="009857A8">
            <w:pPr>
              <w:jc w:val="right"/>
            </w:pPr>
            <w:r>
              <w:rPr>
                <w:rFonts w:ascii="宋体" w:hAnsi="宋体" w:hint="eastAsia"/>
                <w:color w:val="000000"/>
                <w:lang w:eastAsia="zh-Hans"/>
              </w:rPr>
              <w:t>6.20</w:t>
            </w:r>
          </w:p>
        </w:tc>
      </w:tr>
      <w:tr w:rsidR="004046E9" w14:paraId="6D7CEB1F"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A637E" w14:textId="77777777" w:rsidR="009857A8" w:rsidRDefault="009857A8">
            <w:pPr>
              <w:jc w:val="left"/>
            </w:pPr>
            <w:r>
              <w:rPr>
                <w:rFonts w:ascii="宋体" w:hAnsi="宋体" w:hint="eastAsia"/>
                <w:color w:val="000000"/>
                <w:lang w:eastAsia="zh-Hans"/>
              </w:rPr>
              <w:t>消费者常用品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78C40" w14:textId="77777777" w:rsidR="009857A8" w:rsidRDefault="009857A8">
            <w:pPr>
              <w:jc w:val="right"/>
            </w:pPr>
            <w:r>
              <w:rPr>
                <w:rFonts w:ascii="宋体" w:hAnsi="宋体" w:hint="eastAsia"/>
                <w:color w:val="000000"/>
                <w:lang w:eastAsia="zh-Hans"/>
              </w:rPr>
              <w:t>75,076,886.04</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C44EC" w14:textId="77777777" w:rsidR="009857A8" w:rsidRDefault="009857A8">
            <w:pPr>
              <w:jc w:val="right"/>
            </w:pPr>
            <w:r>
              <w:rPr>
                <w:rFonts w:ascii="宋体" w:hAnsi="宋体" w:hint="eastAsia"/>
                <w:color w:val="000000"/>
                <w:lang w:eastAsia="zh-Hans"/>
              </w:rPr>
              <w:t>9.32</w:t>
            </w:r>
          </w:p>
        </w:tc>
      </w:tr>
      <w:tr w:rsidR="004046E9" w14:paraId="22369A5E"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4F8D9" w14:textId="77777777" w:rsidR="009857A8" w:rsidRDefault="009857A8">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B8EF3" w14:textId="77777777" w:rsidR="009857A8" w:rsidRDefault="009857A8">
            <w:pPr>
              <w:jc w:val="right"/>
            </w:pPr>
            <w:r>
              <w:rPr>
                <w:rFonts w:ascii="宋体" w:hAnsi="宋体" w:hint="eastAsia"/>
                <w:color w:val="000000"/>
                <w:lang w:eastAsia="zh-Hans"/>
              </w:rPr>
              <w:t>49,676,647.89</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7CC55" w14:textId="77777777" w:rsidR="009857A8" w:rsidRDefault="009857A8">
            <w:pPr>
              <w:jc w:val="right"/>
            </w:pPr>
            <w:r>
              <w:rPr>
                <w:rFonts w:ascii="宋体" w:hAnsi="宋体" w:hint="eastAsia"/>
                <w:color w:val="000000"/>
                <w:lang w:eastAsia="zh-Hans"/>
              </w:rPr>
              <w:t>6.17</w:t>
            </w:r>
          </w:p>
        </w:tc>
      </w:tr>
      <w:tr w:rsidR="004046E9" w14:paraId="19B2D3FF"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CCD88C" w14:textId="77777777" w:rsidR="009857A8" w:rsidRDefault="009857A8">
            <w:pPr>
              <w:jc w:val="left"/>
            </w:pPr>
            <w:r>
              <w:rPr>
                <w:rFonts w:ascii="宋体" w:hAnsi="宋体" w:hint="eastAsia"/>
                <w:color w:val="000000"/>
                <w:lang w:eastAsia="zh-Hans"/>
              </w:rPr>
              <w:t>金融</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C48E2" w14:textId="77777777" w:rsidR="009857A8" w:rsidRDefault="009857A8">
            <w:pPr>
              <w:jc w:val="right"/>
            </w:pPr>
            <w:r>
              <w:rPr>
                <w:rFonts w:ascii="宋体" w:hAnsi="宋体" w:hint="eastAsia"/>
                <w:color w:val="000000"/>
                <w:lang w:eastAsia="zh-Hans"/>
              </w:rPr>
              <w:t>157,097,012.02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4A74B" w14:textId="77777777" w:rsidR="009857A8" w:rsidRDefault="009857A8">
            <w:pPr>
              <w:jc w:val="right"/>
            </w:pPr>
            <w:r>
              <w:rPr>
                <w:rFonts w:ascii="宋体" w:hAnsi="宋体" w:hint="eastAsia"/>
                <w:color w:val="000000"/>
                <w:lang w:eastAsia="zh-Hans"/>
              </w:rPr>
              <w:t>19.50</w:t>
            </w:r>
          </w:p>
        </w:tc>
      </w:tr>
      <w:tr w:rsidR="004046E9" w14:paraId="1BE30E00"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B98E7" w14:textId="77777777" w:rsidR="009857A8" w:rsidRDefault="009857A8">
            <w:pPr>
              <w:jc w:val="left"/>
            </w:pPr>
            <w:r>
              <w:rPr>
                <w:rFonts w:ascii="宋体" w:hAnsi="宋体" w:hint="eastAsia"/>
                <w:color w:val="000000"/>
                <w:lang w:eastAsia="zh-Hans"/>
              </w:rPr>
              <w:lastRenderedPageBreak/>
              <w:t>医疗保健</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5C9C2" w14:textId="77777777" w:rsidR="009857A8" w:rsidRDefault="009857A8">
            <w:pPr>
              <w:jc w:val="right"/>
            </w:pPr>
            <w:r>
              <w:rPr>
                <w:rFonts w:ascii="宋体" w:hAnsi="宋体" w:hint="eastAsia"/>
                <w:color w:val="000000"/>
                <w:lang w:eastAsia="zh-Hans"/>
              </w:rPr>
              <w:t>84,702,399.32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39EA6B" w14:textId="77777777" w:rsidR="009857A8" w:rsidRDefault="009857A8">
            <w:pPr>
              <w:jc w:val="right"/>
            </w:pPr>
            <w:r>
              <w:rPr>
                <w:rFonts w:ascii="宋体" w:hAnsi="宋体" w:hint="eastAsia"/>
                <w:color w:val="000000"/>
                <w:lang w:eastAsia="zh-Hans"/>
              </w:rPr>
              <w:t>10.51</w:t>
            </w:r>
          </w:p>
        </w:tc>
      </w:tr>
      <w:tr w:rsidR="004046E9" w14:paraId="7B242DBE"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CC4AD" w14:textId="77777777" w:rsidR="009857A8" w:rsidRDefault="009857A8">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22745" w14:textId="77777777" w:rsidR="009857A8" w:rsidRDefault="009857A8">
            <w:pPr>
              <w:jc w:val="right"/>
            </w:pPr>
            <w:r>
              <w:rPr>
                <w:rFonts w:ascii="宋体" w:hAnsi="宋体" w:hint="eastAsia"/>
                <w:color w:val="000000"/>
                <w:lang w:eastAsia="zh-Hans"/>
              </w:rPr>
              <w:t>120,351,090.00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1956D0" w14:textId="77777777" w:rsidR="009857A8" w:rsidRDefault="009857A8">
            <w:pPr>
              <w:jc w:val="right"/>
            </w:pPr>
            <w:r>
              <w:rPr>
                <w:rFonts w:ascii="宋体" w:hAnsi="宋体" w:hint="eastAsia"/>
                <w:color w:val="000000"/>
                <w:lang w:eastAsia="zh-Hans"/>
              </w:rPr>
              <w:t>14.94</w:t>
            </w:r>
          </w:p>
        </w:tc>
      </w:tr>
      <w:tr w:rsidR="004046E9" w14:paraId="7B210F09"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BDD77" w14:textId="77777777" w:rsidR="009857A8" w:rsidRDefault="009857A8">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BF96C" w14:textId="77777777" w:rsidR="009857A8" w:rsidRDefault="009857A8">
            <w:pPr>
              <w:jc w:val="right"/>
            </w:pPr>
            <w:r>
              <w:rPr>
                <w:rFonts w:ascii="宋体" w:hAnsi="宋体" w:hint="eastAsia"/>
                <w:color w:val="000000"/>
                <w:lang w:eastAsia="zh-Hans"/>
              </w:rPr>
              <w:t>82,673,165.50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C59E2" w14:textId="77777777" w:rsidR="009857A8" w:rsidRDefault="009857A8">
            <w:pPr>
              <w:jc w:val="right"/>
            </w:pPr>
            <w:r>
              <w:rPr>
                <w:rFonts w:ascii="宋体" w:hAnsi="宋体" w:hint="eastAsia"/>
                <w:color w:val="000000"/>
                <w:lang w:eastAsia="zh-Hans"/>
              </w:rPr>
              <w:t>10.26</w:t>
            </w:r>
          </w:p>
        </w:tc>
      </w:tr>
      <w:tr w:rsidR="004046E9" w14:paraId="37493891"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AC79A" w14:textId="77777777" w:rsidR="009857A8" w:rsidRDefault="009857A8">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8382F" w14:textId="77777777" w:rsidR="009857A8" w:rsidRDefault="009857A8">
            <w:pPr>
              <w:jc w:val="right"/>
            </w:pPr>
            <w:r>
              <w:rPr>
                <w:rFonts w:ascii="宋体" w:hAnsi="宋体" w:hint="eastAsia"/>
                <w:color w:val="000000"/>
                <w:lang w:eastAsia="zh-Hans"/>
              </w:rPr>
              <w:t>17,678,552.96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049B9" w14:textId="77777777" w:rsidR="009857A8" w:rsidRDefault="009857A8">
            <w:pPr>
              <w:jc w:val="right"/>
            </w:pPr>
            <w:r>
              <w:rPr>
                <w:rFonts w:ascii="宋体" w:hAnsi="宋体" w:hint="eastAsia"/>
                <w:color w:val="000000"/>
                <w:lang w:eastAsia="zh-Hans"/>
              </w:rPr>
              <w:t>2.19</w:t>
            </w:r>
          </w:p>
        </w:tc>
      </w:tr>
      <w:tr w:rsidR="004046E9" w14:paraId="0FDAE2A4"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0BDDE8" w14:textId="77777777" w:rsidR="009857A8" w:rsidRDefault="009857A8">
            <w:pPr>
              <w:jc w:val="left"/>
            </w:pPr>
            <w:r>
              <w:rPr>
                <w:rFonts w:ascii="宋体" w:hAnsi="宋体" w:hint="eastAsia"/>
                <w:color w:val="000000"/>
                <w:lang w:eastAsia="zh-Hans"/>
              </w:rPr>
              <w:t>公用事业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CCED8" w14:textId="77777777" w:rsidR="009857A8" w:rsidRDefault="009857A8">
            <w:pPr>
              <w:jc w:val="right"/>
            </w:pPr>
            <w:r>
              <w:rPr>
                <w:rFonts w:ascii="宋体" w:hAnsi="宋体" w:hint="eastAsia"/>
                <w:color w:val="000000"/>
                <w:lang w:eastAsia="zh-Hans"/>
              </w:rPr>
              <w:t>53,809,741.66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80BD5" w14:textId="77777777" w:rsidR="009857A8" w:rsidRDefault="009857A8">
            <w:pPr>
              <w:jc w:val="right"/>
            </w:pPr>
            <w:r>
              <w:rPr>
                <w:rFonts w:ascii="宋体" w:hAnsi="宋体" w:hint="eastAsia"/>
                <w:color w:val="000000"/>
                <w:lang w:eastAsia="zh-Hans"/>
              </w:rPr>
              <w:t>6.68</w:t>
            </w:r>
          </w:p>
        </w:tc>
      </w:tr>
      <w:tr w:rsidR="004046E9" w14:paraId="0042E870" w14:textId="77777777">
        <w:trPr>
          <w:divId w:val="74168349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57595" w14:textId="77777777" w:rsidR="009857A8" w:rsidRDefault="009857A8">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CC453" w14:textId="77777777" w:rsidR="009857A8" w:rsidRDefault="009857A8">
            <w:pPr>
              <w:jc w:val="right"/>
            </w:pPr>
            <w:r>
              <w:rPr>
                <w:rFonts w:ascii="宋体" w:hAnsi="宋体" w:hint="eastAsia"/>
                <w:color w:val="000000"/>
                <w:lang w:eastAsia="zh-Hans"/>
              </w:rPr>
              <w:t>737,736,293.02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46CE9" w14:textId="77777777" w:rsidR="009857A8" w:rsidRDefault="009857A8">
            <w:pPr>
              <w:jc w:val="right"/>
            </w:pPr>
            <w:r>
              <w:rPr>
                <w:rFonts w:ascii="宋体" w:hAnsi="宋体" w:hint="eastAsia"/>
                <w:color w:val="000000"/>
                <w:lang w:eastAsia="zh-Hans"/>
              </w:rPr>
              <w:t>91.57</w:t>
            </w:r>
          </w:p>
        </w:tc>
      </w:tr>
    </w:tbl>
    <w:p w14:paraId="21DBB03C" w14:textId="77777777" w:rsidR="009857A8" w:rsidRDefault="009857A8">
      <w:pPr>
        <w:spacing w:line="360" w:lineRule="auto"/>
        <w:jc w:val="left"/>
        <w:divId w:val="2021807082"/>
      </w:pPr>
      <w:bookmarkStart w:id="238" w:name="_Toc247616244"/>
      <w:bookmarkStart w:id="239" w:name="_Toc433036708"/>
      <w:bookmarkStart w:id="240" w:name="_Toc247613259"/>
      <w:bookmarkStart w:id="241" w:name="m08QD_04_01"/>
      <w:bookmarkStart w:id="242" w:name="m07_04_07_02"/>
      <w:bookmarkEnd w:id="235"/>
      <w:bookmarkEnd w:id="236"/>
      <w:bookmarkEnd w:id="237"/>
      <w:r>
        <w:rPr>
          <w:rFonts w:ascii="宋体" w:hAnsi="宋体" w:hint="eastAsia"/>
          <w:szCs w:val="21"/>
        </w:rPr>
        <w:t>注：</w:t>
      </w:r>
      <w:r>
        <w:rPr>
          <w:rFonts w:ascii="宋体" w:hAnsi="宋体" w:hint="eastAsia"/>
          <w:szCs w:val="21"/>
          <w:lang w:eastAsia="zh-Hans"/>
        </w:rPr>
        <w:t>以上分类采用全球行业分类标准(GICS)。</w:t>
      </w:r>
      <w:bookmarkEnd w:id="238"/>
      <w:bookmarkEnd w:id="239"/>
      <w:bookmarkEnd w:id="240"/>
      <w:r>
        <w:rPr>
          <w:rFonts w:ascii="宋体" w:hAnsi="宋体" w:hint="eastAsia"/>
          <w:szCs w:val="21"/>
          <w:lang w:eastAsia="zh-Hans"/>
        </w:rPr>
        <w:t xml:space="preserve"> </w:t>
      </w:r>
    </w:p>
    <w:p w14:paraId="0404B356" w14:textId="77777777" w:rsidR="009857A8" w:rsidRDefault="009857A8">
      <w:pPr>
        <w:pStyle w:val="XBRLTitle2"/>
        <w:spacing w:before="156" w:line="360" w:lineRule="auto"/>
        <w:ind w:left="454"/>
      </w:pPr>
      <w:bookmarkStart w:id="243" w:name="_Toc5140882991"/>
      <w:bookmarkStart w:id="244" w:name="_Toc480465441"/>
      <w:bookmarkStart w:id="245" w:name="_Toc459213786"/>
      <w:bookmarkStart w:id="246" w:name="_Toc456107140"/>
      <w:bookmarkStart w:id="247" w:name="_Toc438654095"/>
      <w:bookmarkStart w:id="248" w:name="_Toc448480307"/>
      <w:bookmarkStart w:id="249" w:name="_Toc513542670"/>
      <w:bookmarkStart w:id="250" w:name="_Toc512696272"/>
      <w:bookmarkStart w:id="251" w:name="_Toc512612275"/>
      <w:bookmarkStart w:id="252" w:name="_Toc512612099"/>
      <w:bookmarkStart w:id="253" w:name="_Toc512611303"/>
      <w:bookmarkEnd w:id="234"/>
      <w:r>
        <w:rPr>
          <w:rFonts w:eastAsia="宋体" w:hint="eastAsia"/>
        </w:rPr>
        <w:t>期末按公允价值占基金资产净值比例大小排序的权益投资明细</w:t>
      </w:r>
      <w:bookmarkEnd w:id="243"/>
      <w:r>
        <w:rPr>
          <w:rFonts w:eastAsia="宋体" w:hint="eastAsia"/>
        </w:rPr>
        <w:t xml:space="preserve"> </w:t>
      </w:r>
    </w:p>
    <w:p w14:paraId="43609B52" w14:textId="77777777" w:rsidR="009857A8" w:rsidRDefault="009857A8">
      <w:pPr>
        <w:pStyle w:val="XBRLTitle3"/>
        <w:spacing w:before="156" w:line="360" w:lineRule="auto"/>
        <w:ind w:left="624"/>
      </w:pPr>
      <w:bookmarkStart w:id="254" w:name="m510_01_1597"/>
      <w:r>
        <w:rPr>
          <w:rFonts w:hAnsi="宋体" w:hint="eastAsia"/>
        </w:rPr>
        <w:t>报告期末按公允价值占基金资产净值比例大小排序的前十名股票及存托凭证投资明细</w:t>
      </w:r>
      <w:bookmarkStart w:id="255" w:name="_Toc5140882992"/>
      <w:bookmarkStart w:id="256" w:name="_Toc513542671"/>
      <w:bookmarkStart w:id="257" w:name="_Toc480465442"/>
      <w:bookmarkEnd w:id="255"/>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542"/>
        <w:gridCol w:w="1371"/>
        <w:gridCol w:w="996"/>
        <w:gridCol w:w="643"/>
        <w:gridCol w:w="719"/>
        <w:gridCol w:w="636"/>
        <w:gridCol w:w="951"/>
        <w:gridCol w:w="1581"/>
        <w:gridCol w:w="1396"/>
      </w:tblGrid>
      <w:tr w:rsidR="004046E9" w14:paraId="310CD926" w14:textId="77777777">
        <w:trPr>
          <w:divId w:val="234321098"/>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C3371A7" w14:textId="77777777" w:rsidR="009857A8" w:rsidRDefault="009857A8">
            <w:pPr>
              <w:jc w:val="center"/>
            </w:pPr>
            <w:bookmarkStart w:id="258"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C9BFDD8" w14:textId="77777777" w:rsidR="009857A8" w:rsidRDefault="009857A8">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6609C7" w14:textId="77777777" w:rsidR="009857A8" w:rsidRDefault="009857A8">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0920DFC" w14:textId="77777777" w:rsidR="009857A8" w:rsidRDefault="009857A8">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E2F253B" w14:textId="77777777" w:rsidR="009857A8" w:rsidRDefault="009857A8">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B43A79" w14:textId="77777777" w:rsidR="009857A8" w:rsidRDefault="009857A8">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342ADF" w14:textId="77777777" w:rsidR="009857A8" w:rsidRDefault="009857A8">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5D6AAE" w14:textId="77777777" w:rsidR="009857A8" w:rsidRDefault="009857A8">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0D25B7E" w14:textId="77777777" w:rsidR="009857A8" w:rsidRDefault="009857A8">
            <w:pPr>
              <w:jc w:val="center"/>
            </w:pPr>
            <w:r>
              <w:rPr>
                <w:rFonts w:ascii="宋体" w:hAnsi="宋体" w:hint="eastAsia"/>
              </w:rPr>
              <w:t>占基金资产净值比例</w:t>
            </w:r>
            <w:r>
              <w:rPr>
                <w:rFonts w:ascii="宋体" w:hAnsi="宋体" w:hint="eastAsia"/>
                <w:lang w:eastAsia="zh-Hans"/>
              </w:rPr>
              <w:t xml:space="preserve">(%) </w:t>
            </w:r>
          </w:p>
        </w:tc>
      </w:tr>
      <w:tr w:rsidR="004046E9" w14:paraId="38E3B35B"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3619E" w14:textId="77777777" w:rsidR="009857A8" w:rsidRDefault="009857A8">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4C9EF" w14:textId="77777777" w:rsidR="009857A8" w:rsidRDefault="009857A8">
            <w:r>
              <w:rPr>
                <w:rFonts w:ascii="宋体" w:hAnsi="宋体" w:hint="eastAsia"/>
                <w:color w:val="000000"/>
                <w:lang w:eastAsia="zh-Hans"/>
              </w:rPr>
              <w:t>ASML HOLDING NV</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3A001" w14:textId="77777777" w:rsidR="009857A8" w:rsidRDefault="009857A8">
            <w:r>
              <w:rPr>
                <w:rFonts w:ascii="宋体" w:hAnsi="宋体" w:hint="eastAsia"/>
                <w:color w:val="000000"/>
                <w:lang w:eastAsia="zh-Hans"/>
              </w:rPr>
              <w:t>阿斯麦控股公司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E1976" w14:textId="77777777" w:rsidR="009857A8" w:rsidRDefault="009857A8">
            <w:r>
              <w:rPr>
                <w:rFonts w:ascii="宋体" w:hAnsi="宋体" w:hint="eastAsia"/>
                <w:color w:val="000000"/>
                <w:lang w:eastAsia="zh-Hans"/>
              </w:rPr>
              <w:t>ASML</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38834" w14:textId="77777777" w:rsidR="009857A8" w:rsidRDefault="009857A8">
            <w:r>
              <w:rPr>
                <w:rFonts w:ascii="宋体" w:hAnsi="宋体" w:hint="eastAsia"/>
                <w:color w:val="000000"/>
                <w:lang w:eastAsia="zh-Hans"/>
              </w:rPr>
              <w:t>荷兰交易所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CFF8A" w14:textId="77777777" w:rsidR="009857A8" w:rsidRDefault="009857A8">
            <w:r>
              <w:rPr>
                <w:rFonts w:ascii="宋体" w:hAnsi="宋体" w:hint="eastAsia"/>
                <w:color w:val="000000"/>
                <w:lang w:eastAsia="zh-Hans"/>
              </w:rPr>
              <w:t>荷兰</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E44A5E" w14:textId="77777777" w:rsidR="009857A8" w:rsidRDefault="009857A8">
            <w:pPr>
              <w:jc w:val="right"/>
            </w:pPr>
            <w:r>
              <w:rPr>
                <w:rFonts w:ascii="宋体" w:hAnsi="宋体" w:hint="eastAsia"/>
                <w:color w:val="000000"/>
                <w:lang w:eastAsia="zh-Hans"/>
              </w:rPr>
              <w:t>3,879</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05CE16" w14:textId="77777777" w:rsidR="009857A8" w:rsidRDefault="009857A8">
            <w:pPr>
              <w:jc w:val="right"/>
            </w:pPr>
            <w:r>
              <w:rPr>
                <w:rFonts w:ascii="宋体" w:hAnsi="宋体" w:hint="eastAsia"/>
                <w:color w:val="000000"/>
                <w:lang w:eastAsia="zh-Hans"/>
              </w:rPr>
              <w:t>34,427,986.30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02F50" w14:textId="77777777" w:rsidR="009857A8" w:rsidRDefault="009857A8">
            <w:pPr>
              <w:jc w:val="right"/>
            </w:pPr>
            <w:r>
              <w:rPr>
                <w:rFonts w:ascii="宋体" w:hAnsi="宋体" w:hint="eastAsia"/>
                <w:color w:val="000000"/>
                <w:lang w:eastAsia="zh-Hans"/>
              </w:rPr>
              <w:t>4.27</w:t>
            </w:r>
            <w:r>
              <w:rPr>
                <w:rFonts w:ascii="宋体" w:hAnsi="宋体" w:hint="eastAsia"/>
                <w:sz w:val="18"/>
              </w:rPr>
              <w:t xml:space="preserve"> </w:t>
            </w:r>
          </w:p>
        </w:tc>
      </w:tr>
      <w:tr w:rsidR="004046E9" w14:paraId="1147631D"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472BE" w14:textId="77777777" w:rsidR="009857A8" w:rsidRDefault="009857A8">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29DD8" w14:textId="77777777" w:rsidR="009857A8" w:rsidRDefault="009857A8">
            <w:r>
              <w:rPr>
                <w:rFonts w:ascii="宋体" w:hAnsi="宋体" w:hint="eastAsia"/>
                <w:color w:val="000000"/>
                <w:lang w:eastAsia="zh-Hans"/>
              </w:rPr>
              <w:t>NOVARTIS AG-REG</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E3180" w14:textId="77777777" w:rsidR="009857A8" w:rsidRDefault="009857A8">
            <w:r>
              <w:rPr>
                <w:rFonts w:ascii="宋体" w:hAnsi="宋体" w:hint="eastAsia"/>
                <w:color w:val="000000"/>
                <w:lang w:eastAsia="zh-Hans"/>
              </w:rPr>
              <w:t>诺华</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DC0A9" w14:textId="77777777" w:rsidR="009857A8" w:rsidRDefault="009857A8">
            <w:r>
              <w:rPr>
                <w:rFonts w:ascii="宋体" w:hAnsi="宋体" w:hint="eastAsia"/>
                <w:color w:val="000000"/>
                <w:lang w:eastAsia="zh-Hans"/>
              </w:rPr>
              <w:t>NOVN</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4DFF9" w14:textId="77777777" w:rsidR="009857A8" w:rsidRDefault="009857A8">
            <w:r>
              <w:rPr>
                <w:rFonts w:ascii="宋体" w:hAnsi="宋体" w:hint="eastAsia"/>
                <w:color w:val="000000"/>
                <w:lang w:eastAsia="zh-Hans"/>
              </w:rPr>
              <w:t>瑞士证券交易所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11F5B" w14:textId="77777777" w:rsidR="009857A8" w:rsidRDefault="009857A8">
            <w:r>
              <w:rPr>
                <w:rFonts w:ascii="宋体" w:hAnsi="宋体" w:hint="eastAsia"/>
                <w:color w:val="000000"/>
                <w:lang w:eastAsia="zh-Hans"/>
              </w:rPr>
              <w:t>瑞士</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CE656" w14:textId="77777777" w:rsidR="009857A8" w:rsidRDefault="009857A8">
            <w:pPr>
              <w:jc w:val="right"/>
            </w:pPr>
            <w:r>
              <w:rPr>
                <w:rFonts w:ascii="宋体" w:hAnsi="宋体" w:hint="eastAsia"/>
                <w:color w:val="000000"/>
                <w:lang w:eastAsia="zh-Hans"/>
              </w:rPr>
              <w:t>23,842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D49E3" w14:textId="77777777" w:rsidR="009857A8" w:rsidRDefault="009857A8">
            <w:pPr>
              <w:jc w:val="right"/>
            </w:pPr>
            <w:r>
              <w:rPr>
                <w:rFonts w:ascii="宋体" w:hAnsi="宋体" w:hint="eastAsia"/>
                <w:color w:val="000000"/>
                <w:lang w:eastAsia="zh-Hans"/>
              </w:rPr>
              <w:t>24,932,272.34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8385F" w14:textId="77777777" w:rsidR="009857A8" w:rsidRDefault="009857A8">
            <w:pPr>
              <w:jc w:val="right"/>
            </w:pPr>
            <w:r>
              <w:rPr>
                <w:rFonts w:ascii="宋体" w:hAnsi="宋体" w:hint="eastAsia"/>
                <w:color w:val="000000"/>
                <w:lang w:eastAsia="zh-Hans"/>
              </w:rPr>
              <w:t>3.09</w:t>
            </w:r>
            <w:r>
              <w:rPr>
                <w:rFonts w:ascii="宋体" w:hAnsi="宋体" w:hint="eastAsia"/>
                <w:sz w:val="18"/>
              </w:rPr>
              <w:t xml:space="preserve"> </w:t>
            </w:r>
          </w:p>
        </w:tc>
      </w:tr>
      <w:tr w:rsidR="004046E9" w14:paraId="75BC38FD"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217C3" w14:textId="77777777" w:rsidR="009857A8" w:rsidRDefault="009857A8">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697F1" w14:textId="77777777" w:rsidR="009857A8" w:rsidRDefault="009857A8">
            <w:r>
              <w:rPr>
                <w:rFonts w:ascii="宋体" w:hAnsi="宋体" w:hint="eastAsia"/>
                <w:color w:val="000000"/>
                <w:lang w:eastAsia="zh-Hans"/>
              </w:rPr>
              <w:t>COCA-COLA HBC AG</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FB505" w14:textId="77777777" w:rsidR="009857A8" w:rsidRDefault="009857A8">
            <w:r>
              <w:rPr>
                <w:rFonts w:ascii="宋体" w:hAnsi="宋体" w:hint="eastAsia"/>
                <w:color w:val="000000"/>
                <w:lang w:eastAsia="zh-Hans"/>
              </w:rPr>
              <w:t>可口可乐HBC股份公司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04AB1" w14:textId="77777777" w:rsidR="009857A8" w:rsidRDefault="009857A8">
            <w:r>
              <w:rPr>
                <w:rFonts w:ascii="宋体" w:hAnsi="宋体" w:hint="eastAsia"/>
                <w:color w:val="000000"/>
                <w:lang w:eastAsia="zh-Hans"/>
              </w:rPr>
              <w:t>CCH</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E6C40" w14:textId="77777777" w:rsidR="009857A8" w:rsidRDefault="009857A8">
            <w:r>
              <w:rPr>
                <w:rFonts w:ascii="宋体" w:hAnsi="宋体" w:hint="eastAsia"/>
                <w:color w:val="000000"/>
                <w:lang w:eastAsia="zh-Hans"/>
              </w:rPr>
              <w:t>英国伦敦交易所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BA825" w14:textId="77777777" w:rsidR="009857A8" w:rsidRDefault="009857A8">
            <w:r>
              <w:rPr>
                <w:rFonts w:ascii="宋体" w:hAnsi="宋体" w:hint="eastAsia"/>
                <w:color w:val="000000"/>
                <w:lang w:eastAsia="zh-Hans"/>
              </w:rPr>
              <w:t>英国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E658F" w14:textId="77777777" w:rsidR="009857A8" w:rsidRDefault="009857A8">
            <w:pPr>
              <w:jc w:val="right"/>
            </w:pPr>
            <w:r>
              <w:rPr>
                <w:rFonts w:ascii="宋体" w:hAnsi="宋体" w:hint="eastAsia"/>
                <w:color w:val="000000"/>
                <w:lang w:eastAsia="zh-Hans"/>
              </w:rPr>
              <w:t>60,380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B2226" w14:textId="77777777" w:rsidR="009857A8" w:rsidRDefault="009857A8">
            <w:pPr>
              <w:jc w:val="right"/>
            </w:pPr>
            <w:r>
              <w:rPr>
                <w:rFonts w:ascii="宋体" w:hAnsi="宋体" w:hint="eastAsia"/>
                <w:color w:val="000000"/>
                <w:lang w:eastAsia="zh-Hans"/>
              </w:rPr>
              <w:t>23,373,313.80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9E7BF" w14:textId="77777777" w:rsidR="009857A8" w:rsidRDefault="009857A8">
            <w:pPr>
              <w:jc w:val="right"/>
            </w:pPr>
            <w:r>
              <w:rPr>
                <w:rFonts w:ascii="宋体" w:hAnsi="宋体" w:hint="eastAsia"/>
                <w:color w:val="000000"/>
                <w:lang w:eastAsia="zh-Hans"/>
              </w:rPr>
              <w:t>2.90</w:t>
            </w:r>
            <w:r>
              <w:rPr>
                <w:rFonts w:ascii="宋体" w:hAnsi="宋体" w:hint="eastAsia"/>
                <w:sz w:val="18"/>
              </w:rPr>
              <w:t xml:space="preserve"> </w:t>
            </w:r>
          </w:p>
        </w:tc>
      </w:tr>
      <w:tr w:rsidR="004046E9" w14:paraId="301CBDE2"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3415D" w14:textId="77777777" w:rsidR="009857A8" w:rsidRDefault="009857A8">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4F6593" w14:textId="77777777" w:rsidR="009857A8" w:rsidRDefault="009857A8">
            <w:r>
              <w:rPr>
                <w:rFonts w:ascii="宋体" w:hAnsi="宋体" w:hint="eastAsia"/>
                <w:color w:val="000000"/>
                <w:lang w:eastAsia="zh-Hans"/>
              </w:rPr>
              <w:t>SHELL PLC (UK)</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89B9C" w14:textId="77777777" w:rsidR="009857A8" w:rsidRDefault="009857A8">
            <w:r>
              <w:rPr>
                <w:rFonts w:ascii="宋体" w:hAnsi="宋体" w:hint="eastAsia"/>
                <w:color w:val="000000"/>
                <w:lang w:eastAsia="zh-Hans"/>
              </w:rPr>
              <w:t>壳牌公共有限公司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67608" w14:textId="77777777" w:rsidR="009857A8" w:rsidRDefault="009857A8">
            <w:r>
              <w:rPr>
                <w:rFonts w:ascii="宋体" w:hAnsi="宋体" w:hint="eastAsia"/>
                <w:color w:val="000000"/>
                <w:lang w:eastAsia="zh-Hans"/>
              </w:rPr>
              <w:t>SHEL</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AD9E2" w14:textId="77777777" w:rsidR="009857A8" w:rsidRDefault="009857A8">
            <w:r>
              <w:rPr>
                <w:rFonts w:ascii="宋体" w:hAnsi="宋体" w:hint="eastAsia"/>
                <w:color w:val="000000"/>
                <w:lang w:eastAsia="zh-Hans"/>
              </w:rPr>
              <w:t>英国伦敦交易所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5B029" w14:textId="77777777" w:rsidR="009857A8" w:rsidRDefault="009857A8">
            <w:r>
              <w:rPr>
                <w:rFonts w:ascii="宋体" w:hAnsi="宋体" w:hint="eastAsia"/>
                <w:color w:val="000000"/>
                <w:lang w:eastAsia="zh-Hans"/>
              </w:rPr>
              <w:t>英国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3CE71" w14:textId="77777777" w:rsidR="009857A8" w:rsidRDefault="009857A8">
            <w:pPr>
              <w:jc w:val="right"/>
            </w:pPr>
            <w:r>
              <w:rPr>
                <w:rFonts w:ascii="宋体" w:hAnsi="宋体" w:hint="eastAsia"/>
                <w:color w:val="000000"/>
                <w:lang w:eastAsia="zh-Hans"/>
              </w:rPr>
              <w:t>71,552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38BB5" w14:textId="77777777" w:rsidR="009857A8" w:rsidRDefault="009857A8">
            <w:pPr>
              <w:jc w:val="right"/>
            </w:pPr>
            <w:r>
              <w:rPr>
                <w:rFonts w:ascii="宋体" w:hAnsi="宋体" w:hint="eastAsia"/>
                <w:color w:val="000000"/>
                <w:lang w:eastAsia="zh-Hans"/>
              </w:rPr>
              <w:t>23,373,070.92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3839B" w14:textId="77777777" w:rsidR="009857A8" w:rsidRDefault="009857A8">
            <w:pPr>
              <w:jc w:val="right"/>
            </w:pPr>
            <w:r>
              <w:rPr>
                <w:rFonts w:ascii="宋体" w:hAnsi="宋体" w:hint="eastAsia"/>
                <w:color w:val="000000"/>
                <w:lang w:eastAsia="zh-Hans"/>
              </w:rPr>
              <w:t>2.90</w:t>
            </w:r>
            <w:r>
              <w:rPr>
                <w:rFonts w:ascii="宋体" w:hAnsi="宋体" w:hint="eastAsia"/>
                <w:sz w:val="18"/>
              </w:rPr>
              <w:t xml:space="preserve"> </w:t>
            </w:r>
          </w:p>
        </w:tc>
      </w:tr>
      <w:tr w:rsidR="004046E9" w14:paraId="5F8F7AF5"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D4225" w14:textId="77777777" w:rsidR="009857A8" w:rsidRDefault="009857A8">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CF6460" w14:textId="77777777" w:rsidR="009857A8" w:rsidRDefault="009857A8">
            <w:r>
              <w:rPr>
                <w:rFonts w:ascii="宋体" w:hAnsi="宋体" w:hint="eastAsia"/>
                <w:color w:val="000000"/>
                <w:lang w:eastAsia="zh-Hans"/>
              </w:rPr>
              <w:t>SAFRAN SA</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A9609" w14:textId="77777777" w:rsidR="009857A8" w:rsidRDefault="009857A8">
            <w:r>
              <w:rPr>
                <w:rFonts w:ascii="宋体" w:hAnsi="宋体" w:hint="eastAsia"/>
                <w:color w:val="000000"/>
                <w:lang w:eastAsia="zh-Hans"/>
              </w:rPr>
              <w:t>赛峰股份有限公司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AA4F8" w14:textId="77777777" w:rsidR="009857A8" w:rsidRDefault="009857A8">
            <w:r>
              <w:rPr>
                <w:rFonts w:ascii="宋体" w:hAnsi="宋体" w:hint="eastAsia"/>
                <w:color w:val="000000"/>
                <w:lang w:eastAsia="zh-Hans"/>
              </w:rPr>
              <w:t>SAF</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47A5CC" w14:textId="77777777" w:rsidR="009857A8" w:rsidRDefault="009857A8">
            <w:r>
              <w:rPr>
                <w:rFonts w:ascii="宋体" w:hAnsi="宋体" w:hint="eastAsia"/>
                <w:color w:val="000000"/>
                <w:lang w:eastAsia="zh-Hans"/>
              </w:rPr>
              <w:t>巴黎交易所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04593" w14:textId="77777777" w:rsidR="009857A8" w:rsidRDefault="009857A8">
            <w:r>
              <w:rPr>
                <w:rFonts w:ascii="宋体" w:hAnsi="宋体" w:hint="eastAsia"/>
                <w:color w:val="000000"/>
                <w:lang w:eastAsia="zh-Hans"/>
              </w:rPr>
              <w:t>法国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9D04D" w14:textId="77777777" w:rsidR="009857A8" w:rsidRDefault="009857A8">
            <w:pPr>
              <w:jc w:val="right"/>
            </w:pPr>
            <w:r>
              <w:rPr>
                <w:rFonts w:ascii="宋体" w:hAnsi="宋体" w:hint="eastAsia"/>
                <w:color w:val="000000"/>
                <w:lang w:eastAsia="zh-Hans"/>
              </w:rPr>
              <w:t>9,380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8E0C8" w14:textId="77777777" w:rsidR="009857A8" w:rsidRDefault="009857A8">
            <w:pPr>
              <w:jc w:val="right"/>
            </w:pPr>
            <w:r>
              <w:rPr>
                <w:rFonts w:ascii="宋体" w:hAnsi="宋体" w:hint="eastAsia"/>
                <w:color w:val="000000"/>
                <w:lang w:eastAsia="zh-Hans"/>
              </w:rPr>
              <w:t>20,783,246.11</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42515" w14:textId="77777777" w:rsidR="009857A8" w:rsidRDefault="009857A8">
            <w:pPr>
              <w:jc w:val="right"/>
            </w:pPr>
            <w:r>
              <w:rPr>
                <w:rFonts w:ascii="宋体" w:hAnsi="宋体" w:hint="eastAsia"/>
                <w:color w:val="000000"/>
                <w:lang w:eastAsia="zh-Hans"/>
              </w:rPr>
              <w:t>2.58</w:t>
            </w:r>
            <w:r>
              <w:rPr>
                <w:rFonts w:ascii="宋体" w:hAnsi="宋体" w:hint="eastAsia"/>
                <w:sz w:val="18"/>
              </w:rPr>
              <w:t xml:space="preserve"> </w:t>
            </w:r>
          </w:p>
        </w:tc>
      </w:tr>
      <w:tr w:rsidR="004046E9" w14:paraId="3591E0CA"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CEB2A" w14:textId="77777777" w:rsidR="009857A8" w:rsidRDefault="009857A8">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65BC9" w14:textId="77777777" w:rsidR="009857A8" w:rsidRDefault="009857A8">
            <w:r>
              <w:rPr>
                <w:rFonts w:ascii="宋体" w:hAnsi="宋体" w:hint="eastAsia"/>
                <w:color w:val="000000"/>
                <w:lang w:eastAsia="zh-Hans"/>
              </w:rPr>
              <w:t>BANCO SANTANDER SA</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C0A54" w14:textId="77777777" w:rsidR="009857A8" w:rsidRDefault="009857A8">
            <w:r>
              <w:rPr>
                <w:rFonts w:ascii="宋体" w:hAnsi="宋体" w:hint="eastAsia"/>
                <w:color w:val="000000"/>
                <w:lang w:eastAsia="zh-Hans"/>
              </w:rPr>
              <w:t>桑坦德</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53054" w14:textId="77777777" w:rsidR="009857A8" w:rsidRDefault="009857A8">
            <w:r>
              <w:rPr>
                <w:rFonts w:ascii="宋体" w:hAnsi="宋体" w:hint="eastAsia"/>
                <w:color w:val="000000"/>
                <w:lang w:eastAsia="zh-Hans"/>
              </w:rPr>
              <w:t>SAN</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BCB00" w14:textId="77777777" w:rsidR="009857A8" w:rsidRDefault="009857A8">
            <w:r>
              <w:rPr>
                <w:rFonts w:ascii="宋体" w:hAnsi="宋体" w:hint="eastAsia"/>
                <w:color w:val="000000"/>
                <w:lang w:eastAsia="zh-Hans"/>
              </w:rPr>
              <w:t>西班牙证券交易所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79996" w14:textId="77777777" w:rsidR="009857A8" w:rsidRDefault="009857A8">
            <w:r>
              <w:rPr>
                <w:rFonts w:ascii="宋体" w:hAnsi="宋体" w:hint="eastAsia"/>
                <w:color w:val="000000"/>
                <w:lang w:eastAsia="zh-Hans"/>
              </w:rPr>
              <w:t>西班牙</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C007B" w14:textId="77777777" w:rsidR="009857A8" w:rsidRDefault="009857A8">
            <w:pPr>
              <w:jc w:val="right"/>
            </w:pPr>
            <w:r>
              <w:rPr>
                <w:rFonts w:ascii="宋体" w:hAnsi="宋体" w:hint="eastAsia"/>
                <w:color w:val="000000"/>
                <w:lang w:eastAsia="zh-Hans"/>
              </w:rPr>
              <w:t>272,143</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B6B98" w14:textId="77777777" w:rsidR="009857A8" w:rsidRDefault="009857A8">
            <w:pPr>
              <w:jc w:val="right"/>
            </w:pPr>
            <w:r>
              <w:rPr>
                <w:rFonts w:ascii="宋体" w:hAnsi="宋体" w:hint="eastAsia"/>
                <w:color w:val="000000"/>
                <w:lang w:eastAsia="zh-Hans"/>
              </w:rPr>
              <w:t>20,480,828.49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B51E8" w14:textId="77777777" w:rsidR="009857A8" w:rsidRDefault="009857A8">
            <w:pPr>
              <w:jc w:val="right"/>
            </w:pPr>
            <w:r>
              <w:rPr>
                <w:rFonts w:ascii="宋体" w:hAnsi="宋体" w:hint="eastAsia"/>
                <w:color w:val="000000"/>
                <w:lang w:eastAsia="zh-Hans"/>
              </w:rPr>
              <w:t>2.54</w:t>
            </w:r>
            <w:r>
              <w:rPr>
                <w:rFonts w:ascii="宋体" w:hAnsi="宋体" w:hint="eastAsia"/>
                <w:sz w:val="18"/>
              </w:rPr>
              <w:t xml:space="preserve"> </w:t>
            </w:r>
          </w:p>
        </w:tc>
      </w:tr>
      <w:tr w:rsidR="004046E9" w14:paraId="3FE61B88"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975FF" w14:textId="77777777" w:rsidR="009857A8" w:rsidRDefault="009857A8">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9346" w14:textId="77777777" w:rsidR="009857A8" w:rsidRDefault="009857A8">
            <w:r>
              <w:rPr>
                <w:rFonts w:ascii="宋体" w:hAnsi="宋体" w:hint="eastAsia"/>
                <w:color w:val="000000"/>
                <w:lang w:eastAsia="zh-Hans"/>
              </w:rPr>
              <w:t>ENGIE SA (FRANCE LISTING)</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7EC3E4" w14:textId="77777777" w:rsidR="009857A8" w:rsidRDefault="009857A8">
            <w:r>
              <w:rPr>
                <w:rFonts w:ascii="宋体" w:hAnsi="宋体" w:hint="eastAsia"/>
                <w:color w:val="000000"/>
                <w:lang w:eastAsia="zh-Hans"/>
              </w:rPr>
              <w:t>Engie公司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DC50A" w14:textId="77777777" w:rsidR="009857A8" w:rsidRDefault="009857A8">
            <w:r>
              <w:rPr>
                <w:rFonts w:ascii="宋体" w:hAnsi="宋体" w:hint="eastAsia"/>
                <w:color w:val="000000"/>
                <w:lang w:eastAsia="zh-Hans"/>
              </w:rPr>
              <w:t>ENGI</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CE7D9" w14:textId="77777777" w:rsidR="009857A8" w:rsidRDefault="009857A8">
            <w:r>
              <w:rPr>
                <w:rFonts w:ascii="宋体" w:hAnsi="宋体" w:hint="eastAsia"/>
                <w:color w:val="000000"/>
                <w:lang w:eastAsia="zh-Hans"/>
              </w:rPr>
              <w:t>巴黎交易所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77128" w14:textId="77777777" w:rsidR="009857A8" w:rsidRDefault="009857A8">
            <w:r>
              <w:rPr>
                <w:rFonts w:ascii="宋体" w:hAnsi="宋体" w:hint="eastAsia"/>
                <w:color w:val="000000"/>
                <w:lang w:eastAsia="zh-Hans"/>
              </w:rPr>
              <w:t>法国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CF928" w14:textId="77777777" w:rsidR="009857A8" w:rsidRDefault="009857A8">
            <w:pPr>
              <w:jc w:val="right"/>
            </w:pPr>
            <w:r>
              <w:rPr>
                <w:rFonts w:ascii="宋体" w:hAnsi="宋体" w:hint="eastAsia"/>
                <w:color w:val="000000"/>
                <w:lang w:eastAsia="zh-Hans"/>
              </w:rPr>
              <w:t>81,834</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BF1D1F" w14:textId="77777777" w:rsidR="009857A8" w:rsidRDefault="009857A8">
            <w:pPr>
              <w:jc w:val="right"/>
            </w:pPr>
            <w:r>
              <w:rPr>
                <w:rFonts w:ascii="宋体" w:hAnsi="宋体" w:hint="eastAsia"/>
                <w:color w:val="000000"/>
                <w:lang w:eastAsia="zh-Hans"/>
              </w:rPr>
              <w:t>17,982,681.23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CDA79" w14:textId="77777777" w:rsidR="009857A8" w:rsidRDefault="009857A8">
            <w:pPr>
              <w:jc w:val="right"/>
            </w:pPr>
            <w:r>
              <w:rPr>
                <w:rFonts w:ascii="宋体" w:hAnsi="宋体" w:hint="eastAsia"/>
                <w:color w:val="000000"/>
                <w:lang w:eastAsia="zh-Hans"/>
              </w:rPr>
              <w:t>2.23</w:t>
            </w:r>
            <w:r>
              <w:rPr>
                <w:rFonts w:ascii="宋体" w:hAnsi="宋体" w:hint="eastAsia"/>
                <w:sz w:val="18"/>
              </w:rPr>
              <w:t xml:space="preserve"> </w:t>
            </w:r>
          </w:p>
        </w:tc>
      </w:tr>
      <w:tr w:rsidR="004046E9" w14:paraId="1F2D7C76"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B1448" w14:textId="77777777" w:rsidR="009857A8" w:rsidRDefault="009857A8">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6133B" w14:textId="77777777" w:rsidR="009857A8" w:rsidRDefault="009857A8">
            <w:r>
              <w:rPr>
                <w:rFonts w:ascii="宋体" w:hAnsi="宋体" w:hint="eastAsia"/>
                <w:color w:val="000000"/>
                <w:lang w:eastAsia="zh-Hans"/>
              </w:rPr>
              <w:t>ALLIANZ SE-REG</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C88B1" w14:textId="77777777" w:rsidR="009857A8" w:rsidRDefault="009857A8">
            <w:r>
              <w:rPr>
                <w:rFonts w:ascii="宋体" w:hAnsi="宋体" w:hint="eastAsia"/>
                <w:color w:val="000000"/>
                <w:lang w:eastAsia="zh-Hans"/>
              </w:rPr>
              <w:t>安联保险有限</w:t>
            </w:r>
            <w:r>
              <w:rPr>
                <w:rFonts w:ascii="宋体" w:hAnsi="宋体" w:hint="eastAsia"/>
                <w:color w:val="000000"/>
                <w:lang w:eastAsia="zh-Hans"/>
              </w:rPr>
              <w:lastRenderedPageBreak/>
              <w:t>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4A200" w14:textId="77777777" w:rsidR="009857A8" w:rsidRDefault="009857A8">
            <w:r>
              <w:rPr>
                <w:rFonts w:ascii="宋体" w:hAnsi="宋体" w:hint="eastAsia"/>
                <w:color w:val="000000"/>
                <w:lang w:eastAsia="zh-Hans"/>
              </w:rPr>
              <w:lastRenderedPageBreak/>
              <w:t>ALV</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B7C095" w14:textId="77777777" w:rsidR="009857A8" w:rsidRDefault="009857A8">
            <w:r>
              <w:rPr>
                <w:rFonts w:ascii="宋体" w:hAnsi="宋体" w:hint="eastAsia"/>
                <w:color w:val="000000"/>
                <w:lang w:eastAsia="zh-Hans"/>
              </w:rPr>
              <w:t>法兰克福</w:t>
            </w:r>
            <w:r>
              <w:rPr>
                <w:rFonts w:ascii="宋体" w:hAnsi="宋体" w:hint="eastAsia"/>
                <w:color w:val="000000"/>
                <w:lang w:eastAsia="zh-Hans"/>
              </w:rPr>
              <w:lastRenderedPageBreak/>
              <w:t>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3BADE" w14:textId="77777777" w:rsidR="009857A8" w:rsidRDefault="009857A8">
            <w:r>
              <w:rPr>
                <w:rFonts w:ascii="宋体" w:hAnsi="宋体" w:hint="eastAsia"/>
                <w:color w:val="000000"/>
                <w:lang w:eastAsia="zh-Hans"/>
              </w:rPr>
              <w:lastRenderedPageBreak/>
              <w:t>德国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4ACF6" w14:textId="77777777" w:rsidR="009857A8" w:rsidRDefault="009857A8">
            <w:pPr>
              <w:jc w:val="right"/>
            </w:pPr>
            <w:r>
              <w:rPr>
                <w:rFonts w:ascii="宋体" w:hAnsi="宋体" w:hint="eastAsia"/>
                <w:color w:val="000000"/>
                <w:lang w:eastAsia="zh-Hans"/>
              </w:rPr>
              <w:t>6,087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C6328" w14:textId="77777777" w:rsidR="009857A8" w:rsidRDefault="009857A8">
            <w:pPr>
              <w:jc w:val="right"/>
            </w:pPr>
            <w:r>
              <w:rPr>
                <w:rFonts w:ascii="宋体" w:hAnsi="宋体" w:hint="eastAsia"/>
                <w:color w:val="000000"/>
                <w:lang w:eastAsia="zh-Hans"/>
              </w:rPr>
              <w:t>17,343,816.07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4F73B" w14:textId="77777777" w:rsidR="009857A8" w:rsidRDefault="009857A8">
            <w:pPr>
              <w:jc w:val="right"/>
            </w:pPr>
            <w:r>
              <w:rPr>
                <w:rFonts w:ascii="宋体" w:hAnsi="宋体" w:hint="eastAsia"/>
                <w:color w:val="000000"/>
                <w:lang w:eastAsia="zh-Hans"/>
              </w:rPr>
              <w:t>2.15</w:t>
            </w:r>
            <w:r>
              <w:rPr>
                <w:rFonts w:ascii="宋体" w:hAnsi="宋体" w:hint="eastAsia"/>
                <w:sz w:val="18"/>
              </w:rPr>
              <w:t xml:space="preserve"> </w:t>
            </w:r>
          </w:p>
        </w:tc>
      </w:tr>
      <w:tr w:rsidR="004046E9" w14:paraId="2CA77B06"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C6F2B" w14:textId="77777777" w:rsidR="009857A8" w:rsidRDefault="009857A8">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19639" w14:textId="77777777" w:rsidR="009857A8" w:rsidRDefault="009857A8">
            <w:r>
              <w:rPr>
                <w:rFonts w:ascii="宋体" w:hAnsi="宋体" w:hint="eastAsia"/>
                <w:color w:val="000000"/>
                <w:lang w:eastAsia="zh-Hans"/>
              </w:rPr>
              <w:t>KONINKLIJKE AHOLD DELHAIZE N</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CB4C4" w14:textId="77777777" w:rsidR="009857A8" w:rsidRDefault="009857A8">
            <w:r>
              <w:rPr>
                <w:rFonts w:ascii="宋体" w:hAnsi="宋体" w:hint="eastAsia"/>
                <w:color w:val="000000"/>
                <w:lang w:eastAsia="zh-Hans"/>
              </w:rPr>
              <w:t>皇家阿霍德德尔海兹集团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6F958D" w14:textId="77777777" w:rsidR="009857A8" w:rsidRDefault="009857A8">
            <w:r>
              <w:rPr>
                <w:rFonts w:ascii="宋体" w:hAnsi="宋体" w:hint="eastAsia"/>
                <w:color w:val="000000"/>
                <w:lang w:eastAsia="zh-Hans"/>
              </w:rPr>
              <w:t>AD</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90D9B" w14:textId="77777777" w:rsidR="009857A8" w:rsidRDefault="009857A8">
            <w:r>
              <w:rPr>
                <w:rFonts w:ascii="宋体" w:hAnsi="宋体" w:hint="eastAsia"/>
                <w:color w:val="000000"/>
                <w:lang w:eastAsia="zh-Hans"/>
              </w:rPr>
              <w:t>荷兰交易所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B9C73" w14:textId="77777777" w:rsidR="009857A8" w:rsidRDefault="009857A8">
            <w:r>
              <w:rPr>
                <w:rFonts w:ascii="宋体" w:hAnsi="宋体" w:hint="eastAsia"/>
                <w:color w:val="000000"/>
                <w:lang w:eastAsia="zh-Hans"/>
              </w:rPr>
              <w:t>荷兰</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D908A" w14:textId="77777777" w:rsidR="009857A8" w:rsidRDefault="009857A8">
            <w:pPr>
              <w:jc w:val="right"/>
            </w:pPr>
            <w:r>
              <w:rPr>
                <w:rFonts w:ascii="宋体" w:hAnsi="宋体" w:hint="eastAsia"/>
                <w:color w:val="000000"/>
                <w:lang w:eastAsia="zh-Hans"/>
              </w:rPr>
              <w:t>51,487</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ED0C9" w14:textId="77777777" w:rsidR="009857A8" w:rsidRDefault="009857A8">
            <w:pPr>
              <w:jc w:val="right"/>
            </w:pPr>
            <w:r>
              <w:rPr>
                <w:rFonts w:ascii="宋体" w:hAnsi="宋体" w:hint="eastAsia"/>
                <w:color w:val="000000"/>
                <w:lang w:eastAsia="zh-Hans"/>
              </w:rPr>
              <w:t>16,450,495.94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550C" w14:textId="77777777" w:rsidR="009857A8" w:rsidRDefault="009857A8">
            <w:pPr>
              <w:jc w:val="right"/>
            </w:pPr>
            <w:r>
              <w:rPr>
                <w:rFonts w:ascii="宋体" w:hAnsi="宋体" w:hint="eastAsia"/>
                <w:color w:val="000000"/>
                <w:lang w:eastAsia="zh-Hans"/>
              </w:rPr>
              <w:t>2.04</w:t>
            </w:r>
            <w:r>
              <w:rPr>
                <w:rFonts w:ascii="宋体" w:hAnsi="宋体" w:hint="eastAsia"/>
                <w:sz w:val="18"/>
              </w:rPr>
              <w:t xml:space="preserve"> </w:t>
            </w:r>
          </w:p>
        </w:tc>
      </w:tr>
      <w:tr w:rsidR="004046E9" w14:paraId="49698855" w14:textId="77777777">
        <w:trPr>
          <w:divId w:val="234321098"/>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76637" w14:textId="77777777" w:rsidR="009857A8" w:rsidRDefault="009857A8">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923AE" w14:textId="77777777" w:rsidR="009857A8" w:rsidRDefault="009857A8">
            <w:r>
              <w:rPr>
                <w:rFonts w:ascii="宋体" w:hAnsi="宋体" w:hint="eastAsia"/>
                <w:color w:val="000000"/>
                <w:lang w:eastAsia="zh-Hans"/>
              </w:rPr>
              <w:t>RIO TINTO PLC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2ACEA6" w14:textId="77777777" w:rsidR="009857A8" w:rsidRDefault="009857A8">
            <w:r>
              <w:rPr>
                <w:rFonts w:ascii="宋体" w:hAnsi="宋体" w:hint="eastAsia"/>
                <w:color w:val="000000"/>
                <w:lang w:eastAsia="zh-Hans"/>
              </w:rPr>
              <w:t>力拓公司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67EEA" w14:textId="77777777" w:rsidR="009857A8" w:rsidRDefault="009857A8">
            <w:r>
              <w:rPr>
                <w:rFonts w:ascii="宋体" w:hAnsi="宋体" w:hint="eastAsia"/>
                <w:color w:val="000000"/>
                <w:lang w:eastAsia="zh-Hans"/>
              </w:rPr>
              <w:t>RIO</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F8ADC" w14:textId="77777777" w:rsidR="009857A8" w:rsidRDefault="009857A8">
            <w:r>
              <w:rPr>
                <w:rFonts w:ascii="宋体" w:hAnsi="宋体" w:hint="eastAsia"/>
                <w:color w:val="000000"/>
                <w:lang w:eastAsia="zh-Hans"/>
              </w:rPr>
              <w:t>英国伦敦交易所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EE813" w14:textId="77777777" w:rsidR="009857A8" w:rsidRDefault="009857A8">
            <w:r>
              <w:rPr>
                <w:rFonts w:ascii="宋体" w:hAnsi="宋体" w:hint="eastAsia"/>
                <w:color w:val="000000"/>
                <w:lang w:eastAsia="zh-Hans"/>
              </w:rPr>
              <w:t>英国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9E5AF" w14:textId="77777777" w:rsidR="009857A8" w:rsidRDefault="009857A8">
            <w:pPr>
              <w:jc w:val="right"/>
            </w:pPr>
            <w:r>
              <w:rPr>
                <w:rFonts w:ascii="宋体" w:hAnsi="宋体" w:hint="eastAsia"/>
                <w:color w:val="000000"/>
                <w:lang w:eastAsia="zh-Hans"/>
              </w:rPr>
              <w:t>24,030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D610A" w14:textId="77777777" w:rsidR="009857A8" w:rsidRDefault="009857A8">
            <w:pPr>
              <w:jc w:val="right"/>
            </w:pPr>
            <w:r>
              <w:rPr>
                <w:rFonts w:ascii="宋体" w:hAnsi="宋体" w:hint="eastAsia"/>
                <w:color w:val="000000"/>
                <w:lang w:eastAsia="zh-Hans"/>
              </w:rPr>
              <w:t>15,212,853.19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076C7" w14:textId="77777777" w:rsidR="009857A8" w:rsidRDefault="009857A8">
            <w:pPr>
              <w:jc w:val="right"/>
            </w:pPr>
            <w:r>
              <w:rPr>
                <w:rFonts w:ascii="宋体" w:hAnsi="宋体" w:hint="eastAsia"/>
                <w:color w:val="000000"/>
                <w:lang w:eastAsia="zh-Hans"/>
              </w:rPr>
              <w:t>1.89</w:t>
            </w:r>
            <w:r>
              <w:rPr>
                <w:rFonts w:ascii="宋体" w:hAnsi="宋体" w:hint="eastAsia"/>
                <w:sz w:val="18"/>
              </w:rPr>
              <w:t xml:space="preserve"> </w:t>
            </w:r>
          </w:p>
        </w:tc>
      </w:tr>
    </w:tbl>
    <w:bookmarkEnd w:id="258"/>
    <w:p w14:paraId="70A00F20" w14:textId="77777777" w:rsidR="009857A8" w:rsidRDefault="009857A8">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1"/>
      <w:r>
        <w:rPr>
          <w:rFonts w:ascii="宋体" w:hAnsi="宋体" w:hint="eastAsia"/>
        </w:rPr>
        <w:t xml:space="preserve"> </w:t>
      </w:r>
    </w:p>
    <w:p w14:paraId="47712E31" w14:textId="77777777" w:rsidR="009857A8" w:rsidRDefault="009857A8">
      <w:pPr>
        <w:pStyle w:val="XBRLTitle2"/>
        <w:spacing w:before="156" w:line="360" w:lineRule="auto"/>
        <w:ind w:left="454"/>
      </w:pPr>
      <w:bookmarkStart w:id="259" w:name="_Toc514088264"/>
      <w:bookmarkStart w:id="260" w:name="_Toc480465436"/>
      <w:bookmarkStart w:id="261" w:name="_Toc448480302"/>
      <w:bookmarkStart w:id="262" w:name="_Toc438654090"/>
      <w:bookmarkStart w:id="263" w:name="_Toc456107135"/>
      <w:bookmarkStart w:id="264" w:name="_Toc459213781"/>
      <w:bookmarkStart w:id="265" w:name="_Toc513542665"/>
      <w:bookmarkStart w:id="266" w:name="_Toc512696267"/>
      <w:bookmarkStart w:id="267" w:name="_Toc512612270"/>
      <w:bookmarkStart w:id="268" w:name="_Toc512612094"/>
      <w:bookmarkStart w:id="269" w:name="_Toc512611298"/>
      <w:bookmarkStart w:id="270" w:name="m505"/>
      <w:r>
        <w:rPr>
          <w:rFonts w:eastAsia="宋体" w:hint="eastAsia"/>
        </w:rPr>
        <w:t>报告期末按债券信用等级分类的债券投资组合</w:t>
      </w:r>
      <w:bookmarkEnd w:id="259"/>
      <w:bookmarkEnd w:id="260"/>
      <w:bookmarkEnd w:id="261"/>
      <w:bookmarkEnd w:id="262"/>
      <w:bookmarkEnd w:id="263"/>
      <w:bookmarkEnd w:id="264"/>
      <w:r>
        <w:rPr>
          <w:rFonts w:hint="eastAsia"/>
        </w:rPr>
        <w:t xml:space="preserve"> </w:t>
      </w:r>
      <w:bookmarkEnd w:id="265"/>
      <w:bookmarkEnd w:id="266"/>
      <w:bookmarkEnd w:id="267"/>
      <w:bookmarkEnd w:id="268"/>
      <w:bookmarkEnd w:id="269"/>
    </w:p>
    <w:p w14:paraId="5C05F979" w14:textId="77777777" w:rsidR="009857A8" w:rsidRDefault="009857A8">
      <w:pPr>
        <w:spacing w:line="360" w:lineRule="auto"/>
        <w:ind w:firstLineChars="200" w:firstLine="420"/>
        <w:jc w:val="left"/>
      </w:pPr>
      <w:r>
        <w:rPr>
          <w:rFonts w:ascii="宋体" w:hAnsi="宋体" w:hint="eastAsia"/>
        </w:rPr>
        <w:t>本基金本报告期末未持有债券。</w:t>
      </w:r>
    </w:p>
    <w:p w14:paraId="6C407178" w14:textId="77777777" w:rsidR="009857A8" w:rsidRDefault="009857A8">
      <w:pPr>
        <w:pStyle w:val="XBRLTitle2"/>
        <w:spacing w:before="156" w:line="360" w:lineRule="auto"/>
        <w:ind w:left="454"/>
      </w:pPr>
      <w:bookmarkStart w:id="271" w:name="_Toc514088265"/>
      <w:bookmarkStart w:id="272" w:name="_Toc480465437"/>
      <w:bookmarkStart w:id="273" w:name="_Toc448480303"/>
      <w:bookmarkStart w:id="274" w:name="_Toc438654091"/>
      <w:bookmarkStart w:id="275" w:name="_Toc456107136"/>
      <w:bookmarkStart w:id="276" w:name="_Toc459213782"/>
      <w:bookmarkStart w:id="277" w:name="_Toc513542666"/>
      <w:bookmarkStart w:id="278" w:name="_Toc512696268"/>
      <w:bookmarkStart w:id="279" w:name="_Toc512612271"/>
      <w:bookmarkStart w:id="280" w:name="_Toc512612095"/>
      <w:bookmarkStart w:id="281" w:name="_Toc512611299"/>
      <w:bookmarkStart w:id="282" w:name="m506"/>
      <w:bookmarkEnd w:id="270"/>
      <w:r>
        <w:rPr>
          <w:rFonts w:eastAsia="宋体" w:hint="eastAsia"/>
        </w:rPr>
        <w:t>报告期末按公允价值占基金资产净值比例大小排名的前五名债券投资明细</w:t>
      </w:r>
      <w:bookmarkEnd w:id="271"/>
      <w:bookmarkEnd w:id="272"/>
      <w:bookmarkEnd w:id="273"/>
      <w:bookmarkEnd w:id="274"/>
      <w:bookmarkEnd w:id="275"/>
      <w:bookmarkEnd w:id="276"/>
      <w:r>
        <w:rPr>
          <w:rFonts w:hint="eastAsia"/>
        </w:rPr>
        <w:t xml:space="preserve"> </w:t>
      </w:r>
      <w:bookmarkEnd w:id="277"/>
      <w:bookmarkEnd w:id="278"/>
      <w:bookmarkEnd w:id="279"/>
      <w:bookmarkEnd w:id="280"/>
      <w:bookmarkEnd w:id="281"/>
    </w:p>
    <w:p w14:paraId="7F4DF29D" w14:textId="77777777" w:rsidR="009857A8" w:rsidRDefault="009857A8">
      <w:pPr>
        <w:spacing w:line="360" w:lineRule="auto"/>
        <w:ind w:firstLineChars="200" w:firstLine="420"/>
        <w:jc w:val="left"/>
        <w:divId w:val="380175975"/>
      </w:pPr>
      <w:r>
        <w:rPr>
          <w:rFonts w:ascii="宋体" w:hAnsi="宋体" w:hint="eastAsia"/>
          <w:color w:val="000000"/>
          <w:szCs w:val="21"/>
          <w:lang w:eastAsia="zh-Hans"/>
        </w:rPr>
        <w:t>本基金本报告期末未持有债券。</w:t>
      </w:r>
    </w:p>
    <w:p w14:paraId="6C617222" w14:textId="77777777" w:rsidR="009857A8" w:rsidRDefault="009857A8">
      <w:pPr>
        <w:pStyle w:val="XBRLTitle2"/>
        <w:spacing w:before="156" w:line="360" w:lineRule="auto"/>
        <w:ind w:left="454"/>
      </w:pPr>
      <w:bookmarkStart w:id="283" w:name="_Toc514088266"/>
      <w:bookmarkStart w:id="284" w:name="_Toc480465438"/>
      <w:bookmarkStart w:id="285" w:name="_Toc448480304"/>
      <w:bookmarkStart w:id="286" w:name="_Toc438654092"/>
      <w:bookmarkStart w:id="287" w:name="_Toc456107137"/>
      <w:bookmarkStart w:id="288" w:name="_Toc459213783"/>
      <w:bookmarkStart w:id="289" w:name="_Toc513542667"/>
      <w:bookmarkStart w:id="290" w:name="_Toc512696269"/>
      <w:bookmarkStart w:id="291" w:name="_Toc512612272"/>
      <w:bookmarkStart w:id="292" w:name="_Toc512612096"/>
      <w:bookmarkStart w:id="293" w:name="_Toc512611300"/>
      <w:bookmarkStart w:id="294" w:name="m507"/>
      <w:bookmarkEnd w:id="282"/>
      <w:r>
        <w:rPr>
          <w:rFonts w:eastAsia="宋体" w:hint="eastAsia"/>
        </w:rPr>
        <w:t>报告期末按公允价值占基金资产净值比例大小排名的前十名资产支持证券投资明细</w:t>
      </w:r>
      <w:bookmarkEnd w:id="283"/>
      <w:bookmarkEnd w:id="284"/>
      <w:bookmarkEnd w:id="285"/>
      <w:bookmarkEnd w:id="286"/>
      <w:bookmarkEnd w:id="287"/>
      <w:bookmarkEnd w:id="288"/>
      <w:r>
        <w:rPr>
          <w:rFonts w:hint="eastAsia"/>
        </w:rPr>
        <w:t xml:space="preserve"> </w:t>
      </w:r>
      <w:bookmarkEnd w:id="289"/>
      <w:bookmarkEnd w:id="290"/>
      <w:bookmarkEnd w:id="291"/>
      <w:bookmarkEnd w:id="292"/>
      <w:bookmarkEnd w:id="293"/>
    </w:p>
    <w:p w14:paraId="7164815A" w14:textId="77777777" w:rsidR="009857A8" w:rsidRDefault="009857A8">
      <w:pPr>
        <w:spacing w:line="360" w:lineRule="auto"/>
        <w:ind w:firstLineChars="200" w:firstLine="420"/>
        <w:jc w:val="left"/>
        <w:divId w:val="433326168"/>
      </w:pPr>
      <w:r>
        <w:rPr>
          <w:rFonts w:ascii="宋体" w:hAnsi="宋体" w:hint="eastAsia"/>
          <w:color w:val="000000"/>
          <w:szCs w:val="21"/>
          <w:lang w:eastAsia="zh-Hans"/>
        </w:rPr>
        <w:t>本基金本报告期末未持有资产支持证券。</w:t>
      </w:r>
    </w:p>
    <w:p w14:paraId="37C35567" w14:textId="77777777" w:rsidR="009857A8" w:rsidRDefault="009857A8">
      <w:pPr>
        <w:pStyle w:val="XBRLTitle2"/>
        <w:spacing w:before="156" w:line="360" w:lineRule="auto"/>
        <w:ind w:left="454"/>
      </w:pPr>
      <w:bookmarkStart w:id="295" w:name="_Toc514088267"/>
      <w:bookmarkStart w:id="296" w:name="_Toc480465439"/>
      <w:bookmarkStart w:id="297" w:name="_Toc459213784"/>
      <w:bookmarkStart w:id="298" w:name="_Toc456107138"/>
      <w:bookmarkStart w:id="299" w:name="_Toc438654093"/>
      <w:bookmarkStart w:id="300" w:name="_Toc448480305"/>
      <w:bookmarkStart w:id="301" w:name="_Toc513542668"/>
      <w:bookmarkStart w:id="302" w:name="_Toc512696270"/>
      <w:bookmarkStart w:id="303" w:name="_Toc512612273"/>
      <w:bookmarkStart w:id="304" w:name="_Toc512612097"/>
      <w:bookmarkStart w:id="305" w:name="_Toc512611301"/>
      <w:bookmarkStart w:id="306" w:name="m508"/>
      <w:bookmarkEnd w:id="294"/>
      <w:r>
        <w:rPr>
          <w:rFonts w:eastAsia="宋体" w:hint="eastAsia"/>
        </w:rPr>
        <w:t>报告期末按公允价值占基金资产净值比例大小排名的前五名金融衍生品投资明细</w:t>
      </w:r>
      <w:bookmarkEnd w:id="295"/>
      <w:bookmarkEnd w:id="296"/>
      <w:bookmarkEnd w:id="297"/>
      <w:bookmarkEnd w:id="298"/>
      <w:bookmarkEnd w:id="299"/>
      <w:bookmarkEnd w:id="300"/>
      <w:r>
        <w:rPr>
          <w:rFonts w:hint="eastAsia"/>
        </w:rPr>
        <w:t xml:space="preserve"> </w:t>
      </w:r>
      <w:bookmarkEnd w:id="301"/>
      <w:bookmarkEnd w:id="302"/>
      <w:bookmarkEnd w:id="303"/>
      <w:bookmarkEnd w:id="304"/>
      <w:bookmarkEnd w:id="305"/>
    </w:p>
    <w:p w14:paraId="5BB0260F" w14:textId="77777777" w:rsidR="009857A8" w:rsidRDefault="009857A8">
      <w:pPr>
        <w:spacing w:line="360" w:lineRule="auto"/>
        <w:ind w:firstLineChars="200" w:firstLine="420"/>
        <w:divId w:val="745148791"/>
      </w:pPr>
      <w:bookmarkStart w:id="307"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7"/>
      <w:r>
        <w:rPr>
          <w:rFonts w:ascii="宋体" w:hAnsi="宋体" w:hint="eastAsia"/>
          <w:szCs w:val="24"/>
          <w:lang w:eastAsia="zh-Hans"/>
        </w:rPr>
        <w:t xml:space="preserve"> </w:t>
      </w:r>
    </w:p>
    <w:p w14:paraId="0FB0FEE5" w14:textId="77777777" w:rsidR="009857A8" w:rsidRDefault="009857A8">
      <w:pPr>
        <w:pStyle w:val="XBRLTitle2"/>
        <w:spacing w:before="156" w:line="360" w:lineRule="auto"/>
        <w:ind w:left="454"/>
      </w:pPr>
      <w:bookmarkStart w:id="308" w:name="_Toc514088268"/>
      <w:bookmarkStart w:id="309" w:name="_Toc480465440"/>
      <w:bookmarkStart w:id="310" w:name="_Toc459213785"/>
      <w:bookmarkStart w:id="311" w:name="_Toc456107139"/>
      <w:bookmarkStart w:id="312" w:name="_Toc438654094"/>
      <w:bookmarkStart w:id="313" w:name="_Toc448480306"/>
      <w:bookmarkStart w:id="314" w:name="_Toc513542669"/>
      <w:bookmarkStart w:id="315" w:name="_Toc512696271"/>
      <w:bookmarkStart w:id="316" w:name="_Toc512612274"/>
      <w:bookmarkStart w:id="317" w:name="_Toc512612098"/>
      <w:bookmarkStart w:id="318" w:name="_Toc512611302"/>
      <w:bookmarkStart w:id="319" w:name="m509"/>
      <w:bookmarkEnd w:id="306"/>
      <w:r>
        <w:rPr>
          <w:rFonts w:eastAsia="宋体" w:hint="eastAsia"/>
        </w:rPr>
        <w:t>报告期末按公允价值占基金资产净值比例大小排序的前十名基金投资明细</w:t>
      </w:r>
      <w:bookmarkEnd w:id="308"/>
      <w:bookmarkEnd w:id="309"/>
      <w:bookmarkEnd w:id="310"/>
      <w:bookmarkEnd w:id="311"/>
      <w:bookmarkEnd w:id="312"/>
      <w:bookmarkEnd w:id="313"/>
      <w:r>
        <w:rPr>
          <w:rFonts w:hint="eastAsia"/>
        </w:rPr>
        <w:t xml:space="preserve"> </w:t>
      </w:r>
      <w:bookmarkEnd w:id="314"/>
      <w:bookmarkEnd w:id="315"/>
      <w:bookmarkEnd w:id="316"/>
      <w:bookmarkEnd w:id="317"/>
      <w:bookmarkEnd w:id="318"/>
    </w:p>
    <w:p w14:paraId="142F4AD2" w14:textId="77777777" w:rsidR="009857A8" w:rsidRDefault="009857A8">
      <w:pPr>
        <w:spacing w:line="360" w:lineRule="auto"/>
        <w:ind w:firstLineChars="200" w:firstLine="420"/>
      </w:pPr>
      <w:bookmarkStart w:id="320" w:name="m08QD_10"/>
      <w:bookmarkEnd w:id="242"/>
      <w:r>
        <w:rPr>
          <w:rFonts w:ascii="宋体" w:hAnsi="宋体" w:hint="eastAsia"/>
          <w:szCs w:val="21"/>
          <w:lang w:eastAsia="zh-Hans"/>
        </w:rPr>
        <w:t>本基金本报告期末未持有基金。</w:t>
      </w:r>
      <w:r>
        <w:rPr>
          <w:rFonts w:ascii="宋体" w:hAnsi="宋体" w:hint="eastAsia"/>
          <w:lang w:eastAsia="zh-Hans"/>
        </w:rPr>
        <w:t xml:space="preserve"> </w:t>
      </w:r>
      <w:bookmarkEnd w:id="206"/>
      <w:bookmarkEnd w:id="207"/>
      <w:bookmarkEnd w:id="208"/>
      <w:bookmarkEnd w:id="209"/>
      <w:bookmarkEnd w:id="320"/>
    </w:p>
    <w:p w14:paraId="75561388" w14:textId="77777777" w:rsidR="009857A8" w:rsidRDefault="009857A8">
      <w:pPr>
        <w:pStyle w:val="XBRLTitle2"/>
        <w:spacing w:before="156" w:line="360" w:lineRule="auto"/>
        <w:ind w:left="454"/>
      </w:pPr>
      <w:bookmarkStart w:id="321" w:name="_Toc514088269"/>
      <w:bookmarkEnd w:id="319"/>
      <w:r>
        <w:rPr>
          <w:rFonts w:eastAsia="宋体" w:hint="eastAsia"/>
        </w:rPr>
        <w:t>投资组合报告附注</w:t>
      </w:r>
      <w:bookmarkEnd w:id="244"/>
      <w:bookmarkEnd w:id="245"/>
      <w:bookmarkEnd w:id="246"/>
      <w:bookmarkEnd w:id="247"/>
      <w:bookmarkEnd w:id="248"/>
      <w:bookmarkEnd w:id="249"/>
      <w:bookmarkEnd w:id="250"/>
      <w:bookmarkEnd w:id="251"/>
      <w:bookmarkEnd w:id="252"/>
      <w:bookmarkEnd w:id="253"/>
      <w:bookmarkEnd w:id="321"/>
      <w:r>
        <w:rPr>
          <w:rFonts w:eastAsia="宋体" w:hint="eastAsia"/>
        </w:rPr>
        <w:t xml:space="preserve"> </w:t>
      </w:r>
    </w:p>
    <w:p w14:paraId="02383FEC" w14:textId="77777777" w:rsidR="009857A8" w:rsidRDefault="009857A8">
      <w:pPr>
        <w:pStyle w:val="XBRLTitle3"/>
        <w:spacing w:before="156" w:line="360" w:lineRule="auto"/>
        <w:ind w:left="624"/>
      </w:pPr>
      <w:r>
        <w:rPr>
          <w:rFonts w:hAnsi="宋体" w:hint="eastAsia"/>
        </w:rPr>
        <w:t> </w:t>
      </w:r>
      <w:r>
        <w:rPr>
          <w:rFonts w:hAnsi="宋体" w:hint="eastAsia"/>
          <w:lang w:eastAsia="zh-CN"/>
        </w:rPr>
        <w:t xml:space="preserve"> </w:t>
      </w:r>
      <w:bookmarkStart w:id="322" w:name="_Toc514088270"/>
      <w:bookmarkEnd w:id="256"/>
      <w:bookmarkEnd w:id="257"/>
      <w:bookmarkEnd w:id="322"/>
      <w:r>
        <w:rPr>
          <w:rFonts w:hAnsi="宋体" w:hint="eastAsia"/>
        </w:rPr>
        <w:t xml:space="preserve"> </w:t>
      </w:r>
    </w:p>
    <w:p w14:paraId="42F8E96C" w14:textId="77777777" w:rsidR="009857A8" w:rsidRDefault="009857A8">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21F9FEA" w14:textId="77777777" w:rsidR="009857A8" w:rsidRDefault="009857A8">
      <w:pPr>
        <w:pStyle w:val="XBRLTitle3"/>
        <w:spacing w:before="156" w:line="360" w:lineRule="auto"/>
        <w:ind w:left="624"/>
      </w:pPr>
      <w:bookmarkStart w:id="323" w:name="m510_01_1598"/>
      <w:bookmarkEnd w:id="254"/>
      <w:r>
        <w:rPr>
          <w:rFonts w:hAnsi="宋体" w:hint="eastAsia"/>
        </w:rPr>
        <w:t> </w:t>
      </w:r>
      <w:r>
        <w:rPr>
          <w:rFonts w:hAnsi="宋体" w:hint="eastAsia"/>
          <w:lang w:eastAsia="zh-CN"/>
        </w:rPr>
        <w:t xml:space="preserve"> </w:t>
      </w:r>
      <w:bookmarkStart w:id="324" w:name="_Toc514088271"/>
      <w:bookmarkStart w:id="325" w:name="_Toc513542672"/>
      <w:bookmarkStart w:id="326" w:name="_Toc480465443"/>
      <w:bookmarkEnd w:id="324"/>
      <w:bookmarkEnd w:id="325"/>
      <w:bookmarkEnd w:id="326"/>
      <w:r>
        <w:rPr>
          <w:rFonts w:hAnsi="宋体" w:hint="eastAsia"/>
        </w:rPr>
        <w:t xml:space="preserve"> </w:t>
      </w:r>
    </w:p>
    <w:p w14:paraId="7246B004" w14:textId="77777777" w:rsidR="009857A8" w:rsidRDefault="009857A8">
      <w:pPr>
        <w:spacing w:line="360" w:lineRule="auto"/>
        <w:ind w:firstLineChars="200" w:firstLine="420"/>
      </w:pPr>
      <w:r>
        <w:rPr>
          <w:rFonts w:ascii="宋体" w:hAnsi="宋体" w:hint="eastAsia"/>
        </w:rPr>
        <w:t>报告期内本基金投资的前十名股票中没有在基金合同规定备选股票库之外的股票。</w:t>
      </w:r>
    </w:p>
    <w:p w14:paraId="1CDB8BC2" w14:textId="77777777" w:rsidR="009857A8" w:rsidRDefault="009857A8">
      <w:pPr>
        <w:pStyle w:val="XBRLTitle3"/>
        <w:spacing w:before="156" w:line="360" w:lineRule="auto"/>
        <w:ind w:left="624"/>
      </w:pPr>
      <w:bookmarkStart w:id="327" w:name="_Toc514088272"/>
      <w:bookmarkStart w:id="328" w:name="_Toc480465444"/>
      <w:bookmarkStart w:id="329" w:name="_Toc513542673"/>
      <w:bookmarkStart w:id="330" w:name="m510_02"/>
      <w:bookmarkEnd w:id="323"/>
      <w:r>
        <w:rPr>
          <w:rFonts w:hAnsi="宋体" w:hint="eastAsia"/>
        </w:rPr>
        <w:lastRenderedPageBreak/>
        <w:t>其他资产构成</w:t>
      </w:r>
      <w:bookmarkEnd w:id="327"/>
      <w:bookmarkEnd w:id="328"/>
      <w:r>
        <w:rPr>
          <w:rFonts w:hint="eastAsia"/>
        </w:rPr>
        <w:t xml:space="preserve"> </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046E9" w14:paraId="09D62764" w14:textId="77777777">
        <w:trPr>
          <w:divId w:val="70841098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D4029" w14:textId="77777777" w:rsidR="009857A8" w:rsidRDefault="009857A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31E97" w14:textId="77777777" w:rsidR="009857A8" w:rsidRDefault="009857A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95B74" w14:textId="77777777" w:rsidR="009857A8" w:rsidRDefault="009857A8">
            <w:pPr>
              <w:jc w:val="center"/>
            </w:pPr>
            <w:r>
              <w:rPr>
                <w:rFonts w:ascii="宋体" w:hAnsi="宋体" w:hint="eastAsia"/>
              </w:rPr>
              <w:t>金额（人民币元）</w:t>
            </w:r>
            <w:r>
              <w:t xml:space="preserve"> </w:t>
            </w:r>
          </w:p>
        </w:tc>
      </w:tr>
      <w:tr w:rsidR="004046E9" w14:paraId="78E8A615" w14:textId="77777777">
        <w:trPr>
          <w:divId w:val="7084109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1EE48" w14:textId="77777777" w:rsidR="009857A8" w:rsidRDefault="009857A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F40E3" w14:textId="77777777" w:rsidR="009857A8" w:rsidRDefault="009857A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8FA56" w14:textId="77777777" w:rsidR="009857A8" w:rsidRDefault="009857A8">
            <w:pPr>
              <w:jc w:val="right"/>
            </w:pPr>
            <w:r>
              <w:rPr>
                <w:rFonts w:ascii="宋体" w:hAnsi="宋体" w:hint="eastAsia"/>
              </w:rPr>
              <w:t>-</w:t>
            </w:r>
          </w:p>
        </w:tc>
      </w:tr>
      <w:tr w:rsidR="004046E9" w14:paraId="064C46EC" w14:textId="77777777">
        <w:trPr>
          <w:divId w:val="7084109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8703D" w14:textId="77777777" w:rsidR="009857A8" w:rsidRDefault="009857A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68A55" w14:textId="77777777" w:rsidR="009857A8" w:rsidRDefault="009857A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5C53C" w14:textId="77777777" w:rsidR="009857A8" w:rsidRDefault="009857A8">
            <w:pPr>
              <w:jc w:val="right"/>
            </w:pPr>
            <w:r>
              <w:rPr>
                <w:rFonts w:ascii="宋体" w:hAnsi="宋体" w:hint="eastAsia"/>
              </w:rPr>
              <w:t>-</w:t>
            </w:r>
          </w:p>
        </w:tc>
      </w:tr>
      <w:tr w:rsidR="004046E9" w14:paraId="09F4BCBA" w14:textId="77777777">
        <w:trPr>
          <w:divId w:val="7084109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98116" w14:textId="77777777" w:rsidR="009857A8" w:rsidRDefault="009857A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9E90F" w14:textId="77777777" w:rsidR="009857A8" w:rsidRDefault="009857A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EA38A" w14:textId="77777777" w:rsidR="009857A8" w:rsidRDefault="009857A8">
            <w:pPr>
              <w:jc w:val="right"/>
            </w:pPr>
            <w:r>
              <w:rPr>
                <w:rFonts w:ascii="宋体" w:hAnsi="宋体" w:hint="eastAsia"/>
              </w:rPr>
              <w:t>1,481,050.42</w:t>
            </w:r>
          </w:p>
        </w:tc>
      </w:tr>
      <w:tr w:rsidR="004046E9" w14:paraId="26C129EA" w14:textId="77777777">
        <w:trPr>
          <w:divId w:val="7084109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8EC03" w14:textId="77777777" w:rsidR="009857A8" w:rsidRDefault="009857A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2EAA8" w14:textId="77777777" w:rsidR="009857A8" w:rsidRDefault="009857A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11861" w14:textId="77777777" w:rsidR="009857A8" w:rsidRDefault="009857A8">
            <w:pPr>
              <w:jc w:val="right"/>
            </w:pPr>
            <w:r>
              <w:rPr>
                <w:rFonts w:ascii="宋体" w:hAnsi="宋体" w:hint="eastAsia"/>
              </w:rPr>
              <w:t>-</w:t>
            </w:r>
          </w:p>
        </w:tc>
      </w:tr>
      <w:tr w:rsidR="004046E9" w14:paraId="6613594A" w14:textId="77777777">
        <w:trPr>
          <w:divId w:val="7084109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1C668" w14:textId="77777777" w:rsidR="009857A8" w:rsidRDefault="009857A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559CD" w14:textId="77777777" w:rsidR="009857A8" w:rsidRDefault="009857A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2D508" w14:textId="77777777" w:rsidR="009857A8" w:rsidRDefault="009857A8">
            <w:pPr>
              <w:jc w:val="right"/>
            </w:pPr>
            <w:r>
              <w:rPr>
                <w:rFonts w:ascii="宋体" w:hAnsi="宋体" w:hint="eastAsia"/>
              </w:rPr>
              <w:t>9,333,795.69</w:t>
            </w:r>
          </w:p>
        </w:tc>
      </w:tr>
      <w:tr w:rsidR="004046E9" w14:paraId="353314E6" w14:textId="77777777">
        <w:trPr>
          <w:divId w:val="7084109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54D5E" w14:textId="77777777" w:rsidR="009857A8" w:rsidRDefault="009857A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5CEB0" w14:textId="77777777" w:rsidR="009857A8" w:rsidRDefault="009857A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710F9" w14:textId="77777777" w:rsidR="009857A8" w:rsidRDefault="009857A8">
            <w:pPr>
              <w:jc w:val="right"/>
            </w:pPr>
            <w:r>
              <w:rPr>
                <w:rFonts w:ascii="宋体" w:hAnsi="宋体" w:hint="eastAsia"/>
              </w:rPr>
              <w:t>-</w:t>
            </w:r>
          </w:p>
        </w:tc>
      </w:tr>
      <w:tr w:rsidR="004046E9" w14:paraId="5231E2BD" w14:textId="77777777">
        <w:trPr>
          <w:divId w:val="7084109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57960" w14:textId="77777777" w:rsidR="009857A8" w:rsidRDefault="009857A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E05BB" w14:textId="77777777" w:rsidR="009857A8" w:rsidRDefault="009857A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EB712" w14:textId="77777777" w:rsidR="009857A8" w:rsidRDefault="009857A8">
            <w:pPr>
              <w:jc w:val="right"/>
            </w:pPr>
            <w:r>
              <w:rPr>
                <w:rFonts w:ascii="宋体" w:hAnsi="宋体" w:hint="eastAsia"/>
              </w:rPr>
              <w:t>-</w:t>
            </w:r>
          </w:p>
        </w:tc>
      </w:tr>
      <w:tr w:rsidR="004046E9" w14:paraId="6788F873" w14:textId="77777777">
        <w:trPr>
          <w:divId w:val="7084109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44526" w14:textId="77777777" w:rsidR="009857A8" w:rsidRDefault="009857A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DB081" w14:textId="77777777" w:rsidR="009857A8" w:rsidRDefault="009857A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8F557" w14:textId="77777777" w:rsidR="009857A8" w:rsidRDefault="009857A8">
            <w:pPr>
              <w:jc w:val="right"/>
            </w:pPr>
            <w:r>
              <w:rPr>
                <w:rFonts w:ascii="宋体" w:hAnsi="宋体" w:hint="eastAsia"/>
              </w:rPr>
              <w:t>10,814,846.11</w:t>
            </w:r>
          </w:p>
        </w:tc>
      </w:tr>
    </w:tbl>
    <w:p w14:paraId="0CB0388F" w14:textId="77777777" w:rsidR="009857A8" w:rsidRDefault="009857A8">
      <w:pPr>
        <w:pStyle w:val="XBRLTitle3"/>
        <w:spacing w:before="156" w:line="360" w:lineRule="auto"/>
        <w:ind w:left="624"/>
      </w:pPr>
      <w:bookmarkStart w:id="331" w:name="_Toc514088273"/>
      <w:bookmarkStart w:id="332" w:name="_Toc480465445"/>
      <w:bookmarkStart w:id="333" w:name="_Toc513542674"/>
      <w:bookmarkStart w:id="334" w:name="m510_03"/>
      <w:bookmarkEnd w:id="330"/>
      <w:r>
        <w:rPr>
          <w:rFonts w:hAnsi="宋体" w:hint="eastAsia"/>
        </w:rPr>
        <w:t>报告期末持有的处于转股期的可转换债券明细</w:t>
      </w:r>
      <w:bookmarkEnd w:id="331"/>
      <w:bookmarkEnd w:id="332"/>
      <w:r>
        <w:rPr>
          <w:rFonts w:hint="eastAsia"/>
        </w:rPr>
        <w:t xml:space="preserve"> </w:t>
      </w:r>
      <w:bookmarkEnd w:id="333"/>
    </w:p>
    <w:p w14:paraId="5F768530" w14:textId="77777777" w:rsidR="009857A8" w:rsidRDefault="009857A8">
      <w:pPr>
        <w:spacing w:line="360" w:lineRule="auto"/>
        <w:ind w:firstLineChars="200" w:firstLine="420"/>
        <w:jc w:val="left"/>
        <w:divId w:val="1934973778"/>
      </w:pPr>
      <w:r>
        <w:rPr>
          <w:rFonts w:ascii="宋体" w:hAnsi="宋体" w:hint="eastAsia"/>
        </w:rPr>
        <w:t xml:space="preserve">本基金本报告期末未持有处于转股期的可转换债券。 </w:t>
      </w:r>
    </w:p>
    <w:p w14:paraId="60E067F7" w14:textId="77777777" w:rsidR="009857A8" w:rsidRDefault="009857A8">
      <w:pPr>
        <w:pStyle w:val="XBRLTitle3"/>
        <w:spacing w:before="156" w:line="360" w:lineRule="auto"/>
        <w:ind w:left="624"/>
      </w:pPr>
      <w:bookmarkStart w:id="335" w:name="_Toc514088274"/>
      <w:bookmarkStart w:id="336" w:name="_Toc480465446"/>
      <w:bookmarkStart w:id="337" w:name="_Toc513542675"/>
      <w:bookmarkStart w:id="338" w:name="m510_04"/>
      <w:bookmarkEnd w:id="334"/>
      <w:r>
        <w:rPr>
          <w:rFonts w:hAnsi="宋体" w:hint="eastAsia"/>
        </w:rPr>
        <w:t>报告期末前十名股票中存在流通受限情况的说明</w:t>
      </w:r>
      <w:bookmarkEnd w:id="335"/>
      <w:bookmarkEnd w:id="336"/>
      <w:r>
        <w:rPr>
          <w:rFonts w:hint="eastAsia"/>
        </w:rPr>
        <w:t xml:space="preserve"> </w:t>
      </w:r>
      <w:bookmarkEnd w:id="337"/>
    </w:p>
    <w:p w14:paraId="1C014D4B" w14:textId="77777777" w:rsidR="009857A8" w:rsidRDefault="009857A8">
      <w:pPr>
        <w:spacing w:line="360" w:lineRule="auto"/>
        <w:ind w:firstLineChars="200" w:firstLine="420"/>
        <w:jc w:val="left"/>
      </w:pPr>
      <w:r>
        <w:rPr>
          <w:rFonts w:ascii="宋体" w:hAnsi="宋体" w:hint="eastAsia"/>
        </w:rPr>
        <w:t>本基金本报告期末前十名股票中不存在流通受限情况。</w:t>
      </w:r>
      <w:bookmarkEnd w:id="19"/>
      <w:bookmarkEnd w:id="20"/>
      <w:bookmarkEnd w:id="21"/>
      <w:bookmarkEnd w:id="22"/>
      <w:bookmarkEnd w:id="23"/>
    </w:p>
    <w:p w14:paraId="78FEF28F" w14:textId="77777777" w:rsidR="009857A8" w:rsidRDefault="009857A8">
      <w:pPr>
        <w:pStyle w:val="XBRLTitle3"/>
        <w:spacing w:before="156" w:line="360" w:lineRule="auto"/>
        <w:ind w:left="624"/>
      </w:pPr>
      <w:bookmarkStart w:id="339" w:name="_Toc514088275"/>
      <w:bookmarkStart w:id="340" w:name="_Toc480465447"/>
      <w:bookmarkStart w:id="341" w:name="_Toc513542676"/>
      <w:bookmarkStart w:id="342" w:name="m510_05_1678"/>
      <w:bookmarkEnd w:id="338"/>
      <w:r>
        <w:rPr>
          <w:rFonts w:hAnsi="宋体" w:hint="eastAsia"/>
        </w:rPr>
        <w:t>投资组合报告附注的其他文字描述部分</w:t>
      </w:r>
      <w:bookmarkEnd w:id="339"/>
      <w:bookmarkEnd w:id="340"/>
      <w:bookmarkEnd w:id="341"/>
      <w:r>
        <w:rPr>
          <w:rFonts w:hAnsi="宋体" w:hint="eastAsia"/>
        </w:rPr>
        <w:t xml:space="preserve"> </w:t>
      </w:r>
    </w:p>
    <w:p w14:paraId="67AC609E" w14:textId="77777777" w:rsidR="009857A8" w:rsidRDefault="009857A8">
      <w:pPr>
        <w:spacing w:line="360" w:lineRule="auto"/>
        <w:ind w:firstLineChars="200" w:firstLine="420"/>
        <w:jc w:val="left"/>
      </w:pPr>
      <w:r>
        <w:rPr>
          <w:rFonts w:ascii="宋体" w:hAnsi="宋体" w:hint="eastAsia"/>
        </w:rPr>
        <w:t>因四舍五入原因，投资组合报告中分项之和与合计可能存在尾差。</w:t>
      </w:r>
    </w:p>
    <w:p w14:paraId="5B03733A" w14:textId="77777777" w:rsidR="009857A8" w:rsidRDefault="009857A8">
      <w:pPr>
        <w:pStyle w:val="XBRLTitle1"/>
        <w:spacing w:before="156"/>
        <w:ind w:left="425"/>
        <w:rPr>
          <w:rFonts w:hint="eastAsia"/>
        </w:rPr>
      </w:pPr>
      <w:bookmarkStart w:id="343" w:name="_Toc514088276"/>
      <w:bookmarkStart w:id="344" w:name="_Toc480465448"/>
      <w:bookmarkStart w:id="345" w:name="_Toc448480308"/>
      <w:bookmarkStart w:id="346" w:name="_Toc438654096"/>
      <w:bookmarkStart w:id="347" w:name="_Toc456107141"/>
      <w:bookmarkStart w:id="348" w:name="_Toc459213787"/>
      <w:bookmarkStart w:id="349" w:name="_Toc513542677"/>
      <w:bookmarkStart w:id="350" w:name="_Toc512696273"/>
      <w:bookmarkStart w:id="351" w:name="_Toc512612276"/>
      <w:bookmarkStart w:id="352" w:name="_Toc512612100"/>
      <w:bookmarkStart w:id="353" w:name="_Toc512611304"/>
      <w:bookmarkStart w:id="354" w:name="m601"/>
      <w:r>
        <w:rPr>
          <w:rFonts w:hint="eastAsia"/>
        </w:rPr>
        <w:t>开放式基金份额变动</w:t>
      </w:r>
      <w:bookmarkEnd w:id="343"/>
      <w:bookmarkEnd w:id="344"/>
      <w:bookmarkEnd w:id="345"/>
      <w:bookmarkEnd w:id="346"/>
      <w:bookmarkEnd w:id="347"/>
      <w:bookmarkEnd w:id="348"/>
      <w:bookmarkEnd w:id="349"/>
      <w:bookmarkEnd w:id="350"/>
      <w:bookmarkEnd w:id="351"/>
      <w:bookmarkEnd w:id="352"/>
      <w:bookmarkEnd w:id="353"/>
    </w:p>
    <w:p w14:paraId="2E684C24" w14:textId="77777777" w:rsidR="009857A8" w:rsidRDefault="009857A8">
      <w:pPr>
        <w:wordWrap w:val="0"/>
        <w:spacing w:line="360" w:lineRule="auto"/>
        <w:jc w:val="right"/>
      </w:pPr>
      <w:bookmarkStart w:id="35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4046E9" w14:paraId="07B32583"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23DD346" w14:textId="77777777" w:rsidR="009857A8" w:rsidRDefault="009857A8">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6" w:name="m10_01" w:colFirst="1" w:colLast="2"/>
            <w:bookmarkStart w:id="357" w:name="m601_tab"/>
            <w:bookmarkEnd w:id="355"/>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DF083C" w14:textId="77777777" w:rsidR="009857A8" w:rsidRDefault="009857A8">
            <w:pPr>
              <w:ind w:right="3"/>
              <w:jc w:val="center"/>
            </w:pPr>
            <w:r>
              <w:rPr>
                <w:rFonts w:ascii="宋体" w:hAnsi="宋体" w:hint="eastAsia"/>
                <w:lang w:eastAsia="zh-Hans"/>
              </w:rPr>
              <w:t>摩根欧洲动力策略股票(QDII)A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4BBD8A" w14:textId="77777777" w:rsidR="009857A8" w:rsidRDefault="009857A8">
            <w:pPr>
              <w:ind w:right="3"/>
              <w:jc w:val="center"/>
            </w:pPr>
            <w:r>
              <w:rPr>
                <w:rFonts w:ascii="宋体" w:hAnsi="宋体" w:hint="eastAsia"/>
                <w:lang w:eastAsia="zh-Hans"/>
              </w:rPr>
              <w:t>摩根欧洲动力策略股票(QDII)C</w:t>
            </w:r>
            <w:r>
              <w:rPr>
                <w:rFonts w:ascii="宋体" w:hAnsi="宋体" w:hint="eastAsia"/>
                <w:kern w:val="0"/>
                <w:szCs w:val="24"/>
                <w:lang w:eastAsia="zh-Hans"/>
              </w:rPr>
              <w:t xml:space="preserve"> </w:t>
            </w:r>
          </w:p>
        </w:tc>
      </w:tr>
      <w:tr w:rsidR="004046E9" w14:paraId="7FD2C18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B2C5EA" w14:textId="77777777" w:rsidR="009857A8" w:rsidRDefault="009857A8">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5F8C1C" w14:textId="77777777" w:rsidR="009857A8" w:rsidRDefault="009857A8">
            <w:pPr>
              <w:jc w:val="right"/>
            </w:pPr>
            <w:r>
              <w:rPr>
                <w:rFonts w:ascii="宋体" w:hAnsi="宋体" w:hint="eastAsia"/>
              </w:rPr>
              <w:t>309,677,660.07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8EC972" w14:textId="77777777" w:rsidR="009857A8" w:rsidRDefault="009857A8">
            <w:pPr>
              <w:jc w:val="right"/>
            </w:pPr>
            <w:r>
              <w:rPr>
                <w:rFonts w:ascii="宋体" w:hAnsi="宋体" w:hint="eastAsia"/>
              </w:rPr>
              <w:t>146,430,323.81</w:t>
            </w:r>
          </w:p>
        </w:tc>
      </w:tr>
      <w:tr w:rsidR="004046E9" w14:paraId="0360BBD9"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572AD6" w14:textId="77777777" w:rsidR="009857A8" w:rsidRDefault="009857A8">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134901" w14:textId="77777777" w:rsidR="009857A8" w:rsidRDefault="009857A8">
            <w:pPr>
              <w:jc w:val="right"/>
            </w:pPr>
            <w:r>
              <w:rPr>
                <w:rFonts w:ascii="宋体" w:hAnsi="宋体" w:hint="eastAsia"/>
              </w:rPr>
              <w:t>83,215,485.34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E48F78" w14:textId="77777777" w:rsidR="009857A8" w:rsidRDefault="009857A8">
            <w:pPr>
              <w:jc w:val="right"/>
            </w:pPr>
            <w:r>
              <w:rPr>
                <w:rFonts w:ascii="宋体" w:hAnsi="宋体" w:hint="eastAsia"/>
              </w:rPr>
              <w:t>63,596,949.82</w:t>
            </w:r>
          </w:p>
        </w:tc>
      </w:tr>
      <w:tr w:rsidR="004046E9" w14:paraId="26CF445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331B9" w14:textId="77777777" w:rsidR="009857A8" w:rsidRDefault="009857A8">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676165" w14:textId="77777777" w:rsidR="009857A8" w:rsidRDefault="009857A8">
            <w:pPr>
              <w:jc w:val="right"/>
            </w:pPr>
            <w:r>
              <w:rPr>
                <w:rFonts w:ascii="宋体" w:hAnsi="宋体" w:hint="eastAsia"/>
              </w:rPr>
              <w:t>48,990,824.77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103BB4" w14:textId="77777777" w:rsidR="009857A8" w:rsidRDefault="009857A8">
            <w:pPr>
              <w:jc w:val="right"/>
            </w:pPr>
            <w:r>
              <w:rPr>
                <w:rFonts w:ascii="宋体" w:hAnsi="宋体" w:hint="eastAsia"/>
              </w:rPr>
              <w:t>77,297,310.88</w:t>
            </w:r>
          </w:p>
        </w:tc>
      </w:tr>
      <w:tr w:rsidR="004046E9" w14:paraId="59A98C2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7D1F7B" w14:textId="77777777" w:rsidR="009857A8" w:rsidRDefault="009857A8">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2DB122" w14:textId="77777777" w:rsidR="009857A8" w:rsidRDefault="009857A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F16481" w14:textId="77777777" w:rsidR="009857A8" w:rsidRDefault="009857A8">
            <w:pPr>
              <w:jc w:val="right"/>
            </w:pPr>
            <w:r>
              <w:rPr>
                <w:rFonts w:ascii="宋体" w:hAnsi="宋体" w:hint="eastAsia"/>
              </w:rPr>
              <w:t>-</w:t>
            </w:r>
          </w:p>
        </w:tc>
      </w:tr>
      <w:tr w:rsidR="004046E9" w14:paraId="5AF8702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7234C4" w14:textId="77777777" w:rsidR="009857A8" w:rsidRDefault="009857A8">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5F2E6D" w14:textId="77777777" w:rsidR="009857A8" w:rsidRDefault="009857A8">
            <w:pPr>
              <w:jc w:val="right"/>
            </w:pPr>
            <w:r>
              <w:rPr>
                <w:rFonts w:ascii="宋体" w:hAnsi="宋体" w:hint="eastAsia"/>
              </w:rPr>
              <w:t>343,902,320.64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4E2AA" w14:textId="77777777" w:rsidR="009857A8" w:rsidRDefault="009857A8">
            <w:pPr>
              <w:jc w:val="right"/>
            </w:pPr>
            <w:r>
              <w:rPr>
                <w:rFonts w:ascii="宋体" w:hAnsi="宋体" w:hint="eastAsia"/>
              </w:rPr>
              <w:t>132,729,962.75</w:t>
            </w:r>
          </w:p>
        </w:tc>
      </w:tr>
    </w:tbl>
    <w:p w14:paraId="07F313DC" w14:textId="77777777" w:rsidR="009857A8" w:rsidRDefault="009857A8">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6"/>
      <w:r>
        <w:rPr>
          <w:rFonts w:ascii="宋体" w:hAnsi="宋体" w:hint="eastAsia"/>
        </w:rPr>
        <w:t xml:space="preserve"> </w:t>
      </w:r>
    </w:p>
    <w:p w14:paraId="134D9F4A" w14:textId="77777777" w:rsidR="009857A8" w:rsidRDefault="009857A8">
      <w:pPr>
        <w:pStyle w:val="XBRLTitle1"/>
        <w:spacing w:before="156"/>
        <w:ind w:left="425"/>
        <w:rPr>
          <w:rFonts w:hint="eastAsia"/>
        </w:rPr>
      </w:pPr>
      <w:bookmarkStart w:id="358" w:name="_Toc514088277"/>
      <w:bookmarkStart w:id="359" w:name="_Toc480465449"/>
      <w:bookmarkStart w:id="360" w:name="_Toc448480309"/>
      <w:bookmarkStart w:id="361" w:name="_Toc438654097"/>
      <w:bookmarkStart w:id="362" w:name="_Toc456107142"/>
      <w:bookmarkStart w:id="363" w:name="_Toc459213788"/>
      <w:bookmarkStart w:id="364" w:name="_Toc513542678"/>
      <w:bookmarkStart w:id="365" w:name="_Toc512696274"/>
      <w:bookmarkStart w:id="366" w:name="_Toc512612277"/>
      <w:bookmarkStart w:id="367" w:name="_Toc512612101"/>
      <w:bookmarkStart w:id="368" w:name="_Toc512611305"/>
      <w:bookmarkStart w:id="369" w:name="m7manage01"/>
      <w:bookmarkEnd w:id="354"/>
      <w:bookmarkEnd w:id="357"/>
      <w:r>
        <w:rPr>
          <w:rFonts w:hint="eastAsia"/>
        </w:rPr>
        <w:t>基金管理人运用固有资金投资本基金交易明细</w:t>
      </w:r>
      <w:bookmarkEnd w:id="342"/>
      <w:bookmarkEnd w:id="358"/>
      <w:bookmarkEnd w:id="359"/>
      <w:bookmarkEnd w:id="360"/>
      <w:bookmarkEnd w:id="361"/>
      <w:bookmarkEnd w:id="362"/>
      <w:bookmarkEnd w:id="363"/>
      <w:bookmarkEnd w:id="364"/>
      <w:bookmarkEnd w:id="365"/>
      <w:bookmarkEnd w:id="366"/>
      <w:bookmarkEnd w:id="367"/>
      <w:bookmarkEnd w:id="368"/>
      <w:bookmarkEnd w:id="369"/>
    </w:p>
    <w:p w14:paraId="23E48E7C" w14:textId="77777777" w:rsidR="009857A8" w:rsidRDefault="009857A8">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123AF228" w14:textId="77777777" w:rsidR="009857A8" w:rsidRDefault="009857A8">
      <w:pPr>
        <w:pStyle w:val="XBRLTitle1"/>
        <w:spacing w:before="156"/>
        <w:ind w:left="425"/>
        <w:rPr>
          <w:rFonts w:hint="eastAsia"/>
        </w:rPr>
      </w:pPr>
      <w:bookmarkStart w:id="370" w:name="_Toc17881714"/>
      <w:bookmarkStart w:id="371" w:name="_Toc479856294"/>
      <w:bookmarkStart w:id="372" w:name="_Toc492299909"/>
      <w:bookmarkStart w:id="373" w:name="_Toc512627244"/>
      <w:bookmarkStart w:id="374" w:name="_Toc512694324"/>
      <w:bookmarkStart w:id="375" w:name="m701"/>
      <w:r>
        <w:rPr>
          <w:rFonts w:hint="eastAsia"/>
        </w:rPr>
        <w:t>影响投资者决策的其他重要信息</w:t>
      </w:r>
      <w:bookmarkEnd w:id="370"/>
      <w:bookmarkEnd w:id="371"/>
      <w:bookmarkEnd w:id="372"/>
      <w:bookmarkEnd w:id="373"/>
      <w:bookmarkEnd w:id="374"/>
      <w:r>
        <w:rPr>
          <w:rFonts w:hint="eastAsia"/>
          <w:lang w:eastAsia="zh-CN"/>
        </w:rPr>
        <w:t xml:space="preserve"> </w:t>
      </w:r>
    </w:p>
    <w:p w14:paraId="7A68AA77" w14:textId="77777777" w:rsidR="009857A8" w:rsidRDefault="009857A8">
      <w:pPr>
        <w:pStyle w:val="XBRLTitle2"/>
        <w:spacing w:before="156"/>
        <w:ind w:left="454"/>
      </w:pPr>
      <w:bookmarkStart w:id="376" w:name="_Toc17881715"/>
      <w:bookmarkStart w:id="377" w:name="_Toc492299910"/>
      <w:bookmarkStart w:id="378" w:name="_Toc512627245"/>
      <w:bookmarkStart w:id="379"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6"/>
      <w:bookmarkEnd w:id="377"/>
      <w:bookmarkEnd w:id="378"/>
      <w:bookmarkEnd w:id="379"/>
      <w:r>
        <w:rPr>
          <w:rFonts w:hint="eastAsia"/>
          <w:kern w:val="0"/>
          <w:lang w:eastAsia="zh-CN"/>
        </w:rPr>
        <w:t xml:space="preserve"> </w:t>
      </w:r>
    </w:p>
    <w:bookmarkEnd w:id="24"/>
    <w:bookmarkEnd w:id="50"/>
    <w:bookmarkEnd w:id="51"/>
    <w:p w14:paraId="1C609171" w14:textId="77777777" w:rsidR="009857A8" w:rsidRDefault="009857A8">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3FB8596B" w14:textId="77777777" w:rsidR="009857A8" w:rsidRDefault="009857A8">
      <w:pPr>
        <w:pStyle w:val="XBRLTitle1"/>
        <w:spacing w:before="156"/>
        <w:ind w:left="425"/>
        <w:rPr>
          <w:rFonts w:hint="eastAsia"/>
        </w:rPr>
      </w:pPr>
      <w:bookmarkStart w:id="380" w:name="_Toc514088283"/>
      <w:bookmarkStart w:id="381" w:name="_Toc466644495"/>
      <w:bookmarkStart w:id="382" w:name="_Toc480465455"/>
      <w:bookmarkStart w:id="383" w:name="_Toc513542684"/>
      <w:bookmarkStart w:id="384" w:name="_Toc512696280"/>
      <w:bookmarkStart w:id="385" w:name="_Toc512612283"/>
      <w:bookmarkStart w:id="386" w:name="_Toc512612107"/>
      <w:bookmarkStart w:id="387" w:name="_Toc512611311"/>
      <w:bookmarkEnd w:id="375"/>
      <w:r>
        <w:rPr>
          <w:rFonts w:hint="eastAsia"/>
        </w:rPr>
        <w:lastRenderedPageBreak/>
        <w:t>备查文件目录</w:t>
      </w:r>
      <w:bookmarkEnd w:id="380"/>
      <w:bookmarkEnd w:id="381"/>
      <w:bookmarkEnd w:id="382"/>
      <w:bookmarkEnd w:id="383"/>
      <w:bookmarkEnd w:id="384"/>
      <w:bookmarkEnd w:id="385"/>
      <w:bookmarkEnd w:id="386"/>
      <w:bookmarkEnd w:id="387"/>
    </w:p>
    <w:p w14:paraId="1E4B2EA5" w14:textId="77777777" w:rsidR="009857A8" w:rsidRDefault="009857A8">
      <w:pPr>
        <w:pStyle w:val="XBRLTitle2"/>
        <w:spacing w:before="156" w:line="360" w:lineRule="auto"/>
        <w:ind w:left="454"/>
      </w:pPr>
      <w:bookmarkStart w:id="388" w:name="_Toc514088284"/>
      <w:bookmarkStart w:id="389" w:name="_Toc480465456"/>
      <w:bookmarkStart w:id="390" w:name="_Toc448480313"/>
      <w:bookmarkStart w:id="391" w:name="_Toc438654101"/>
      <w:bookmarkStart w:id="392" w:name="_Toc456107145"/>
      <w:bookmarkStart w:id="393" w:name="_Toc459213792"/>
      <w:bookmarkStart w:id="394" w:name="_Toc513542685"/>
      <w:bookmarkStart w:id="395" w:name="_Toc512696281"/>
      <w:bookmarkStart w:id="396" w:name="_Toc512612284"/>
      <w:bookmarkStart w:id="397" w:name="_Toc512612108"/>
      <w:bookmarkStart w:id="398" w:name="_Toc512611312"/>
      <w:bookmarkStart w:id="399" w:name="m801_01_1733"/>
      <w:r>
        <w:rPr>
          <w:rFonts w:eastAsia="宋体" w:hint="eastAsia"/>
        </w:rPr>
        <w:t>备查文件目录</w:t>
      </w:r>
      <w:bookmarkEnd w:id="388"/>
      <w:bookmarkEnd w:id="389"/>
      <w:bookmarkEnd w:id="390"/>
      <w:bookmarkEnd w:id="391"/>
      <w:bookmarkEnd w:id="392"/>
      <w:bookmarkEnd w:id="393"/>
      <w:bookmarkEnd w:id="394"/>
      <w:bookmarkEnd w:id="395"/>
      <w:bookmarkEnd w:id="396"/>
      <w:bookmarkEnd w:id="397"/>
      <w:bookmarkEnd w:id="398"/>
      <w:r>
        <w:rPr>
          <w:rFonts w:eastAsia="宋体" w:hint="eastAsia"/>
        </w:rPr>
        <w:t xml:space="preserve"> </w:t>
      </w:r>
    </w:p>
    <w:p w14:paraId="45494270" w14:textId="77777777" w:rsidR="009857A8" w:rsidRDefault="009857A8">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2、《摩根欧洲动力策略股票型证券投资基金(QDII)基金合同》；</w:t>
      </w:r>
      <w:r>
        <w:rPr>
          <w:rFonts w:ascii="宋体" w:hAnsi="宋体" w:cs="宋体" w:hint="eastAsia"/>
          <w:color w:val="000000"/>
          <w:kern w:val="0"/>
        </w:rPr>
        <w:br/>
        <w:t xml:space="preserve">　　3、《摩根欧洲动力策略股票型证券投资基金(QDII)托管协议》；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26869C01" w14:textId="77777777" w:rsidR="009857A8" w:rsidRDefault="009857A8">
      <w:pPr>
        <w:pStyle w:val="XBRLTitle2"/>
        <w:spacing w:before="156" w:line="360" w:lineRule="auto"/>
        <w:ind w:left="454"/>
      </w:pPr>
      <w:bookmarkStart w:id="400" w:name="_Toc514088285"/>
      <w:bookmarkStart w:id="401" w:name="_Toc480465457"/>
      <w:bookmarkStart w:id="402" w:name="_Toc448480314"/>
      <w:bookmarkStart w:id="403" w:name="_Toc438654102"/>
      <w:bookmarkStart w:id="404" w:name="_Toc456107146"/>
      <w:bookmarkStart w:id="405" w:name="_Toc459213793"/>
      <w:bookmarkStart w:id="406" w:name="_Toc513542686"/>
      <w:bookmarkStart w:id="407" w:name="_Toc512696282"/>
      <w:bookmarkStart w:id="408" w:name="_Toc512612285"/>
      <w:bookmarkStart w:id="409" w:name="_Toc512612109"/>
      <w:bookmarkStart w:id="410" w:name="_Toc512611313"/>
      <w:bookmarkStart w:id="411" w:name="m801_01_1734"/>
      <w:bookmarkEnd w:id="399"/>
      <w:r>
        <w:rPr>
          <w:rFonts w:eastAsia="宋体" w:hint="eastAsia"/>
        </w:rPr>
        <w:t>存放地点</w:t>
      </w:r>
      <w:bookmarkEnd w:id="400"/>
      <w:bookmarkEnd w:id="401"/>
      <w:bookmarkEnd w:id="402"/>
      <w:bookmarkEnd w:id="403"/>
      <w:bookmarkEnd w:id="404"/>
      <w:bookmarkEnd w:id="405"/>
      <w:bookmarkEnd w:id="406"/>
      <w:bookmarkEnd w:id="407"/>
      <w:bookmarkEnd w:id="408"/>
      <w:bookmarkEnd w:id="409"/>
      <w:bookmarkEnd w:id="410"/>
      <w:r>
        <w:rPr>
          <w:rFonts w:eastAsia="宋体" w:hint="eastAsia"/>
        </w:rPr>
        <w:t xml:space="preserve"> </w:t>
      </w:r>
    </w:p>
    <w:p w14:paraId="151B999F" w14:textId="77777777" w:rsidR="009857A8" w:rsidRDefault="009857A8">
      <w:pPr>
        <w:spacing w:line="360" w:lineRule="auto"/>
        <w:ind w:firstLineChars="200" w:firstLine="420"/>
        <w:jc w:val="left"/>
      </w:pPr>
      <w:r>
        <w:rPr>
          <w:rFonts w:ascii="宋体" w:hAnsi="宋体" w:cs="宋体" w:hint="eastAsia"/>
          <w:color w:val="000000"/>
          <w:kern w:val="0"/>
        </w:rPr>
        <w:t>基金管理人或基金托管人住所。</w:t>
      </w:r>
    </w:p>
    <w:p w14:paraId="5EE138A2" w14:textId="77777777" w:rsidR="009857A8" w:rsidRDefault="009857A8">
      <w:pPr>
        <w:pStyle w:val="XBRLTitle2"/>
        <w:spacing w:before="156" w:line="360" w:lineRule="auto"/>
        <w:ind w:left="454"/>
      </w:pPr>
      <w:bookmarkStart w:id="412" w:name="_Toc514088286"/>
      <w:bookmarkStart w:id="413" w:name="_Toc480465458"/>
      <w:bookmarkStart w:id="414" w:name="_Toc448480315"/>
      <w:bookmarkStart w:id="415" w:name="_Toc438654103"/>
      <w:bookmarkStart w:id="416" w:name="_Toc456107147"/>
      <w:bookmarkStart w:id="417" w:name="_Toc459213794"/>
      <w:bookmarkStart w:id="418" w:name="_Toc513542687"/>
      <w:bookmarkStart w:id="419" w:name="_Toc512696283"/>
      <w:bookmarkStart w:id="420" w:name="_Toc512612286"/>
      <w:bookmarkStart w:id="421" w:name="_Toc512612110"/>
      <w:bookmarkStart w:id="422" w:name="_Toc512611314"/>
      <w:bookmarkStart w:id="423" w:name="m801_01_1735"/>
      <w:bookmarkEnd w:id="411"/>
      <w:r>
        <w:rPr>
          <w:rFonts w:eastAsia="宋体" w:hint="eastAsia"/>
        </w:rPr>
        <w:t>查阅方式</w:t>
      </w:r>
      <w:bookmarkEnd w:id="412"/>
      <w:bookmarkEnd w:id="413"/>
      <w:bookmarkEnd w:id="414"/>
      <w:bookmarkEnd w:id="415"/>
      <w:bookmarkEnd w:id="416"/>
      <w:bookmarkEnd w:id="417"/>
      <w:bookmarkEnd w:id="418"/>
      <w:bookmarkEnd w:id="419"/>
      <w:bookmarkEnd w:id="420"/>
      <w:bookmarkEnd w:id="421"/>
      <w:bookmarkEnd w:id="422"/>
      <w:r>
        <w:rPr>
          <w:rFonts w:eastAsia="宋体" w:hint="eastAsia"/>
        </w:rPr>
        <w:t xml:space="preserve"> </w:t>
      </w:r>
    </w:p>
    <w:p w14:paraId="014690D2" w14:textId="77777777" w:rsidR="009857A8" w:rsidRDefault="009857A8">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3"/>
    <w:p w14:paraId="0B2E8655" w14:textId="77777777" w:rsidR="009857A8" w:rsidRDefault="009857A8">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12E42DA5" w14:textId="77777777" w:rsidR="009857A8" w:rsidRDefault="009857A8">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56B7CBD9" w14:textId="77777777" w:rsidR="009857A8" w:rsidRDefault="009857A8">
      <w:pPr>
        <w:spacing w:line="360" w:lineRule="auto"/>
        <w:ind w:firstLineChars="600" w:firstLine="1446"/>
        <w:jc w:val="right"/>
      </w:pPr>
      <w:r>
        <w:rPr>
          <w:rFonts w:ascii="宋体" w:hAnsi="宋体" w:hint="eastAsia"/>
          <w:b/>
          <w:bCs/>
          <w:sz w:val="24"/>
          <w:szCs w:val="24"/>
        </w:rPr>
        <w:t>摩根基金管理（中国）有限公司</w:t>
      </w:r>
    </w:p>
    <w:p w14:paraId="64142F2A" w14:textId="77777777" w:rsidR="009857A8" w:rsidRDefault="009857A8">
      <w:pPr>
        <w:spacing w:line="360" w:lineRule="auto"/>
        <w:ind w:firstLineChars="600" w:firstLine="1446"/>
        <w:jc w:val="right"/>
      </w:pPr>
      <w:r>
        <w:rPr>
          <w:rFonts w:ascii="宋体" w:hAnsi="宋体" w:hint="eastAsia"/>
          <w:b/>
          <w:bCs/>
          <w:sz w:val="24"/>
          <w:szCs w:val="24"/>
        </w:rPr>
        <w:t>2026年4月22日</w:t>
      </w:r>
    </w:p>
    <w:sectPr w:rsidR="009857A8">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A20C" w14:textId="77777777" w:rsidR="004E1D78" w:rsidRDefault="004E1D78">
      <w:pPr>
        <w:rPr>
          <w:szCs w:val="21"/>
        </w:rPr>
      </w:pPr>
      <w:r>
        <w:rPr>
          <w:szCs w:val="21"/>
        </w:rPr>
        <w:separator/>
      </w:r>
      <w:r>
        <w:rPr>
          <w:szCs w:val="21"/>
        </w:rPr>
        <w:t xml:space="preserve"> </w:t>
      </w:r>
    </w:p>
  </w:endnote>
  <w:endnote w:type="continuationSeparator" w:id="0">
    <w:p w14:paraId="3BB7B621" w14:textId="77777777" w:rsidR="004E1D78" w:rsidRDefault="004E1D7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CF27" w14:textId="77777777" w:rsidR="009857A8" w:rsidRDefault="009857A8">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0F2FD187" w14:textId="77777777" w:rsidR="009857A8" w:rsidRDefault="009857A8">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49E0" w14:textId="77777777" w:rsidR="009857A8" w:rsidRDefault="009857A8">
    <w:pPr>
      <w:pStyle w:val="aa"/>
      <w:framePr w:wrap="around" w:vAnchor="text" w:hAnchor="margin" w:xAlign="right" w:y="1"/>
      <w:rPr>
        <w:rStyle w:val="af9"/>
      </w:rPr>
    </w:pPr>
    <w:r>
      <w:rPr>
        <w:rStyle w:val="af9"/>
      </w:rPr>
      <w:t xml:space="preserve">  </w:t>
    </w:r>
  </w:p>
  <w:p w14:paraId="0C2ACFEC" w14:textId="77777777" w:rsidR="009857A8" w:rsidRDefault="009857A8">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7911" w14:textId="77777777" w:rsidR="004E1D78" w:rsidRDefault="004E1D78">
      <w:pPr>
        <w:rPr>
          <w:szCs w:val="21"/>
        </w:rPr>
      </w:pPr>
      <w:r>
        <w:rPr>
          <w:szCs w:val="21"/>
        </w:rPr>
        <w:separator/>
      </w:r>
      <w:r>
        <w:rPr>
          <w:szCs w:val="21"/>
        </w:rPr>
        <w:t xml:space="preserve"> </w:t>
      </w:r>
    </w:p>
  </w:footnote>
  <w:footnote w:type="continuationSeparator" w:id="0">
    <w:p w14:paraId="185D4D78" w14:textId="77777777" w:rsidR="004E1D78" w:rsidRDefault="004E1D7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C210" w14:textId="77777777" w:rsidR="009857A8" w:rsidRDefault="009857A8">
    <w:pPr>
      <w:pStyle w:val="a8"/>
      <w:pBdr>
        <w:between w:val="single" w:sz="4" w:space="1" w:color="4F81BD"/>
      </w:pBdr>
      <w:spacing w:line="276" w:lineRule="auto"/>
      <w:jc w:val="right"/>
    </w:pPr>
    <w:r>
      <w:rPr>
        <w:rFonts w:ascii="宋体" w:hAnsi="宋体" w:hint="eastAsia"/>
        <w:bCs/>
      </w:rPr>
      <w:t>摩根欧洲动力策略股票型证券投资基金(QDII)2026年第1季度报告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7C2F" w14:textId="77777777" w:rsidR="009857A8" w:rsidRDefault="009857A8">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75569701">
    <w:abstractNumId w:val="0"/>
  </w:num>
  <w:num w:numId="2" w16cid:durableId="1250039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06"/>
    <w:rsid w:val="004046E9"/>
    <w:rsid w:val="004E1D78"/>
    <w:rsid w:val="00576AC4"/>
    <w:rsid w:val="006B7D08"/>
    <w:rsid w:val="008D4350"/>
    <w:rsid w:val="009857A8"/>
    <w:rsid w:val="00A26824"/>
    <w:rsid w:val="00C178CD"/>
    <w:rsid w:val="00E47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7D4AB1F"/>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6B7D0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098">
      <w:marLeft w:val="0"/>
      <w:marRight w:val="0"/>
      <w:marTop w:val="0"/>
      <w:marBottom w:val="0"/>
      <w:divBdr>
        <w:top w:val="none" w:sz="0" w:space="0" w:color="auto"/>
        <w:left w:val="none" w:sz="0" w:space="0" w:color="auto"/>
        <w:bottom w:val="none" w:sz="0" w:space="0" w:color="auto"/>
        <w:right w:val="none" w:sz="0" w:space="0" w:color="auto"/>
      </w:divBdr>
    </w:div>
    <w:div w:id="234510981">
      <w:marLeft w:val="0"/>
      <w:marRight w:val="0"/>
      <w:marTop w:val="0"/>
      <w:marBottom w:val="0"/>
      <w:divBdr>
        <w:top w:val="none" w:sz="0" w:space="0" w:color="auto"/>
        <w:left w:val="none" w:sz="0" w:space="0" w:color="auto"/>
        <w:bottom w:val="none" w:sz="0" w:space="0" w:color="auto"/>
        <w:right w:val="none" w:sz="0" w:space="0" w:color="auto"/>
      </w:divBdr>
    </w:div>
    <w:div w:id="371617066">
      <w:marLeft w:val="0"/>
      <w:marRight w:val="0"/>
      <w:marTop w:val="0"/>
      <w:marBottom w:val="0"/>
      <w:divBdr>
        <w:top w:val="none" w:sz="0" w:space="0" w:color="auto"/>
        <w:left w:val="none" w:sz="0" w:space="0" w:color="auto"/>
        <w:bottom w:val="none" w:sz="0" w:space="0" w:color="auto"/>
        <w:right w:val="none" w:sz="0" w:space="0" w:color="auto"/>
      </w:divBdr>
    </w:div>
    <w:div w:id="380175975">
      <w:marLeft w:val="0"/>
      <w:marRight w:val="0"/>
      <w:marTop w:val="0"/>
      <w:marBottom w:val="0"/>
      <w:divBdr>
        <w:top w:val="none" w:sz="0" w:space="0" w:color="auto"/>
        <w:left w:val="none" w:sz="0" w:space="0" w:color="auto"/>
        <w:bottom w:val="none" w:sz="0" w:space="0" w:color="auto"/>
        <w:right w:val="none" w:sz="0" w:space="0" w:color="auto"/>
      </w:divBdr>
    </w:div>
    <w:div w:id="380832963">
      <w:marLeft w:val="0"/>
      <w:marRight w:val="0"/>
      <w:marTop w:val="0"/>
      <w:marBottom w:val="0"/>
      <w:divBdr>
        <w:top w:val="none" w:sz="0" w:space="0" w:color="auto"/>
        <w:left w:val="none" w:sz="0" w:space="0" w:color="auto"/>
        <w:bottom w:val="none" w:sz="0" w:space="0" w:color="auto"/>
        <w:right w:val="none" w:sz="0" w:space="0" w:color="auto"/>
      </w:divBdr>
    </w:div>
    <w:div w:id="433326168">
      <w:marLeft w:val="0"/>
      <w:marRight w:val="0"/>
      <w:marTop w:val="0"/>
      <w:marBottom w:val="0"/>
      <w:divBdr>
        <w:top w:val="none" w:sz="0" w:space="0" w:color="auto"/>
        <w:left w:val="none" w:sz="0" w:space="0" w:color="auto"/>
        <w:bottom w:val="none" w:sz="0" w:space="0" w:color="auto"/>
        <w:right w:val="none" w:sz="0" w:space="0" w:color="auto"/>
      </w:divBdr>
    </w:div>
    <w:div w:id="451367687">
      <w:marLeft w:val="0"/>
      <w:marRight w:val="0"/>
      <w:marTop w:val="0"/>
      <w:marBottom w:val="0"/>
      <w:divBdr>
        <w:top w:val="none" w:sz="0" w:space="0" w:color="auto"/>
        <w:left w:val="none" w:sz="0" w:space="0" w:color="auto"/>
        <w:bottom w:val="none" w:sz="0" w:space="0" w:color="auto"/>
        <w:right w:val="none" w:sz="0" w:space="0" w:color="auto"/>
      </w:divBdr>
    </w:div>
    <w:div w:id="708410983">
      <w:marLeft w:val="0"/>
      <w:marRight w:val="0"/>
      <w:marTop w:val="0"/>
      <w:marBottom w:val="0"/>
      <w:divBdr>
        <w:top w:val="none" w:sz="0" w:space="0" w:color="auto"/>
        <w:left w:val="none" w:sz="0" w:space="0" w:color="auto"/>
        <w:bottom w:val="none" w:sz="0" w:space="0" w:color="auto"/>
        <w:right w:val="none" w:sz="0" w:space="0" w:color="auto"/>
      </w:divBdr>
    </w:div>
    <w:div w:id="745148791">
      <w:marLeft w:val="0"/>
      <w:marRight w:val="0"/>
      <w:marTop w:val="0"/>
      <w:marBottom w:val="0"/>
      <w:divBdr>
        <w:top w:val="none" w:sz="0" w:space="0" w:color="auto"/>
        <w:left w:val="none" w:sz="0" w:space="0" w:color="auto"/>
        <w:bottom w:val="none" w:sz="0" w:space="0" w:color="auto"/>
        <w:right w:val="none" w:sz="0" w:space="0" w:color="auto"/>
      </w:divBdr>
    </w:div>
    <w:div w:id="802966234">
      <w:marLeft w:val="0"/>
      <w:marRight w:val="0"/>
      <w:marTop w:val="0"/>
      <w:marBottom w:val="0"/>
      <w:divBdr>
        <w:top w:val="none" w:sz="0" w:space="0" w:color="auto"/>
        <w:left w:val="none" w:sz="0" w:space="0" w:color="auto"/>
        <w:bottom w:val="none" w:sz="0" w:space="0" w:color="auto"/>
        <w:right w:val="none" w:sz="0" w:space="0" w:color="auto"/>
      </w:divBdr>
    </w:div>
    <w:div w:id="841508671">
      <w:marLeft w:val="0"/>
      <w:marRight w:val="0"/>
      <w:marTop w:val="0"/>
      <w:marBottom w:val="0"/>
      <w:divBdr>
        <w:top w:val="none" w:sz="0" w:space="0" w:color="auto"/>
        <w:left w:val="none" w:sz="0" w:space="0" w:color="auto"/>
        <w:bottom w:val="none" w:sz="0" w:space="0" w:color="auto"/>
        <w:right w:val="none" w:sz="0" w:space="0" w:color="auto"/>
      </w:divBdr>
    </w:div>
    <w:div w:id="905339355">
      <w:marLeft w:val="0"/>
      <w:marRight w:val="0"/>
      <w:marTop w:val="0"/>
      <w:marBottom w:val="0"/>
      <w:divBdr>
        <w:top w:val="none" w:sz="0" w:space="0" w:color="auto"/>
        <w:left w:val="none" w:sz="0" w:space="0" w:color="auto"/>
        <w:bottom w:val="none" w:sz="0" w:space="0" w:color="auto"/>
        <w:right w:val="none" w:sz="0" w:space="0" w:color="auto"/>
      </w:divBdr>
      <w:divsChild>
        <w:div w:id="221866033">
          <w:marLeft w:val="0"/>
          <w:marRight w:val="0"/>
          <w:marTop w:val="0"/>
          <w:marBottom w:val="0"/>
          <w:divBdr>
            <w:top w:val="none" w:sz="0" w:space="0" w:color="auto"/>
            <w:left w:val="none" w:sz="0" w:space="0" w:color="auto"/>
            <w:bottom w:val="none" w:sz="0" w:space="0" w:color="auto"/>
            <w:right w:val="none" w:sz="0" w:space="0" w:color="auto"/>
          </w:divBdr>
          <w:divsChild>
            <w:div w:id="8119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3582">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323316129">
      <w:marLeft w:val="0"/>
      <w:marRight w:val="0"/>
      <w:marTop w:val="0"/>
      <w:marBottom w:val="0"/>
      <w:divBdr>
        <w:top w:val="none" w:sz="0" w:space="0" w:color="auto"/>
        <w:left w:val="none" w:sz="0" w:space="0" w:color="auto"/>
        <w:bottom w:val="none" w:sz="0" w:space="0" w:color="auto"/>
        <w:right w:val="none" w:sz="0" w:space="0" w:color="auto"/>
      </w:divBdr>
    </w:div>
    <w:div w:id="1441293385">
      <w:marLeft w:val="0"/>
      <w:marRight w:val="0"/>
      <w:marTop w:val="0"/>
      <w:marBottom w:val="0"/>
      <w:divBdr>
        <w:top w:val="none" w:sz="0" w:space="0" w:color="auto"/>
        <w:left w:val="none" w:sz="0" w:space="0" w:color="auto"/>
        <w:bottom w:val="none" w:sz="0" w:space="0" w:color="auto"/>
        <w:right w:val="none" w:sz="0" w:space="0" w:color="auto"/>
      </w:divBdr>
    </w:div>
    <w:div w:id="1545360921">
      <w:marLeft w:val="0"/>
      <w:marRight w:val="0"/>
      <w:marTop w:val="0"/>
      <w:marBottom w:val="0"/>
      <w:divBdr>
        <w:top w:val="none" w:sz="0" w:space="0" w:color="auto"/>
        <w:left w:val="none" w:sz="0" w:space="0" w:color="auto"/>
        <w:bottom w:val="none" w:sz="0" w:space="0" w:color="auto"/>
        <w:right w:val="none" w:sz="0" w:space="0" w:color="auto"/>
      </w:divBdr>
      <w:divsChild>
        <w:div w:id="67121274">
          <w:marLeft w:val="0"/>
          <w:marRight w:val="0"/>
          <w:marTop w:val="0"/>
          <w:marBottom w:val="0"/>
          <w:divBdr>
            <w:top w:val="none" w:sz="0" w:space="0" w:color="auto"/>
            <w:left w:val="none" w:sz="0" w:space="0" w:color="auto"/>
            <w:bottom w:val="none" w:sz="0" w:space="0" w:color="auto"/>
            <w:right w:val="none" w:sz="0" w:space="0" w:color="auto"/>
          </w:divBdr>
        </w:div>
      </w:divsChild>
    </w:div>
    <w:div w:id="1649238300">
      <w:marLeft w:val="0"/>
      <w:marRight w:val="0"/>
      <w:marTop w:val="0"/>
      <w:marBottom w:val="0"/>
      <w:divBdr>
        <w:top w:val="none" w:sz="0" w:space="0" w:color="auto"/>
        <w:left w:val="none" w:sz="0" w:space="0" w:color="auto"/>
        <w:bottom w:val="none" w:sz="0" w:space="0" w:color="auto"/>
        <w:right w:val="none" w:sz="0" w:space="0" w:color="auto"/>
      </w:divBdr>
    </w:div>
    <w:div w:id="1934973778">
      <w:marLeft w:val="0"/>
      <w:marRight w:val="0"/>
      <w:marTop w:val="0"/>
      <w:marBottom w:val="0"/>
      <w:divBdr>
        <w:top w:val="none" w:sz="0" w:space="0" w:color="auto"/>
        <w:left w:val="none" w:sz="0" w:space="0" w:color="auto"/>
        <w:bottom w:val="none" w:sz="0" w:space="0" w:color="auto"/>
        <w:right w:val="none" w:sz="0" w:space="0" w:color="auto"/>
      </w:divBdr>
    </w:div>
    <w:div w:id="2021807082">
      <w:marLeft w:val="0"/>
      <w:marRight w:val="0"/>
      <w:marTop w:val="0"/>
      <w:marBottom w:val="0"/>
      <w:divBdr>
        <w:top w:val="none" w:sz="0" w:space="0" w:color="auto"/>
        <w:left w:val="none" w:sz="0" w:space="0" w:color="auto"/>
        <w:bottom w:val="none" w:sz="0" w:space="0" w:color="auto"/>
        <w:right w:val="none" w:sz="0" w:space="0" w:color="auto"/>
      </w:divBdr>
      <w:divsChild>
        <w:div w:id="74168349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7230</Words>
  <Characters>3132</Characters>
  <Application>Microsoft Office Word</Application>
  <DocSecurity>0</DocSecurity>
  <Lines>26</Lines>
  <Paragraphs>20</Paragraphs>
  <ScaleCrop>false</ScaleCrop>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Alex.Huang@FA</cp:lastModifiedBy>
  <cp:revision>4</cp:revision>
  <dcterms:created xsi:type="dcterms:W3CDTF">2026-04-14T10:01:00Z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