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上投摩根欧洲动力策略股票型证券投资基金（QDII）</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2019年第1季度报告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2019年3月31日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招商银行股份有限公司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二〇一九年四月十九日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基金托管人招商银行股份有限公司根据本基金合同规定，于2019年4月18日复核了本报告中的财务指标、净值表现和投资组合报告等内容，保证复核内容不存在虚假记载、误导性陈述或者重大遗漏。 </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本报告期自2019年1月1日起至3月31日止。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上投摩根欧洲动力策略股票（QDII）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006282</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006282</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2018年10月31日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59,876,543.06</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本基金主要投资于欧洲股票，在严格控制风险的前提下追求超越业绩比较基准的回报。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将根据欧洲资本市场情况、企业竞争优势等进行综合分析、评估，精选优秀的欧洲企业进行跨市场配置以构建股票投资组合。本基金综合考虑欧洲地区不同市场的宏观经济环境、增长和通胀背景、不同市场的估值水平和流动性因素、相关公司所处的发展阶段、盈利前景和竞争环</w:t>
            </w:r>
            <w:r w:rsidRPr="008277FF">
              <w:rPr>
                <w:rFonts w:asciiTheme="minorEastAsia" w:eastAsiaTheme="minorEastAsia" w:hAnsiTheme="minorEastAsia"/>
                <w:color w:val="000000" w:themeColor="text1"/>
                <w:kern w:val="0"/>
                <w:szCs w:val="21"/>
              </w:rPr>
              <w:lastRenderedPageBreak/>
              <w:t>境以及其他影响投资组合回报及风险的重要要素将基金资产在欧洲市场之间进行配置，并从估值、股票质量及趋势三个维度在欧洲上市公司股票中进行筛选。本基金还将综合分析企业的财务状况、商业模式以及公司管理层三个方面，从中筛选出优秀的上市公司，结合各项定量和定性指标挑选出最具上涨潜力的标的自下而上构建投资组合。</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lastRenderedPageBreak/>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本基金的业绩比较基准：90%×MSCI欧洲净收益指数（MSCI Europe Index (Total Return Net)）收益率+ 10%×税后银行活期存款收益率</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本基金属于股票型基金产品，预期风险和收益水平高于混合型基金、债券型基金和货币市场基金。</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招商银行股份有限公司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JPMorgan Asset Management(UK)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摩根资产管理（英国）有限公司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The Hong Kong and Shanghai Banking Corporation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香港上海汇丰银行有限公司</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A834EE" w:rsidRPr="008277FF" w:rsidTr="00A834EE">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2019年1月1日-2019年3月31日</w:t>
            </w:r>
            <w:r w:rsidRPr="008277FF">
              <w:rPr>
                <w:rFonts w:asciiTheme="minorEastAsia" w:eastAsiaTheme="minorEastAsia" w:hAnsiTheme="minorEastAsia" w:cs="宋体" w:hint="eastAsia"/>
                <w:color w:val="000000" w:themeColor="text1"/>
                <w:szCs w:val="21"/>
              </w:rPr>
              <w:t>)</w:t>
            </w:r>
          </w:p>
        </w:tc>
      </w:tr>
      <w:tr w:rsidR="00A834EE" w:rsidRPr="008277FF" w:rsidTr="00A834EE">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-283,577.22</w:t>
            </w:r>
          </w:p>
        </w:tc>
      </w:tr>
      <w:tr w:rsidR="00A834EE" w:rsidRPr="008277FF" w:rsidTr="00A834EE">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2,216,854.37</w:t>
            </w:r>
          </w:p>
        </w:tc>
      </w:tr>
      <w:tr w:rsidR="00A834EE" w:rsidRPr="008277FF" w:rsidTr="00A834EE">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0.0326</w:t>
            </w:r>
          </w:p>
        </w:tc>
      </w:tr>
      <w:tr w:rsidR="00A834EE" w:rsidRPr="008277FF" w:rsidTr="00A834EE">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61,416,546.16</w:t>
            </w:r>
          </w:p>
        </w:tc>
      </w:tr>
      <w:tr w:rsidR="00A834EE" w:rsidRPr="008277FF" w:rsidTr="00A834EE">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lastRenderedPageBreak/>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1.0257</w:t>
            </w:r>
          </w:p>
        </w:tc>
      </w:tr>
    </w:tbl>
    <w:p w:rsidR="002A382D" w:rsidRDefault="00A834EE">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8277FF" w:rsidRDefault="007D1292"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2A382D">
        <w:tc>
          <w:tcPr>
            <w:tcW w:w="1395" w:type="dxa"/>
            <w:vAlign w:val="center"/>
          </w:tcPr>
          <w:p w:rsidR="002A382D" w:rsidRDefault="00A834EE">
            <w:pPr>
              <w:jc w:val="left"/>
            </w:pPr>
            <w:r>
              <w:rPr>
                <w:rFonts w:asciiTheme="minorEastAsia" w:eastAsiaTheme="minorEastAsia" w:hAnsiTheme="minorEastAsia"/>
                <w:color w:val="000000" w:themeColor="text1"/>
                <w:szCs w:val="21"/>
              </w:rPr>
              <w:t>过去三个月</w:t>
            </w:r>
          </w:p>
        </w:tc>
        <w:tc>
          <w:tcPr>
            <w:tcW w:w="1092" w:type="dxa"/>
            <w:vAlign w:val="center"/>
          </w:tcPr>
          <w:p w:rsidR="002A382D" w:rsidRDefault="00A834EE">
            <w:pPr>
              <w:jc w:val="right"/>
            </w:pPr>
            <w:r>
              <w:rPr>
                <w:rFonts w:asciiTheme="minorEastAsia" w:eastAsiaTheme="minorEastAsia" w:hAnsiTheme="minorEastAsia"/>
                <w:color w:val="000000" w:themeColor="text1"/>
                <w:szCs w:val="21"/>
              </w:rPr>
              <w:t>3.22%</w:t>
            </w:r>
          </w:p>
        </w:tc>
        <w:tc>
          <w:tcPr>
            <w:tcW w:w="1161" w:type="dxa"/>
            <w:vAlign w:val="center"/>
          </w:tcPr>
          <w:p w:rsidR="002A382D" w:rsidRDefault="00A834EE">
            <w:pPr>
              <w:jc w:val="right"/>
            </w:pPr>
            <w:r>
              <w:rPr>
                <w:rFonts w:asciiTheme="minorEastAsia" w:eastAsiaTheme="minorEastAsia" w:hAnsiTheme="minorEastAsia"/>
                <w:color w:val="000000" w:themeColor="text1"/>
                <w:szCs w:val="21"/>
              </w:rPr>
              <w:t>0.47%</w:t>
            </w:r>
          </w:p>
        </w:tc>
        <w:tc>
          <w:tcPr>
            <w:tcW w:w="1181" w:type="dxa"/>
            <w:vAlign w:val="center"/>
          </w:tcPr>
          <w:p w:rsidR="002A382D" w:rsidRDefault="00A834EE">
            <w:pPr>
              <w:jc w:val="right"/>
            </w:pPr>
            <w:r>
              <w:rPr>
                <w:rFonts w:asciiTheme="minorEastAsia" w:eastAsiaTheme="minorEastAsia" w:hAnsiTheme="minorEastAsia"/>
                <w:color w:val="000000" w:themeColor="text1"/>
                <w:szCs w:val="21"/>
              </w:rPr>
              <w:t>7.3</w:t>
            </w: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w:t>
            </w:r>
          </w:p>
        </w:tc>
        <w:tc>
          <w:tcPr>
            <w:tcW w:w="1188" w:type="dxa"/>
            <w:vAlign w:val="center"/>
          </w:tcPr>
          <w:p w:rsidR="002A382D" w:rsidRDefault="00A834EE">
            <w:pPr>
              <w:jc w:val="right"/>
            </w:pPr>
            <w:r>
              <w:rPr>
                <w:rFonts w:asciiTheme="minorEastAsia" w:eastAsiaTheme="minorEastAsia" w:hAnsiTheme="minorEastAsia"/>
                <w:color w:val="000000" w:themeColor="text1"/>
                <w:szCs w:val="21"/>
              </w:rPr>
              <w:t>0.68%</w:t>
            </w:r>
          </w:p>
        </w:tc>
        <w:tc>
          <w:tcPr>
            <w:tcW w:w="1199" w:type="dxa"/>
            <w:vAlign w:val="center"/>
          </w:tcPr>
          <w:p w:rsidR="002A382D" w:rsidRDefault="00A834EE">
            <w:pPr>
              <w:jc w:val="right"/>
            </w:pPr>
            <w:r>
              <w:rPr>
                <w:rFonts w:asciiTheme="minorEastAsia" w:eastAsiaTheme="minorEastAsia" w:hAnsiTheme="minorEastAsia"/>
                <w:color w:val="000000" w:themeColor="text1"/>
                <w:szCs w:val="21"/>
              </w:rPr>
              <w:t>-4.0</w:t>
            </w:r>
            <w:r>
              <w:rPr>
                <w:rFonts w:asciiTheme="minorEastAsia" w:eastAsiaTheme="minorEastAsia" w:hAnsiTheme="minorEastAsia" w:hint="eastAsia"/>
                <w:color w:val="000000" w:themeColor="text1"/>
                <w:szCs w:val="21"/>
              </w:rPr>
              <w:t>9</w:t>
            </w:r>
            <w:r>
              <w:rPr>
                <w:rFonts w:asciiTheme="minorEastAsia" w:eastAsiaTheme="minorEastAsia" w:hAnsiTheme="minorEastAsia"/>
                <w:color w:val="000000" w:themeColor="text1"/>
                <w:szCs w:val="21"/>
              </w:rPr>
              <w:t>%</w:t>
            </w:r>
          </w:p>
        </w:tc>
        <w:tc>
          <w:tcPr>
            <w:tcW w:w="1204" w:type="dxa"/>
            <w:vAlign w:val="center"/>
          </w:tcPr>
          <w:p w:rsidR="002A382D" w:rsidRDefault="00A834EE">
            <w:pPr>
              <w:jc w:val="right"/>
            </w:pPr>
            <w:r>
              <w:rPr>
                <w:rFonts w:asciiTheme="minorEastAsia" w:eastAsiaTheme="minorEastAsia" w:hAnsiTheme="minorEastAsia"/>
                <w:color w:val="000000" w:themeColor="text1"/>
                <w:szCs w:val="21"/>
              </w:rPr>
              <w:t>-0.21%</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8"/>
          <w:rFonts w:hint="eastAsia"/>
          <w:color w:val="000000" w:themeColor="text1"/>
          <w:sz w:val="24"/>
          <w:shd w:val="clear" w:color="auto" w:fill="FFFFFF"/>
        </w:rPr>
        <w:t>自基金合同生效以来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上投摩根欧洲动力策略股票型证券投资基金（QDII）</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2018年10月31日</w:t>
      </w:r>
      <w:r w:rsidRPr="008277FF">
        <w:rPr>
          <w:rFonts w:asciiTheme="minorEastAsia" w:eastAsiaTheme="minorEastAsia" w:hAnsiTheme="minorEastAsia" w:hint="eastAsia"/>
          <w:color w:val="000000" w:themeColor="text1"/>
          <w:kern w:val="0"/>
          <w:szCs w:val="21"/>
        </w:rPr>
        <w:t>至2019年3月31日）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2A382D" w:rsidRDefault="00A834EE">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注：本基金合同生效日为2018年10月31日，图示时间段为2018年10月31日至2019年3月31日。</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本基金建仓期自2018年10月31日至2019年4月29日，目前本基金还处于建仓期。</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2A382D">
        <w:tc>
          <w:tcPr>
            <w:tcW w:w="851" w:type="dxa"/>
            <w:vAlign w:val="center"/>
          </w:tcPr>
          <w:p w:rsidR="002A382D" w:rsidRDefault="00A834EE">
            <w:pPr>
              <w:jc w:val="center"/>
            </w:pPr>
            <w:r>
              <w:rPr>
                <w:rFonts w:asciiTheme="minorEastAsia" w:eastAsiaTheme="minorEastAsia" w:hAnsiTheme="minorEastAsia"/>
                <w:color w:val="000000" w:themeColor="text1"/>
                <w:szCs w:val="21"/>
              </w:rPr>
              <w:t>张军</w:t>
            </w:r>
          </w:p>
        </w:tc>
        <w:tc>
          <w:tcPr>
            <w:tcW w:w="850" w:type="dxa"/>
            <w:vAlign w:val="center"/>
          </w:tcPr>
          <w:p w:rsidR="002A382D" w:rsidRDefault="00A834EE">
            <w:pPr>
              <w:jc w:val="center"/>
            </w:pPr>
            <w:r>
              <w:rPr>
                <w:rFonts w:asciiTheme="minorEastAsia" w:eastAsiaTheme="minorEastAsia" w:hAnsiTheme="minorEastAsia"/>
                <w:color w:val="000000" w:themeColor="text1"/>
                <w:szCs w:val="21"/>
              </w:rPr>
              <w:t>本基金基金经理、投资董事</w:t>
            </w:r>
          </w:p>
        </w:tc>
        <w:tc>
          <w:tcPr>
            <w:tcW w:w="1560" w:type="dxa"/>
            <w:vAlign w:val="center"/>
          </w:tcPr>
          <w:p w:rsidR="002A382D" w:rsidRDefault="00A834EE">
            <w:pPr>
              <w:jc w:val="center"/>
            </w:pPr>
            <w:r>
              <w:rPr>
                <w:rFonts w:asciiTheme="minorEastAsia" w:eastAsiaTheme="minorEastAsia" w:hAnsiTheme="minorEastAsia"/>
                <w:color w:val="000000" w:themeColor="text1"/>
                <w:szCs w:val="21"/>
              </w:rPr>
              <w:t>2018-10-31</w:t>
            </w:r>
          </w:p>
        </w:tc>
        <w:tc>
          <w:tcPr>
            <w:tcW w:w="1559" w:type="dxa"/>
            <w:vAlign w:val="center"/>
          </w:tcPr>
          <w:p w:rsidR="002A382D" w:rsidRDefault="00A834EE">
            <w:pPr>
              <w:jc w:val="center"/>
            </w:pPr>
            <w:r>
              <w:rPr>
                <w:rFonts w:asciiTheme="minorEastAsia" w:eastAsiaTheme="minorEastAsia" w:hAnsiTheme="minorEastAsia"/>
                <w:color w:val="000000" w:themeColor="text1"/>
                <w:szCs w:val="21"/>
              </w:rPr>
              <w:t>-</w:t>
            </w:r>
          </w:p>
        </w:tc>
        <w:tc>
          <w:tcPr>
            <w:tcW w:w="1417" w:type="dxa"/>
            <w:vAlign w:val="center"/>
          </w:tcPr>
          <w:p w:rsidR="002A382D" w:rsidRDefault="00A834EE">
            <w:pPr>
              <w:jc w:val="center"/>
            </w:pPr>
            <w:r>
              <w:rPr>
                <w:rFonts w:asciiTheme="minorEastAsia" w:eastAsiaTheme="minorEastAsia" w:hAnsiTheme="minorEastAsia"/>
                <w:color w:val="000000" w:themeColor="text1"/>
                <w:szCs w:val="21"/>
              </w:rPr>
              <w:t>15年（金融领域从业经验26年）</w:t>
            </w:r>
          </w:p>
        </w:tc>
        <w:tc>
          <w:tcPr>
            <w:tcW w:w="2694" w:type="dxa"/>
            <w:vAlign w:val="center"/>
          </w:tcPr>
          <w:p w:rsidR="002A382D" w:rsidRDefault="00A834EE">
            <w:pPr>
              <w:jc w:val="left"/>
            </w:pPr>
            <w:r>
              <w:rPr>
                <w:rFonts w:asciiTheme="minorEastAsia" w:eastAsiaTheme="minorEastAsia" w:hAnsiTheme="minorEastAsia"/>
                <w:color w:val="000000" w:themeColor="text1"/>
                <w:szCs w:val="21"/>
              </w:rPr>
              <w:t>基金经理张军先生，毕业于上海复旦大学。曾担任上海国际信托有限公司国际业务部经理，交易部经理。2004年6月加入上投摩根基金管理有限公司，先后担任交易部总监、投资经理、基金经理、投资组合管理部总监、投资绩效评估总监、国际投资部总监、组合基金投资部总监，现担任投资董事。2008年3月起担任上投摩根亚太优势混合型证券投资基金基金经理，自2012年3月起同时担任上投摩根全球天然资源混合型证券投资基金基金经理，自2016年12月起同时担任上投摩根全球多元配置证券投资基金基金经理，自2018年10月起担任上投摩根欧洲动力策略股票型证券投资基金（QDII）基金经理。</w:t>
            </w:r>
          </w:p>
        </w:tc>
      </w:tr>
    </w:tbl>
    <w:p w:rsidR="002A382D" w:rsidRDefault="00A834EE">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2A382D" w:rsidRDefault="00A834EE">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 张军先生为本基金首任基金经理，其任职日期为本基金基金合同生效之日；</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 证券从业的含义遵从行业协会《证券业从业人员资格管理办法》的相关规定。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F077D2" w:rsidRPr="008277FF">
        <w:rPr>
          <w:rFonts w:asciiTheme="minorEastAsia" w:eastAsiaTheme="minorEastAsia" w:hAnsiTheme="minorEastAsia" w:cs="Arial" w:hint="eastAsia"/>
          <w:b/>
          <w:color w:val="000000" w:themeColor="text1"/>
          <w:kern w:val="0"/>
          <w:sz w:val="24"/>
        </w:rPr>
        <w:t>2</w:t>
      </w:r>
      <w:r w:rsidR="00A32FDA" w:rsidRPr="008277FF">
        <w:rPr>
          <w:rFonts w:asciiTheme="minorEastAsia" w:eastAsiaTheme="minorEastAsia" w:hAnsiTheme="minorEastAsia" w:cs="Arial" w:hint="eastAsia"/>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境外投资顾问为本基金提供投资建议的主要成员简介</w:t>
      </w:r>
    </w:p>
    <w:tbl>
      <w:tblPr>
        <w:tblStyle w:val="af7"/>
        <w:tblW w:w="0" w:type="auto"/>
        <w:tblInd w:w="15" w:type="dxa"/>
        <w:tblLook w:val="04A0" w:firstRow="1" w:lastRow="0" w:firstColumn="1" w:lastColumn="0" w:noHBand="0" w:noVBand="1"/>
      </w:tblPr>
      <w:tblGrid>
        <w:gridCol w:w="1622"/>
        <w:gridCol w:w="2736"/>
        <w:gridCol w:w="1244"/>
        <w:gridCol w:w="2911"/>
      </w:tblGrid>
      <w:tr w:rsidR="008277FF" w:rsidRPr="008277FF" w:rsidTr="00797DD2">
        <w:tc>
          <w:tcPr>
            <w:tcW w:w="2129"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姓名</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在境外投资顾问所任职务</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证券从业</w:t>
            </w:r>
            <w:r w:rsidRPr="008277FF">
              <w:rPr>
                <w:rFonts w:asciiTheme="minorEastAsia" w:eastAsiaTheme="minorEastAsia" w:hAnsiTheme="minorEastAsia" w:cs="Arial" w:hint="eastAsia"/>
                <w:color w:val="000000" w:themeColor="text1"/>
                <w:kern w:val="0"/>
                <w:szCs w:val="21"/>
              </w:rPr>
              <w:lastRenderedPageBreak/>
              <w:t>年限</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lastRenderedPageBreak/>
              <w:t>说明</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lastRenderedPageBreak/>
              <w:t>Blake Crawford</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执行董事，国际股票团队行为金融组基金经理</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10年</w:t>
            </w:r>
          </w:p>
        </w:tc>
        <w:tc>
          <w:tcPr>
            <w:tcW w:w="0" w:type="auto"/>
            <w:vAlign w:val="center"/>
          </w:tcPr>
          <w:p w:rsidR="002A382D" w:rsidRDefault="00A834EE">
            <w:pPr>
              <w:jc w:val="left"/>
            </w:pPr>
            <w:r>
              <w:rPr>
                <w:rFonts w:asciiTheme="minorEastAsia" w:eastAsiaTheme="minorEastAsia" w:hAnsiTheme="minorEastAsia"/>
                <w:color w:val="000000" w:themeColor="text1"/>
                <w:szCs w:val="21"/>
              </w:rPr>
              <w:t>男，英国巴斯大学经济学学士学位，IMC 和CFA资格</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Alexander Whyte</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助理副总裁，国际股票团队行为金融组基金经理助理</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5年</w:t>
            </w:r>
          </w:p>
        </w:tc>
        <w:tc>
          <w:tcPr>
            <w:tcW w:w="0" w:type="auto"/>
            <w:vAlign w:val="center"/>
          </w:tcPr>
          <w:p w:rsidR="002A382D" w:rsidRDefault="00A834EE">
            <w:pPr>
              <w:jc w:val="left"/>
            </w:pPr>
            <w:r>
              <w:rPr>
                <w:rFonts w:asciiTheme="minorEastAsia" w:eastAsiaTheme="minorEastAsia" w:hAnsiTheme="minorEastAsia"/>
                <w:color w:val="000000" w:themeColor="text1"/>
                <w:szCs w:val="21"/>
              </w:rPr>
              <w:t>男，英国剑桥大学机械工程学学士及硕士学位，CFA资格</w:t>
            </w:r>
          </w:p>
        </w:tc>
      </w:tr>
    </w:tbl>
    <w:p w:rsidR="00FB47E0" w:rsidRPr="008277FF" w:rsidRDefault="00FB47E0"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欧洲动力策略股票型证券投资基金（QDII）基金合同》的规定。基金经理对个股和投资组合的比例遵循了投资决策委员会的授权限制，基金投资比例符合基金合同和法律法规的要求。</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4.1</w:t>
      </w:r>
      <w:r w:rsidRPr="008277FF">
        <w:rPr>
          <w:rFonts w:asciiTheme="minorEastAsia" w:eastAsiaTheme="minorEastAsia" w:hAnsiTheme="minorEastAsia" w:hint="eastAsia"/>
          <w:color w:val="000000" w:themeColor="text1"/>
          <w:sz w:val="24"/>
        </w:rPr>
        <w:t>公平交易制度的执行情况</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w:t>
      </w:r>
      <w:r w:rsidRPr="008277FF">
        <w:rPr>
          <w:rFonts w:asciiTheme="minorEastAsia" w:eastAsiaTheme="minorEastAsia" w:hAnsiTheme="minorEastAsia" w:hint="eastAsia"/>
          <w:color w:val="000000" w:themeColor="text1"/>
          <w:szCs w:val="21"/>
        </w:rPr>
        <w:lastRenderedPageBreak/>
        <w:t>当日成交量的5%的情形：报告期内，所有投资组合参与的交易所公开竞价同日反向交易成交较少的单边交易量超过该证券当日成交量的5%的次数为一次，发生在量化投资组合与主动管理投资组合之间。</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5.1</w:t>
      </w:r>
      <w:r w:rsidRPr="008277FF">
        <w:rPr>
          <w:rFonts w:asciiTheme="minorEastAsia" w:eastAsiaTheme="minorEastAsia" w:hAnsiTheme="minorEastAsia" w:hint="eastAsia"/>
          <w:color w:val="000000" w:themeColor="text1"/>
          <w:sz w:val="24"/>
        </w:rPr>
        <w:t>报告期内基金投资策略和运作分析</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欧洲动力基金于2018年10月底正式成立，本报告期内基金以审慎乐观的态度逐步建仓。</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欧洲股市在2018年第四季度大幅下跌。2019年开始，随着美联储对未来加息政策的表述越来越显“鸽派”，即认为美国经济增长面临放缓的可能，核心通胀处于目标值以下，保持耐心等待观察更多经济指标和信号，加息进程可能暂缓一段时间。由此市场解读为美联储今年不会加息了，并且有一定的概率还可能减息。这明显有利于股价的反弹。</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中美贸易谈判也在去年12月G20的“习特会”后有利正面的进展，全球最大的两个经济体在贸易争端方面能够达成协议，避免祸及全球的贸易摩擦升级，也为风险资产的上涨提供了推动力。</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欧洲股票指数在今年一季度反弹，收复了上一季度的下跌，回到去年三季度末下跌前的位置。</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展望后市，本基金关注英国退欧对市场的影响，随着英国议会第三次否决脱欧协议，英国的“无协议脱欧”风险上升。基金组合应对可能的风险相对看淡英镑资产，并且看好英国上市的能源原材料企业，因为这些企业的收入以美元为主。另外，基金组合还将关注</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通信服务、信息技术、能源、工业事业等行业的投资机会。</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作为自下而上选股策略基金，本基金将从动能、质量和价值等维度寻找优质标的，以争取中长期超额收益。</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报告期内基金的业绩表现</w:t>
      </w:r>
    </w:p>
    <w:p w:rsidR="00FD7298"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本报告期上投摩根欧洲动力策略股票（QDII）份额净值增长率为3.22%，同期业绩比较基准收益率为7.30%。</w:t>
      </w:r>
    </w:p>
    <w:p w:rsidR="00C736BB" w:rsidRPr="008277FF" w:rsidRDefault="00C736BB" w:rsidP="00A70E23">
      <w:pPr>
        <w:spacing w:line="360" w:lineRule="auto"/>
        <w:ind w:firstLineChars="200" w:firstLine="480"/>
        <w:rPr>
          <w:rFonts w:asciiTheme="minorEastAsia" w:eastAsiaTheme="minorEastAsia" w:hAnsiTheme="minorEastAsia"/>
          <w:color w:val="000000" w:themeColor="text1"/>
          <w:sz w:val="24"/>
        </w:rPr>
      </w:pP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55,721,159.12</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84.34</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55,160,994.72</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83.49</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560,164.40</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0.85</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6,475,232.74</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9.80</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3,869,325.93</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5.86</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66,065,717.79</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7"/>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lastRenderedPageBreak/>
              <w:t>英国</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13,687,081.86</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22.29</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瑞士</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9,590,908.99</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15.62</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法国</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9,581,966.05</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15.60</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德国</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5,852,366.04</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9.53</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荷兰</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4,908,364.55</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7.99</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西班牙</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3,587,032.14</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5.84</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意大利</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2,416,899.19</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3.94</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芬兰</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1,874,207.03</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3.05</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瑞典</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961,470.97</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1.57</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挪威</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942,251.87</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1.53</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丹麦</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825,601.13</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1.34</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奥地利</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787,630.47</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1.28</w:t>
            </w:r>
          </w:p>
        </w:tc>
      </w:tr>
      <w:tr w:rsidR="002A382D">
        <w:trPr>
          <w:jc w:val="center"/>
        </w:trPr>
        <w:tc>
          <w:tcPr>
            <w:tcW w:w="2410" w:type="dxa"/>
            <w:vAlign w:val="center"/>
          </w:tcPr>
          <w:p w:rsidR="002A382D" w:rsidRDefault="00A834EE">
            <w:pPr>
              <w:jc w:val="left"/>
            </w:pPr>
            <w:r>
              <w:rPr>
                <w:rFonts w:asciiTheme="minorEastAsia" w:eastAsiaTheme="minorEastAsia" w:hAnsiTheme="minorEastAsia"/>
                <w:color w:val="000000" w:themeColor="text1"/>
                <w:szCs w:val="21"/>
              </w:rPr>
              <w:t>比利时</w:t>
            </w:r>
          </w:p>
        </w:tc>
        <w:tc>
          <w:tcPr>
            <w:tcW w:w="3118" w:type="dxa"/>
            <w:vAlign w:val="center"/>
          </w:tcPr>
          <w:p w:rsidR="002A382D" w:rsidRDefault="00A834EE">
            <w:pPr>
              <w:jc w:val="right"/>
            </w:pPr>
            <w:r>
              <w:rPr>
                <w:rFonts w:asciiTheme="minorEastAsia" w:eastAsiaTheme="minorEastAsia" w:hAnsiTheme="minorEastAsia"/>
                <w:color w:val="000000" w:themeColor="text1"/>
                <w:szCs w:val="21"/>
              </w:rPr>
              <w:t>705,378.83</w:t>
            </w:r>
          </w:p>
        </w:tc>
        <w:tc>
          <w:tcPr>
            <w:tcW w:w="3076" w:type="dxa"/>
            <w:vAlign w:val="center"/>
          </w:tcPr>
          <w:p w:rsidR="002A382D" w:rsidRDefault="00A834EE">
            <w:pPr>
              <w:jc w:val="right"/>
            </w:pPr>
            <w:r>
              <w:rPr>
                <w:rFonts w:asciiTheme="minorEastAsia" w:eastAsiaTheme="minorEastAsia" w:hAnsiTheme="minorEastAsia"/>
                <w:color w:val="000000" w:themeColor="text1"/>
                <w:szCs w:val="21"/>
              </w:rPr>
              <w:t>1.15</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55,721,159.12</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90.73</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tbl>
      <w:tblPr>
        <w:tblStyle w:val="af7"/>
        <w:tblW w:w="0" w:type="auto"/>
        <w:tblInd w:w="15" w:type="dxa"/>
        <w:tblLayout w:type="fixed"/>
        <w:tblLook w:val="04A0" w:firstRow="1" w:lastRow="0" w:firstColumn="1" w:lastColumn="0" w:noHBand="0" w:noVBand="1"/>
      </w:tblPr>
      <w:tblGrid>
        <w:gridCol w:w="2787"/>
        <w:gridCol w:w="2551"/>
        <w:gridCol w:w="3175"/>
      </w:tblGrid>
      <w:tr w:rsidR="008277FF" w:rsidRPr="008277FF" w:rsidTr="008B2EAD">
        <w:tc>
          <w:tcPr>
            <w:tcW w:w="2787"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行业类别</w:t>
            </w:r>
          </w:p>
        </w:tc>
        <w:tc>
          <w:tcPr>
            <w:tcW w:w="2551"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3175"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制药</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6,522,689.24</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10.62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石油、天然气与消费用燃料</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5,736,182.66</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9.34</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保险</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4,466,152.50</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7.27</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商业银行</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4,368,188.52</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7.11</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金属与采矿</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3,495,940.22</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5.69</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综合电信业务</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2,805,799.80</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4.57</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食品</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2,717,196.38</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4.42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建筑与工程</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2,514,129.97</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4.09</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航空航天与国防</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2,367,809.75</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3.86</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纺织品、服装与奢侈品</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2,040,994.33</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3.32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饮料</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2,004,791.65</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3.26</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电力公用事业</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1,423,398.93</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2.32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汽车</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1,419,495.65</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2.31</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信息技术服务</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1,383,958.56</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2.25</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食品与主要用品零售</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961,004.59</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1.56</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汽车零配件</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816,958.43</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1.33</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烟草</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778,892.31</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1.27</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航空公司</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754,786.27</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1.23</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房地产管理和开发</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753,901.06</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1.23</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机械制造</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674,672.89</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1.10</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通信设备</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626,859.10</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1.02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化学制品</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621,148.03</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1.01</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电脑与外围设备</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619,680.25</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1.01</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家庭耐用消费品</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610,703.48</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0.99</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lastRenderedPageBreak/>
              <w:t>资本市场</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607,945.00</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0.99</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贸易公司与经销商</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562,092.76</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0.92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酒店、餐馆与休闲</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531,727.71</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0.87</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半导体产品与设备</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505,659.62</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0.82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纸类与林业产品</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475,719.24</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0.77</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专业服务</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442,859.76</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0.72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多元化零售</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365,923.37</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0.60</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媒体</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343,212.00</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0.56</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软件</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274,670.57</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0.45</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复合型公用事业</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263,190.92</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0.43</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互助储蓄银行与抵押信贷</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206,915.21</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0.34</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个人用品</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203,649.78</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0.33</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互动媒体与服务</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132,377.05</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0.22</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专营零售</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121,811.30</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0.20</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居家用品</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107,717.54</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0.18</w:t>
            </w:r>
          </w:p>
        </w:tc>
      </w:tr>
      <w:tr w:rsidR="002A382D">
        <w:tc>
          <w:tcPr>
            <w:tcW w:w="2787" w:type="dxa"/>
            <w:vAlign w:val="center"/>
          </w:tcPr>
          <w:p w:rsidR="002A382D" w:rsidRDefault="00A834EE">
            <w:pPr>
              <w:jc w:val="left"/>
            </w:pPr>
            <w:r>
              <w:rPr>
                <w:rFonts w:asciiTheme="minorEastAsia" w:eastAsiaTheme="minorEastAsia" w:hAnsiTheme="minorEastAsia"/>
                <w:color w:val="000000" w:themeColor="text1"/>
                <w:szCs w:val="21"/>
              </w:rPr>
              <w:t>无线电信业务</w:t>
            </w:r>
          </w:p>
        </w:tc>
        <w:tc>
          <w:tcPr>
            <w:tcW w:w="2551" w:type="dxa"/>
            <w:vAlign w:val="center"/>
          </w:tcPr>
          <w:p w:rsidR="002A382D" w:rsidRDefault="00A834EE">
            <w:pPr>
              <w:jc w:val="right"/>
            </w:pPr>
            <w:r>
              <w:rPr>
                <w:rFonts w:asciiTheme="minorEastAsia" w:eastAsiaTheme="minorEastAsia" w:hAnsiTheme="minorEastAsia"/>
                <w:color w:val="000000" w:themeColor="text1"/>
                <w:szCs w:val="21"/>
              </w:rPr>
              <w:t>90,352.72</w:t>
            </w:r>
          </w:p>
        </w:tc>
        <w:tc>
          <w:tcPr>
            <w:tcW w:w="3175" w:type="dxa"/>
            <w:vAlign w:val="center"/>
          </w:tcPr>
          <w:p w:rsidR="002A382D" w:rsidRDefault="00A834EE">
            <w:pPr>
              <w:jc w:val="right"/>
            </w:pPr>
            <w:r>
              <w:rPr>
                <w:rFonts w:asciiTheme="minorEastAsia" w:eastAsiaTheme="minorEastAsia" w:hAnsiTheme="minorEastAsia"/>
                <w:color w:val="000000" w:themeColor="text1"/>
                <w:szCs w:val="21"/>
              </w:rPr>
              <w:t>0.15</w:t>
            </w:r>
          </w:p>
        </w:tc>
      </w:tr>
      <w:tr w:rsidR="008277FF" w:rsidRPr="008277FF" w:rsidTr="00877D98">
        <w:tc>
          <w:tcPr>
            <w:tcW w:w="2787" w:type="dxa"/>
            <w:vAlign w:val="center"/>
          </w:tcPr>
          <w:p w:rsidR="00C37E98" w:rsidRPr="008277FF" w:rsidRDefault="00C37E98" w:rsidP="00877D98">
            <w:pPr>
              <w:autoSpaceDE w:val="0"/>
              <w:autoSpaceDN w:val="0"/>
              <w:adjustRightInd w:val="0"/>
              <w:spacing w:before="29" w:line="360" w:lineRule="auto"/>
              <w:ind w:left="15"/>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2551"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55,721,159.12</w:t>
            </w:r>
          </w:p>
        </w:tc>
        <w:tc>
          <w:tcPr>
            <w:tcW w:w="3175"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90.73</w:t>
            </w:r>
          </w:p>
        </w:tc>
      </w:tr>
    </w:tbl>
    <w:p w:rsidR="005B6AC7"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注：行业分类标准：MSCI</w:t>
      </w:r>
    </w:p>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tbl>
      <w:tblPr>
        <w:tblStyle w:val="af7"/>
        <w:tblW w:w="0" w:type="auto"/>
        <w:tblInd w:w="15" w:type="dxa"/>
        <w:tblLook w:val="04A0" w:firstRow="1" w:lastRow="0" w:firstColumn="1" w:lastColumn="0" w:noHBand="0" w:noVBand="1"/>
      </w:tblPr>
      <w:tblGrid>
        <w:gridCol w:w="438"/>
        <w:gridCol w:w="1769"/>
        <w:gridCol w:w="734"/>
        <w:gridCol w:w="734"/>
        <w:gridCol w:w="734"/>
        <w:gridCol w:w="645"/>
        <w:gridCol w:w="1148"/>
        <w:gridCol w:w="1459"/>
        <w:gridCol w:w="852"/>
      </w:tblGrid>
      <w:tr w:rsidR="008277FF" w:rsidRPr="008277FF" w:rsidTr="001C7D5D">
        <w:tc>
          <w:tcPr>
            <w:tcW w:w="794"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序号</w:t>
            </w:r>
          </w:p>
        </w:tc>
        <w:tc>
          <w:tcPr>
            <w:tcW w:w="974" w:type="dxa"/>
            <w:vAlign w:val="center"/>
          </w:tcPr>
          <w:p w:rsidR="001C7D5D" w:rsidRPr="008277FF" w:rsidRDefault="001C7D5D" w:rsidP="001C7D5D">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公司名称（英文）</w:t>
            </w:r>
          </w:p>
        </w:tc>
        <w:tc>
          <w:tcPr>
            <w:tcW w:w="1019"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公司名称（中文）</w:t>
            </w:r>
          </w:p>
        </w:tc>
        <w:tc>
          <w:tcPr>
            <w:tcW w:w="703"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证券代码</w:t>
            </w:r>
          </w:p>
        </w:tc>
        <w:tc>
          <w:tcPr>
            <w:tcW w:w="793"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所在证</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券市场</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所属国家</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（地区</w:t>
            </w:r>
            <w:r w:rsidRPr="008277FF">
              <w:rPr>
                <w:rFonts w:asciiTheme="minorEastAsia" w:eastAsiaTheme="minorEastAsia" w:hAnsiTheme="minorEastAsia" w:cs="Arial"/>
                <w:color w:val="000000" w:themeColor="text1"/>
                <w:kern w:val="0"/>
                <w:szCs w:val="21"/>
              </w:rPr>
              <w:t>)</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数量</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（股）</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1</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NESTLE SA-REG</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雀巢</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NESN SW</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SIX瑞士</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瑞士</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4,145.00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2,662,145.86</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4.33</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2</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ROCHE HOLDING AG-GENUSSCHEIN</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罗氏</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ROG SW</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SIX瑞士</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瑞士</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1,366.00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2,536,277.46</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4.13</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3</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NOVARTIS AG-REG</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诺华</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NOVN SW</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SIX瑞士</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瑞士</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3,594.00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2,329,667.84</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3.79</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4</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ALLIANZ SE-REG</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安联保险</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ALV GY</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Xetra</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德国</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988.00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1,481,145.97</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2.41</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5</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RIO TINTO PLC</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力拓</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 xml:space="preserve">RIO </w:t>
            </w:r>
            <w:r>
              <w:rPr>
                <w:rFonts w:asciiTheme="minorEastAsia" w:eastAsiaTheme="minorEastAsia" w:hAnsiTheme="minorEastAsia"/>
                <w:color w:val="000000" w:themeColor="text1"/>
                <w:szCs w:val="21"/>
              </w:rPr>
              <w:lastRenderedPageBreak/>
              <w:t>LN</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lastRenderedPageBreak/>
              <w:t>伦敦</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英国</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3,664.00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1,436,865.4</w:t>
            </w:r>
            <w:r>
              <w:rPr>
                <w:rFonts w:asciiTheme="minorEastAsia" w:eastAsiaTheme="minorEastAsia" w:hAnsiTheme="minorEastAsia"/>
                <w:color w:val="000000" w:themeColor="text1"/>
                <w:szCs w:val="21"/>
              </w:rPr>
              <w:lastRenderedPageBreak/>
              <w:t>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lastRenderedPageBreak/>
              <w:t>2.34</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lastRenderedPageBreak/>
              <w:t>6</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ROYAL DUTCH SHELL PLC-A SHS</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荷兰皇家壳牌</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RDSA LN</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伦敦</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英国</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6,388.00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1,353,047.84</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2.21</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7</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GLAXOSMITHKLINE PLC</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葛兰素史克</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GSK LN</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伦敦</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英国</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9,459.00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1,327,773.95</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2.16</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8</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NESTE OYJ</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Neste公共</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 xml:space="preserve">NESTE FH　</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赫尔辛基</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芬兰</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1,790.00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1,285,697.04</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2.09</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9</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ENEL SPA</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恩耐股份</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ENEL IM</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 xml:space="preserve">意大利　</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 xml:space="preserve">意大利　</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29,537.00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1,273,819.55</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2.07</w:t>
            </w:r>
          </w:p>
        </w:tc>
      </w:tr>
      <w:tr w:rsidR="002A382D">
        <w:tc>
          <w:tcPr>
            <w:tcW w:w="0" w:type="auto"/>
            <w:vAlign w:val="center"/>
          </w:tcPr>
          <w:p w:rsidR="002A382D" w:rsidRDefault="00A834EE">
            <w:pPr>
              <w:jc w:val="center"/>
            </w:pPr>
            <w:r>
              <w:rPr>
                <w:rFonts w:asciiTheme="minorEastAsia" w:eastAsiaTheme="minorEastAsia" w:hAnsiTheme="minorEastAsia"/>
                <w:color w:val="000000" w:themeColor="text1"/>
                <w:szCs w:val="21"/>
              </w:rPr>
              <w:t>10</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KERING</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开云集团</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KER FP</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巴黎</w:t>
            </w:r>
          </w:p>
        </w:tc>
        <w:tc>
          <w:tcPr>
            <w:tcW w:w="0" w:type="auto"/>
            <w:vAlign w:val="center"/>
          </w:tcPr>
          <w:p w:rsidR="002A382D" w:rsidRDefault="00A834EE">
            <w:pPr>
              <w:jc w:val="center"/>
            </w:pPr>
            <w:r>
              <w:rPr>
                <w:rFonts w:asciiTheme="minorEastAsia" w:eastAsiaTheme="minorEastAsia" w:hAnsiTheme="minorEastAsia"/>
                <w:color w:val="000000" w:themeColor="text1"/>
                <w:szCs w:val="21"/>
              </w:rPr>
              <w:t>法国</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301.00</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1,163,373.98</w:t>
            </w:r>
          </w:p>
        </w:tc>
        <w:tc>
          <w:tcPr>
            <w:tcW w:w="0" w:type="auto"/>
            <w:vAlign w:val="center"/>
          </w:tcPr>
          <w:p w:rsidR="002A382D" w:rsidRDefault="00A834EE">
            <w:pPr>
              <w:jc w:val="right"/>
            </w:pPr>
            <w:r>
              <w:rPr>
                <w:rFonts w:asciiTheme="minorEastAsia" w:eastAsiaTheme="minorEastAsia" w:hAnsiTheme="minorEastAsia"/>
                <w:color w:val="000000" w:themeColor="text1"/>
                <w:szCs w:val="21"/>
              </w:rPr>
              <w:t>1.89</w:t>
            </w:r>
          </w:p>
        </w:tc>
      </w:tr>
    </w:tbl>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本基金本报告期末未持有金融衍生品。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本基金本报告期末未持有基金。</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lastRenderedPageBreak/>
        <w:t>5.10.1报告期内本基金投资的前十名证券的发行主体本期没有出现被监管部门立案调查，或在报告编制日前一年内受到公开谴责、处罚的情形。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7"/>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485,093.60</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209,669.35</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1,032.09</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36,078.19</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3,137,452.70</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3,869,325.93</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本基金本报告期末前十名股票中不存在流通受限情况。</w:t>
      </w:r>
    </w:p>
    <w:p w:rsidR="000E3B88" w:rsidRPr="008277FF" w:rsidRDefault="000E3B88" w:rsidP="002236BC">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因四舍五入的原因，投资组合报告中分项之和与合计数可能存在尾差。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78,192,623.15</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lastRenderedPageBreak/>
              <w:t>报告期</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1,383,030.34</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19,699,110.43</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59,876,543.06</w:t>
            </w:r>
          </w:p>
        </w:tc>
      </w:tr>
    </w:tbl>
    <w:p w:rsidR="00BB5F3D" w:rsidRPr="00696B8B" w:rsidRDefault="00BB5F3D" w:rsidP="007449EE">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t xml:space="preserve">§7  </w:t>
      </w:r>
      <w:r w:rsidRPr="00696B8B">
        <w:rPr>
          <w:rFonts w:ascii="方正仿宋简体" w:hint="eastAsia"/>
          <w:color w:val="000000" w:themeColor="text1"/>
          <w:sz w:val="24"/>
          <w:szCs w:val="24"/>
        </w:rPr>
        <w:t>基金管理人运用固有资金投资本基金情况</w:t>
      </w:r>
    </w:p>
    <w:p w:rsidR="00BB5F3D" w:rsidRPr="00696B8B" w:rsidRDefault="00BB5F3D" w:rsidP="00BB5F3D">
      <w:pPr>
        <w:spacing w:line="360" w:lineRule="auto"/>
        <w:jc w:val="left"/>
        <w:rPr>
          <w:color w:val="000000" w:themeColor="text1"/>
          <w:sz w:val="24"/>
        </w:rPr>
      </w:pPr>
      <w:r w:rsidRPr="00696B8B">
        <w:rPr>
          <w:b/>
          <w:color w:val="000000" w:themeColor="text1"/>
          <w:sz w:val="24"/>
        </w:rPr>
        <w:t xml:space="preserve">7.1 </w:t>
      </w:r>
      <w:r w:rsidRPr="00696B8B">
        <w:rPr>
          <w:rFonts w:hint="eastAsia"/>
          <w:b/>
          <w:color w:val="000000" w:themeColor="text1"/>
          <w:sz w:val="24"/>
        </w:rPr>
        <w:t>基金管理人持有本基金份额变动情况</w:t>
      </w:r>
    </w:p>
    <w:p w:rsidR="00BB5F3D" w:rsidRPr="00285ABF" w:rsidRDefault="00BB5F3D" w:rsidP="00BB5F3D">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单位：份</w:t>
      </w:r>
    </w:p>
    <w:tbl>
      <w:tblPr>
        <w:tblW w:w="9215" w:type="dxa"/>
        <w:tblInd w:w="-318" w:type="dxa"/>
        <w:tblLayout w:type="fixed"/>
        <w:tblLook w:val="04A0" w:firstRow="1" w:lastRow="0" w:firstColumn="1" w:lastColumn="0" w:noHBand="0" w:noVBand="1"/>
      </w:tblPr>
      <w:tblGrid>
        <w:gridCol w:w="5463"/>
        <w:gridCol w:w="3752"/>
      </w:tblGrid>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pStyle w:val="ad"/>
              <w:adjustRightInd w:val="0"/>
              <w:snapToGrid w:val="0"/>
              <w:spacing w:line="360" w:lineRule="exact"/>
              <w:rPr>
                <w:rFonts w:asciiTheme="minorEastAsia" w:eastAsiaTheme="minorEastAsia" w:hAnsiTheme="minorEastAsia"/>
                <w:color w:val="000000" w:themeColor="text1"/>
                <w:sz w:val="21"/>
                <w:szCs w:val="21"/>
              </w:rPr>
            </w:pPr>
            <w:r w:rsidRPr="00285ABF">
              <w:rPr>
                <w:rFonts w:asciiTheme="minorEastAsia" w:eastAsiaTheme="minorEastAsia" w:hAnsiTheme="minorEastAsia"/>
                <w:color w:val="000000" w:themeColor="text1"/>
                <w:sz w:val="21"/>
                <w:szCs w:val="21"/>
              </w:rPr>
              <w:t>报告期期初管理人持有的本基金份额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20,002,600.00</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报告期期间</w:t>
            </w:r>
            <w:r w:rsidRPr="00285ABF">
              <w:rPr>
                <w:rFonts w:asciiTheme="minorEastAsia" w:eastAsiaTheme="minorEastAsia" w:hAnsiTheme="minorEastAsia"/>
                <w:color w:val="000000" w:themeColor="text1"/>
                <w:szCs w:val="21"/>
              </w:rPr>
              <w:t>买入/申购总份额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报告期期间</w:t>
            </w:r>
            <w:r w:rsidRPr="00285ABF">
              <w:rPr>
                <w:rFonts w:asciiTheme="minorEastAsia" w:eastAsiaTheme="minorEastAsia" w:hAnsiTheme="minorEastAsia"/>
                <w:color w:val="000000" w:themeColor="text1"/>
                <w:szCs w:val="21"/>
              </w:rPr>
              <w:t>卖出/赎回总份额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报告期期末管理人持有的本基金份额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20,002,600.00</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报告期期末持有的本基金份额占基金总份额比例（%）</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33.41</w:t>
            </w:r>
          </w:p>
        </w:tc>
      </w:tr>
    </w:tbl>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p>
    <w:p w:rsidR="00BB5F3D" w:rsidRPr="003508B0" w:rsidRDefault="00BB5F3D" w:rsidP="00BB5F3D">
      <w:pPr>
        <w:spacing w:line="360" w:lineRule="auto"/>
        <w:jc w:val="left"/>
        <w:rPr>
          <w:rFonts w:asciiTheme="minorEastAsia" w:eastAsiaTheme="minorEastAsia" w:hAnsiTheme="minorEastAsia"/>
          <w:b/>
          <w:color w:val="000000" w:themeColor="text1"/>
          <w:sz w:val="24"/>
        </w:rPr>
      </w:pPr>
      <w:r w:rsidRPr="003508B0">
        <w:rPr>
          <w:rFonts w:asciiTheme="minorEastAsia" w:eastAsiaTheme="minorEastAsia" w:hAnsiTheme="minorEastAsia"/>
          <w:b/>
          <w:color w:val="000000" w:themeColor="text1"/>
          <w:sz w:val="24"/>
        </w:rPr>
        <w:t xml:space="preserve">7.2 </w:t>
      </w:r>
      <w:r w:rsidRPr="003508B0">
        <w:rPr>
          <w:rFonts w:asciiTheme="minorEastAsia" w:eastAsiaTheme="minorEastAsia" w:hAnsiTheme="minorEastAsia" w:hint="eastAsia"/>
          <w:b/>
          <w:color w:val="000000" w:themeColor="text1"/>
          <w:sz w:val="24"/>
        </w:rPr>
        <w:t>基金管理人运用固有资金投资本基金交易明细</w:t>
      </w:r>
    </w:p>
    <w:p w:rsidR="005E64DA" w:rsidRPr="008277FF" w:rsidRDefault="00BB5F3D" w:rsidP="005E64DA">
      <w:pPr>
        <w:autoSpaceDE w:val="0"/>
        <w:autoSpaceDN w:val="0"/>
        <w:adjustRightInd w:val="0"/>
        <w:spacing w:line="360" w:lineRule="auto"/>
        <w:jc w:val="lef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B111B9" w:rsidRPr="008277FF">
        <w:rPr>
          <w:rFonts w:asciiTheme="minorEastAsia" w:eastAsiaTheme="minorEastAsia" w:hAnsiTheme="minorEastAsia" w:cs="Arial" w:hint="eastAsia"/>
          <w:color w:val="000000" w:themeColor="text1"/>
          <w:kern w:val="0"/>
          <w:sz w:val="24"/>
          <w:szCs w:val="24"/>
        </w:rPr>
        <w:t xml:space="preserve">8 </w:t>
      </w:r>
      <w:r w:rsidRPr="008277FF">
        <w:rPr>
          <w:rFonts w:asciiTheme="minorEastAsia" w:eastAsiaTheme="minorEastAsia" w:hAnsiTheme="minorEastAsia" w:cs="Arial" w:hint="eastAsia"/>
          <w:color w:val="000000" w:themeColor="text1"/>
          <w:kern w:val="0"/>
          <w:sz w:val="24"/>
          <w:szCs w:val="24"/>
        </w:rPr>
        <w:t>影响投资者决策的其他重要信息</w:t>
      </w:r>
    </w:p>
    <w:p w:rsidR="00093448" w:rsidRPr="00093448" w:rsidRDefault="00093448" w:rsidP="00093448">
      <w:pPr>
        <w:autoSpaceDE w:val="0"/>
        <w:autoSpaceDN w:val="0"/>
        <w:adjustRightInd w:val="0"/>
        <w:spacing w:line="360" w:lineRule="auto"/>
        <w:jc w:val="left"/>
        <w:rPr>
          <w:rFonts w:ascii="宋体" w:hAnsi="宋体"/>
          <w:b/>
          <w:bCs/>
          <w:color w:val="000000"/>
          <w:kern w:val="0"/>
          <w:sz w:val="24"/>
        </w:rPr>
      </w:pPr>
      <w:r w:rsidRPr="00093448">
        <w:rPr>
          <w:rFonts w:ascii="宋体" w:hAnsi="宋体"/>
          <w:b/>
          <w:bCs/>
          <w:color w:val="000000"/>
          <w:kern w:val="0"/>
          <w:sz w:val="24"/>
        </w:rPr>
        <w:t>8.</w:t>
      </w:r>
      <w:r w:rsidRPr="00093448">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093448" w:rsidRPr="00090DA4" w:rsidTr="0038354C">
        <w:tc>
          <w:tcPr>
            <w:tcW w:w="993" w:type="dxa"/>
            <w:vMerge w:val="restart"/>
            <w:vAlign w:val="center"/>
          </w:tcPr>
          <w:p w:rsidR="00093448" w:rsidRPr="00090DA4" w:rsidRDefault="00093448"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投资者类别</w:t>
            </w:r>
            <w:r w:rsidRPr="00090DA4">
              <w:rPr>
                <w:rFonts w:ascii="宋体" w:hAnsi="宋体"/>
                <w:color w:val="000000"/>
                <w:kern w:val="0"/>
                <w:szCs w:val="21"/>
              </w:rPr>
              <w:t xml:space="preserve">  </w:t>
            </w:r>
          </w:p>
        </w:tc>
        <w:tc>
          <w:tcPr>
            <w:tcW w:w="5670" w:type="dxa"/>
            <w:gridSpan w:val="5"/>
            <w:vAlign w:val="center"/>
          </w:tcPr>
          <w:p w:rsidR="00093448" w:rsidRPr="00090DA4" w:rsidRDefault="00093448"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报告期内持有基金份额变化情况</w:t>
            </w:r>
          </w:p>
        </w:tc>
        <w:tc>
          <w:tcPr>
            <w:tcW w:w="2549" w:type="dxa"/>
            <w:gridSpan w:val="2"/>
            <w:vAlign w:val="center"/>
          </w:tcPr>
          <w:p w:rsidR="00093448" w:rsidRPr="00090DA4" w:rsidRDefault="00093448"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报告期末持有基金情况</w:t>
            </w:r>
          </w:p>
        </w:tc>
      </w:tr>
      <w:tr w:rsidR="00093448" w:rsidRPr="00090DA4" w:rsidTr="0038354C">
        <w:tc>
          <w:tcPr>
            <w:tcW w:w="993" w:type="dxa"/>
            <w:vMerge/>
            <w:vAlign w:val="center"/>
          </w:tcPr>
          <w:p w:rsidR="00093448" w:rsidRPr="00090DA4" w:rsidRDefault="00093448" w:rsidP="0038354C">
            <w:pPr>
              <w:autoSpaceDE w:val="0"/>
              <w:autoSpaceDN w:val="0"/>
              <w:adjustRightInd w:val="0"/>
              <w:jc w:val="center"/>
              <w:rPr>
                <w:rFonts w:ascii="宋体" w:hAnsi="宋体"/>
                <w:b/>
                <w:bCs/>
                <w:color w:val="000000"/>
                <w:kern w:val="0"/>
                <w:szCs w:val="21"/>
              </w:rPr>
            </w:pPr>
          </w:p>
        </w:tc>
        <w:tc>
          <w:tcPr>
            <w:tcW w:w="992" w:type="dxa"/>
            <w:vAlign w:val="center"/>
          </w:tcPr>
          <w:p w:rsidR="00093448" w:rsidRPr="00090DA4" w:rsidRDefault="00093448"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序号</w:t>
            </w:r>
          </w:p>
        </w:tc>
        <w:tc>
          <w:tcPr>
            <w:tcW w:w="1843" w:type="dxa"/>
            <w:vAlign w:val="center"/>
          </w:tcPr>
          <w:p w:rsidR="00093448" w:rsidRPr="00090DA4" w:rsidRDefault="00093448"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持有基金份额比例达到或者超过20%的时间区间</w:t>
            </w:r>
          </w:p>
        </w:tc>
        <w:tc>
          <w:tcPr>
            <w:tcW w:w="851" w:type="dxa"/>
            <w:vAlign w:val="center"/>
          </w:tcPr>
          <w:p w:rsidR="00093448" w:rsidRPr="00090DA4" w:rsidRDefault="00093448" w:rsidP="0038354C">
            <w:pPr>
              <w:widowControl/>
              <w:jc w:val="center"/>
              <w:rPr>
                <w:rFonts w:ascii="宋体" w:hAnsi="宋体"/>
                <w:b/>
                <w:bCs/>
                <w:color w:val="000000"/>
                <w:kern w:val="0"/>
                <w:szCs w:val="21"/>
              </w:rPr>
            </w:pPr>
            <w:r w:rsidRPr="00090DA4">
              <w:rPr>
                <w:rFonts w:ascii="宋体" w:hAnsi="宋体" w:hint="eastAsia"/>
                <w:color w:val="000000"/>
                <w:kern w:val="0"/>
                <w:szCs w:val="21"/>
              </w:rPr>
              <w:t>期初份额</w:t>
            </w:r>
          </w:p>
        </w:tc>
        <w:tc>
          <w:tcPr>
            <w:tcW w:w="850" w:type="dxa"/>
            <w:vAlign w:val="center"/>
          </w:tcPr>
          <w:p w:rsidR="00093448" w:rsidRPr="00090DA4" w:rsidRDefault="00093448" w:rsidP="0038354C">
            <w:pPr>
              <w:widowControl/>
              <w:jc w:val="center"/>
              <w:rPr>
                <w:rFonts w:ascii="宋体" w:hAnsi="宋体"/>
                <w:b/>
                <w:bCs/>
                <w:color w:val="000000"/>
                <w:kern w:val="0"/>
                <w:szCs w:val="21"/>
              </w:rPr>
            </w:pPr>
            <w:r w:rsidRPr="00090DA4">
              <w:rPr>
                <w:rFonts w:ascii="宋体" w:hAnsi="宋体" w:hint="eastAsia"/>
                <w:color w:val="000000"/>
                <w:kern w:val="0"/>
                <w:szCs w:val="21"/>
              </w:rPr>
              <w:t>申购份额</w:t>
            </w:r>
          </w:p>
        </w:tc>
        <w:tc>
          <w:tcPr>
            <w:tcW w:w="1134" w:type="dxa"/>
            <w:vAlign w:val="center"/>
          </w:tcPr>
          <w:p w:rsidR="00093448" w:rsidRPr="00090DA4" w:rsidRDefault="00093448" w:rsidP="0038354C">
            <w:pPr>
              <w:widowControl/>
              <w:jc w:val="center"/>
              <w:rPr>
                <w:rFonts w:ascii="宋体" w:hAnsi="宋体"/>
                <w:b/>
                <w:bCs/>
                <w:color w:val="000000"/>
                <w:kern w:val="0"/>
                <w:szCs w:val="21"/>
              </w:rPr>
            </w:pPr>
            <w:r w:rsidRPr="00090DA4">
              <w:rPr>
                <w:rFonts w:ascii="宋体" w:hAnsi="宋体" w:hint="eastAsia"/>
                <w:color w:val="000000"/>
                <w:kern w:val="0"/>
                <w:szCs w:val="21"/>
              </w:rPr>
              <w:t>赎回份额</w:t>
            </w:r>
          </w:p>
        </w:tc>
        <w:tc>
          <w:tcPr>
            <w:tcW w:w="1419" w:type="dxa"/>
            <w:vAlign w:val="center"/>
          </w:tcPr>
          <w:p w:rsidR="00093448" w:rsidRPr="00090DA4" w:rsidRDefault="00093448"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持有份额</w:t>
            </w:r>
          </w:p>
        </w:tc>
        <w:tc>
          <w:tcPr>
            <w:tcW w:w="1130" w:type="dxa"/>
            <w:vAlign w:val="center"/>
          </w:tcPr>
          <w:p w:rsidR="00093448" w:rsidRPr="00090DA4" w:rsidRDefault="00093448"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份额占比</w:t>
            </w:r>
          </w:p>
        </w:tc>
      </w:tr>
      <w:tr w:rsidR="002A382D">
        <w:tc>
          <w:tcPr>
            <w:tcW w:w="993" w:type="dxa"/>
            <w:vMerge w:val="restart"/>
          </w:tcPr>
          <w:p w:rsidR="002A382D" w:rsidRDefault="002A382D"/>
          <w:p w:rsidR="002A382D" w:rsidRDefault="00A834EE">
            <w:r>
              <w:rPr>
                <w:rFonts w:ascii="宋体" w:hAnsi="宋体" w:hint="eastAsia"/>
                <w:bCs/>
                <w:color w:val="000000"/>
                <w:kern w:val="0"/>
                <w:szCs w:val="21"/>
              </w:rPr>
              <w:t>机构</w:t>
            </w:r>
          </w:p>
        </w:tc>
        <w:tc>
          <w:tcPr>
            <w:tcW w:w="992" w:type="dxa"/>
            <w:vAlign w:val="center"/>
          </w:tcPr>
          <w:p w:rsidR="002A382D" w:rsidRDefault="00A834EE">
            <w:pPr>
              <w:jc w:val="center"/>
            </w:pPr>
            <w:r>
              <w:rPr>
                <w:rFonts w:ascii="宋体" w:hAnsi="宋体"/>
                <w:color w:val="000000"/>
                <w:kern w:val="0"/>
                <w:szCs w:val="21"/>
              </w:rPr>
              <w:t>1</w:t>
            </w:r>
          </w:p>
        </w:tc>
        <w:tc>
          <w:tcPr>
            <w:tcW w:w="1843" w:type="dxa"/>
            <w:vAlign w:val="center"/>
          </w:tcPr>
          <w:p w:rsidR="002A382D" w:rsidRDefault="00A834EE">
            <w:pPr>
              <w:jc w:val="center"/>
            </w:pPr>
            <w:r>
              <w:rPr>
                <w:rFonts w:ascii="宋体" w:hAnsi="宋体"/>
                <w:color w:val="000000"/>
                <w:kern w:val="0"/>
                <w:szCs w:val="21"/>
              </w:rPr>
              <w:t>20190101-20190331</w:t>
            </w:r>
          </w:p>
        </w:tc>
        <w:tc>
          <w:tcPr>
            <w:tcW w:w="851" w:type="dxa"/>
            <w:vAlign w:val="center"/>
          </w:tcPr>
          <w:p w:rsidR="002A382D" w:rsidRDefault="00A834EE">
            <w:pPr>
              <w:jc w:val="center"/>
            </w:pPr>
            <w:r>
              <w:rPr>
                <w:rFonts w:ascii="宋体" w:hAnsi="宋体"/>
                <w:color w:val="000000"/>
                <w:kern w:val="0"/>
                <w:szCs w:val="21"/>
              </w:rPr>
              <w:t>20,002,600.00</w:t>
            </w:r>
          </w:p>
        </w:tc>
        <w:tc>
          <w:tcPr>
            <w:tcW w:w="850" w:type="dxa"/>
            <w:vAlign w:val="center"/>
          </w:tcPr>
          <w:p w:rsidR="002A382D" w:rsidRDefault="00A834EE">
            <w:pPr>
              <w:jc w:val="center"/>
            </w:pPr>
            <w:r>
              <w:rPr>
                <w:rFonts w:ascii="宋体" w:hAnsi="宋体"/>
                <w:color w:val="000000"/>
                <w:kern w:val="0"/>
                <w:szCs w:val="21"/>
              </w:rPr>
              <w:t>0.00</w:t>
            </w:r>
          </w:p>
        </w:tc>
        <w:tc>
          <w:tcPr>
            <w:tcW w:w="1134" w:type="dxa"/>
            <w:vAlign w:val="center"/>
          </w:tcPr>
          <w:p w:rsidR="002A382D" w:rsidRDefault="00A834EE">
            <w:pPr>
              <w:jc w:val="center"/>
            </w:pPr>
            <w:r>
              <w:rPr>
                <w:rFonts w:ascii="宋体" w:hAnsi="宋体"/>
                <w:color w:val="000000"/>
                <w:kern w:val="0"/>
                <w:szCs w:val="21"/>
              </w:rPr>
              <w:t>0.00</w:t>
            </w:r>
          </w:p>
        </w:tc>
        <w:tc>
          <w:tcPr>
            <w:tcW w:w="1419" w:type="dxa"/>
            <w:vAlign w:val="center"/>
          </w:tcPr>
          <w:p w:rsidR="002A382D" w:rsidRDefault="00A834EE">
            <w:pPr>
              <w:jc w:val="center"/>
            </w:pPr>
            <w:r>
              <w:rPr>
                <w:rFonts w:ascii="宋体" w:hAnsi="宋体"/>
                <w:color w:val="000000"/>
                <w:kern w:val="0"/>
                <w:szCs w:val="21"/>
              </w:rPr>
              <w:t>20,002,600.00</w:t>
            </w:r>
          </w:p>
        </w:tc>
        <w:tc>
          <w:tcPr>
            <w:tcW w:w="1130" w:type="dxa"/>
            <w:vAlign w:val="center"/>
          </w:tcPr>
          <w:p w:rsidR="002A382D" w:rsidRDefault="00A834EE">
            <w:pPr>
              <w:jc w:val="center"/>
            </w:pPr>
            <w:r>
              <w:rPr>
                <w:rFonts w:ascii="宋体" w:hAnsi="宋体"/>
                <w:color w:val="000000"/>
                <w:kern w:val="0"/>
                <w:szCs w:val="21"/>
              </w:rPr>
              <w:t>33.41%</w:t>
            </w:r>
          </w:p>
        </w:tc>
      </w:tr>
      <w:tr w:rsidR="00093448" w:rsidRPr="00090DA4" w:rsidTr="0038354C">
        <w:tc>
          <w:tcPr>
            <w:tcW w:w="9212" w:type="dxa"/>
            <w:gridSpan w:val="8"/>
            <w:vAlign w:val="center"/>
          </w:tcPr>
          <w:p w:rsidR="00093448" w:rsidRPr="00090DA4" w:rsidRDefault="00093448" w:rsidP="0038354C">
            <w:pPr>
              <w:autoSpaceDE w:val="0"/>
              <w:autoSpaceDN w:val="0"/>
              <w:adjustRightInd w:val="0"/>
              <w:jc w:val="center"/>
              <w:rPr>
                <w:rFonts w:ascii="宋体" w:hAnsi="宋体"/>
                <w:kern w:val="0"/>
                <w:szCs w:val="21"/>
              </w:rPr>
            </w:pPr>
            <w:r w:rsidRPr="00090DA4">
              <w:rPr>
                <w:rFonts w:ascii="宋体" w:hAnsi="宋体"/>
                <w:color w:val="000000"/>
                <w:kern w:val="0"/>
                <w:szCs w:val="21"/>
              </w:rPr>
              <w:t>产品特有风险</w:t>
            </w:r>
          </w:p>
        </w:tc>
      </w:tr>
      <w:tr w:rsidR="00093448" w:rsidRPr="00090DA4" w:rsidTr="0038354C">
        <w:tc>
          <w:tcPr>
            <w:tcW w:w="9212" w:type="dxa"/>
            <w:gridSpan w:val="8"/>
            <w:vAlign w:val="center"/>
          </w:tcPr>
          <w:p w:rsidR="00093448" w:rsidRPr="00090DA4" w:rsidRDefault="00093448" w:rsidP="0038354C">
            <w:pPr>
              <w:autoSpaceDE w:val="0"/>
              <w:autoSpaceDN w:val="0"/>
              <w:adjustRightInd w:val="0"/>
              <w:jc w:val="left"/>
              <w:rPr>
                <w:rFonts w:ascii="宋体" w:hAnsi="宋体"/>
                <w:kern w:val="0"/>
                <w:szCs w:val="21"/>
              </w:rPr>
            </w:pPr>
            <w:r w:rsidRPr="00090DA4">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486680" w:rsidRDefault="00486680" w:rsidP="00486680">
      <w:pPr>
        <w:autoSpaceDE w:val="0"/>
        <w:autoSpaceDN w:val="0"/>
        <w:adjustRightInd w:val="0"/>
        <w:spacing w:line="360" w:lineRule="auto"/>
        <w:jc w:val="left"/>
        <w:rPr>
          <w:rFonts w:ascii="宋体" w:hAnsi="宋体"/>
          <w:b/>
          <w:color w:val="000000"/>
          <w:kern w:val="0"/>
          <w:sz w:val="24"/>
        </w:rPr>
      </w:pPr>
      <w:r w:rsidRPr="00093448">
        <w:rPr>
          <w:rFonts w:ascii="宋体" w:hAnsi="宋体"/>
          <w:b/>
          <w:bCs/>
          <w:color w:val="000000"/>
          <w:kern w:val="0"/>
          <w:sz w:val="24"/>
        </w:rPr>
        <w:t>8.</w:t>
      </w:r>
      <w:r>
        <w:rPr>
          <w:rFonts w:ascii="宋体" w:hAnsi="宋体" w:hint="eastAsia"/>
          <w:b/>
          <w:color w:val="000000"/>
          <w:kern w:val="0"/>
          <w:sz w:val="24"/>
        </w:rPr>
        <w:t>2 影响投资者决策的其他重要信息</w:t>
      </w:r>
    </w:p>
    <w:p w:rsidR="00486680" w:rsidRPr="00486680" w:rsidRDefault="00486680" w:rsidP="00486680">
      <w:pPr>
        <w:autoSpaceDE w:val="0"/>
        <w:autoSpaceDN w:val="0"/>
        <w:adjustRightInd w:val="0"/>
        <w:spacing w:line="360" w:lineRule="auto"/>
        <w:jc w:val="left"/>
        <w:rPr>
          <w:rFonts w:ascii="宋体" w:hAnsi="宋体"/>
          <w:bCs/>
          <w:color w:val="000000"/>
          <w:kern w:val="0"/>
          <w:sz w:val="24"/>
        </w:rPr>
      </w:pPr>
      <w:r w:rsidRPr="00486680">
        <w:rPr>
          <w:rFonts w:ascii="宋体" w:hAnsi="宋体" w:hint="eastAsia"/>
          <w:color w:val="000000"/>
          <w:kern w:val="0"/>
          <w:sz w:val="24"/>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002711AA" w:rsidRPr="008277FF">
        <w:rPr>
          <w:rFonts w:asciiTheme="minorEastAsia" w:eastAsiaTheme="minorEastAsia" w:hAnsiTheme="minorEastAsia" w:cs="Arial" w:hint="eastAsia"/>
          <w:color w:val="000000" w:themeColor="text1"/>
          <w:kern w:val="0"/>
          <w:sz w:val="24"/>
          <w:szCs w:val="24"/>
        </w:rPr>
        <w:t>9</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9</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 中国证监会批准上投摩根欧洲动力策略股票型证券投资基金（QDII）设立的文件；</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《上投摩根欧洲动力策略股票型证券投资基金（QDII）基金合同》；</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《上投摩根欧洲动力策略股票型证券投资基金（QDII）托管协议》；</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《上投摩根开放式基金业务规则》；</w:t>
      </w:r>
    </w:p>
    <w:p w:rsidR="002A382D" w:rsidRDefault="00A834EE">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 基金托管人业务资格批件和营业执照。</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9</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基金管理人或基金托管人处。</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9</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二〇一九年四月十九日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91" w:rsidRDefault="006A7491">
      <w:r>
        <w:separator/>
      </w:r>
    </w:p>
  </w:endnote>
  <w:endnote w:type="continuationSeparator" w:id="0">
    <w:p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0" w:rsidRPr="001D0DB0" w:rsidRDefault="00F512C0" w:rsidP="00B918B8">
    <w:pPr>
      <w:pStyle w:val="a6"/>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FA1927">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FA1927">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0" w:rsidRDefault="00960EB7">
    <w:pPr>
      <w:pStyle w:val="a6"/>
      <w:framePr w:wrap="around" w:vAnchor="text" w:hAnchor="margin" w:xAlign="center" w:y="1"/>
      <w:rPr>
        <w:rStyle w:val="a7"/>
      </w:rPr>
    </w:pPr>
    <w:r>
      <w:rPr>
        <w:rStyle w:val="a7"/>
      </w:rPr>
      <w:fldChar w:fldCharType="begin"/>
    </w:r>
    <w:r w:rsidR="00F512C0">
      <w:rPr>
        <w:rStyle w:val="a7"/>
      </w:rPr>
      <w:instrText xml:space="preserve">PAGE  </w:instrText>
    </w:r>
    <w:r>
      <w:rPr>
        <w:rStyle w:val="a7"/>
      </w:rPr>
      <w:fldChar w:fldCharType="end"/>
    </w:r>
  </w:p>
  <w:p w:rsidR="00F512C0" w:rsidRDefault="00F512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0" w:rsidRDefault="00960EB7">
    <w:pPr>
      <w:pStyle w:val="a6"/>
      <w:framePr w:wrap="around" w:vAnchor="text" w:hAnchor="margin" w:xAlign="center" w:y="1"/>
      <w:rPr>
        <w:rStyle w:val="a7"/>
      </w:rPr>
    </w:pPr>
    <w:r>
      <w:rPr>
        <w:rStyle w:val="a7"/>
      </w:rPr>
      <w:fldChar w:fldCharType="begin"/>
    </w:r>
    <w:r w:rsidR="00F512C0">
      <w:rPr>
        <w:rStyle w:val="a7"/>
      </w:rPr>
      <w:instrText xml:space="preserve">PAGE  </w:instrText>
    </w:r>
    <w:r>
      <w:rPr>
        <w:rStyle w:val="a7"/>
      </w:rPr>
      <w:fldChar w:fldCharType="separate"/>
    </w:r>
    <w:r w:rsidR="00FA1927">
      <w:rPr>
        <w:rStyle w:val="a7"/>
        <w:noProof/>
      </w:rPr>
      <w:t>14</w:t>
    </w:r>
    <w:r>
      <w:rPr>
        <w:rStyle w:val="a7"/>
      </w:rPr>
      <w:fldChar w:fldCharType="end"/>
    </w:r>
  </w:p>
  <w:p w:rsidR="00F512C0" w:rsidRDefault="00F512C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0" w:rsidRDefault="00F512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91" w:rsidRDefault="006A7491">
      <w:r>
        <w:separator/>
      </w:r>
    </w:p>
  </w:footnote>
  <w:footnote w:type="continuationSeparator" w:id="0">
    <w:p w:rsidR="006A7491" w:rsidRDefault="006A7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0" w:rsidRPr="006669C9" w:rsidRDefault="00F512C0" w:rsidP="001D1356">
    <w:pPr>
      <w:pStyle w:val="a9"/>
      <w:pBdr>
        <w:bottom w:val="single" w:sz="6" w:space="0" w:color="auto"/>
      </w:pBdr>
      <w:jc w:val="right"/>
    </w:pPr>
    <w:r w:rsidRPr="006669C9">
      <w:t>上投摩根欧洲动力策略股票型证券投资基金（</w:t>
    </w:r>
    <w:r w:rsidRPr="006669C9">
      <w:t>QDII</w:t>
    </w:r>
    <w:r w:rsidRPr="006669C9">
      <w:t>）</w:t>
    </w:r>
    <w:r w:rsidRPr="006669C9">
      <w:t>2019</w:t>
    </w:r>
    <w:r w:rsidRPr="006669C9">
      <w:t>年第</w:t>
    </w:r>
    <w:r w:rsidRPr="006669C9">
      <w:t>1</w:t>
    </w:r>
    <w:r w:rsidRPr="006669C9">
      <w:t>季度报告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0" w:rsidRDefault="00F512C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0" w:rsidRDefault="00F512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82D"/>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6680"/>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4EE"/>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1927"/>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7"/>
    <o:shapelayout v:ext="edit">
      <o:idmap v:ext="edit" data="1"/>
    </o:shapelayout>
  </w:shapeDefaults>
  <w:decimalSymbol w:val="."/>
  <w:listSeparator w:val=","/>
  <w15:docId w15:val="{C809E7CB-D07D-4C5E-B004-C87DCD37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6">
    <w:name w:val="footer"/>
    <w:basedOn w:val="a"/>
    <w:rsid w:val="00EB72C1"/>
    <w:pPr>
      <w:tabs>
        <w:tab w:val="center" w:pos="4153"/>
        <w:tab w:val="right" w:pos="8306"/>
      </w:tabs>
      <w:snapToGrid w:val="0"/>
      <w:jc w:val="left"/>
    </w:pPr>
    <w:rPr>
      <w:sz w:val="18"/>
      <w:szCs w:val="18"/>
    </w:rPr>
  </w:style>
  <w:style w:type="character" w:styleId="a7">
    <w:name w:val="page number"/>
    <w:basedOn w:val="a1"/>
    <w:rsid w:val="00EB72C1"/>
  </w:style>
  <w:style w:type="character" w:styleId="a8">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9">
    <w:name w:val="header"/>
    <w:basedOn w:val="a"/>
    <w:link w:val="Char0"/>
    <w:uiPriority w:val="99"/>
    <w:rsid w:val="00EB72C1"/>
    <w:pPr>
      <w:pBdr>
        <w:bottom w:val="single" w:sz="6" w:space="1" w:color="auto"/>
      </w:pBdr>
      <w:tabs>
        <w:tab w:val="center" w:pos="4153"/>
        <w:tab w:val="right" w:pos="8306"/>
      </w:tabs>
      <w:snapToGrid w:val="0"/>
      <w:jc w:val="center"/>
    </w:pPr>
    <w:rPr>
      <w:sz w:val="18"/>
      <w:szCs w:val="18"/>
    </w:rPr>
  </w:style>
  <w:style w:type="character" w:styleId="aa">
    <w:name w:val="FollowedHyperlink"/>
    <w:rsid w:val="00EB72C1"/>
    <w:rPr>
      <w:color w:val="800080"/>
      <w:u w:val="single"/>
    </w:rPr>
  </w:style>
  <w:style w:type="paragraph" w:styleId="ab">
    <w:name w:val="List"/>
    <w:basedOn w:val="ac"/>
    <w:rsid w:val="00EB72C1"/>
    <w:pPr>
      <w:spacing w:after="220" w:line="220" w:lineRule="atLeast"/>
      <w:ind w:left="1440" w:hanging="360"/>
    </w:pPr>
    <w:rPr>
      <w:szCs w:val="20"/>
    </w:rPr>
  </w:style>
  <w:style w:type="paragraph" w:styleId="ac">
    <w:name w:val="Body Text"/>
    <w:basedOn w:val="a"/>
    <w:rsid w:val="00EB72C1"/>
    <w:pPr>
      <w:spacing w:after="120"/>
    </w:pPr>
  </w:style>
  <w:style w:type="paragraph" w:styleId="ad">
    <w:name w:val="Date"/>
    <w:basedOn w:val="a"/>
    <w:next w:val="a"/>
    <w:link w:val="Char1"/>
    <w:uiPriority w:val="99"/>
    <w:rsid w:val="00EB72C1"/>
    <w:rPr>
      <w:sz w:val="24"/>
      <w:szCs w:val="20"/>
    </w:rPr>
  </w:style>
  <w:style w:type="character" w:customStyle="1" w:styleId="c1">
    <w:name w:val="c1"/>
    <w:rsid w:val="00EB72C1"/>
    <w:rPr>
      <w:color w:val="000000"/>
      <w:sz w:val="18"/>
      <w:szCs w:val="18"/>
    </w:rPr>
  </w:style>
  <w:style w:type="paragraph" w:styleId="10">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EB72C1"/>
    <w:rPr>
      <w:sz w:val="18"/>
      <w:szCs w:val="18"/>
    </w:rPr>
  </w:style>
  <w:style w:type="character" w:styleId="af">
    <w:name w:val="annotation reference"/>
    <w:semiHidden/>
    <w:rsid w:val="00EB72C1"/>
    <w:rPr>
      <w:sz w:val="21"/>
      <w:szCs w:val="21"/>
    </w:rPr>
  </w:style>
  <w:style w:type="paragraph" w:styleId="af0">
    <w:name w:val="annotation text"/>
    <w:basedOn w:val="a"/>
    <w:semiHidden/>
    <w:rsid w:val="00EB72C1"/>
    <w:pPr>
      <w:jc w:val="left"/>
    </w:pPr>
  </w:style>
  <w:style w:type="paragraph" w:styleId="af1">
    <w:name w:val="annotation subject"/>
    <w:basedOn w:val="af0"/>
    <w:next w:val="af0"/>
    <w:semiHidden/>
    <w:rsid w:val="00EB72C1"/>
    <w:rPr>
      <w:b/>
      <w:bCs/>
    </w:rPr>
  </w:style>
  <w:style w:type="paragraph" w:customStyle="1" w:styleId="Char2">
    <w:name w:val="Char"/>
    <w:basedOn w:val="a"/>
    <w:rsid w:val="00EB72C1"/>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uiPriority w:val="99"/>
    <w:rsid w:val="00C503D3"/>
    <w:rPr>
      <w:kern w:val="2"/>
      <w:sz w:val="24"/>
    </w:rPr>
  </w:style>
  <w:style w:type="character" w:styleId="af8">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10</TotalTime>
  <Pages>14</Pages>
  <Words>1265</Words>
  <Characters>7212</Characters>
  <Application>Microsoft Office Word</Application>
  <DocSecurity>0</DocSecurity>
  <Lines>60</Lines>
  <Paragraphs>16</Paragraphs>
  <ScaleCrop>false</ScaleCrop>
  <Company>TRT. Ltd. Co.</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13</cp:revision>
  <cp:lastPrinted>2007-07-19T00:46:00Z</cp:lastPrinted>
  <dcterms:created xsi:type="dcterms:W3CDTF">2014-12-16T02:40:00Z</dcterms:created>
  <dcterms:modified xsi:type="dcterms:W3CDTF">2019-04-18T09:53:00Z</dcterms:modified>
</cp:coreProperties>
</file>