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2D43D2" w:rsidRDefault="002D43D2">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2D43D2" w:rsidRDefault="002D43D2">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2D43D2" w:rsidRDefault="002D43D2">
      <w:pPr>
        <w:spacing w:line="360" w:lineRule="auto"/>
        <w:jc w:val="center"/>
        <w:rPr>
          <w:rFonts w:hint="eastAsia"/>
        </w:rPr>
      </w:pPr>
      <w:r>
        <w:rPr>
          <w:rFonts w:ascii="宋体" w:hAnsi="宋体" w:hint="eastAsia"/>
          <w:b/>
          <w:bCs/>
          <w:color w:val="000000" w:themeColor="text1"/>
          <w:sz w:val="48"/>
          <w:szCs w:val="30"/>
        </w:rPr>
        <w:t>摩根动力精选混合型证券投资基金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2D43D2" w:rsidRDefault="002D43D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2D43D2" w:rsidRDefault="002D43D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3D2" w:rsidRDefault="002D43D2">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2D43D2" w:rsidRDefault="002D43D2">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2D43D2" w:rsidRDefault="002D43D2">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2D43D2" w:rsidRDefault="002D43D2">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2D43D2" w:rsidRDefault="002D43D2">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2D43D2" w:rsidRDefault="002D43D2">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75682383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2D43D2" w:rsidRDefault="002D43D2">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szCs w:val="24"/>
                <w:lang w:eastAsia="zh-Hans"/>
              </w:rPr>
              <w:t>摩根动力精选混</w:t>
            </w:r>
            <w:r>
              <w:rPr>
                <w:rFonts w:ascii="宋体" w:hAnsi="宋体" w:hint="eastAsia"/>
                <w:szCs w:val="24"/>
                <w:lang w:eastAsia="zh-Hans"/>
              </w:rPr>
              <w:t>合</w:t>
            </w:r>
            <w:r>
              <w:rPr>
                <w:rFonts w:ascii="宋体" w:hAnsi="宋体" w:hint="eastAsia"/>
                <w:lang w:eastAsia="zh-Hans"/>
              </w:rPr>
              <w:t xml:space="preserve"> </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00625</w:t>
            </w:r>
            <w:r>
              <w:rPr>
                <w:rFonts w:ascii="宋体" w:hAnsi="宋体" w:hint="eastAsia"/>
                <w:lang w:eastAsia="zh-Hans"/>
              </w:rPr>
              <w:t>0</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契约型开放</w:t>
            </w:r>
            <w:r>
              <w:rPr>
                <w:rFonts w:ascii="宋体" w:hAnsi="宋体" w:hint="eastAsia"/>
                <w:lang w:eastAsia="zh-Hans"/>
              </w:rPr>
              <w:t>式</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2019</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29</w:t>
            </w:r>
            <w:r>
              <w:rPr>
                <w:rFonts w:ascii="宋体" w:hAnsi="宋体" w:hint="eastAsia"/>
                <w:lang w:eastAsia="zh-Hans"/>
              </w:rPr>
              <w:t>日</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126,836,690.7</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本基金采用定量及定性研究方法，自下而上精选具有较高增长潜力的公司，在有效控制风险的前提下，力争实现基金资产的长期增值</w:t>
            </w:r>
            <w:r>
              <w:rPr>
                <w:rFonts w:ascii="宋体" w:hAnsi="宋体" w:hint="eastAsia"/>
                <w:lang w:eastAsia="zh-Hans"/>
              </w:rPr>
              <w:t>。</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结合股票、债券等各类资产风险收益特征，确定合适的资产配置比例。</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充分发挥基金管理人的研究优势，深入分析中国经济持续发展的动力，包括产业结构升级、新兴产业发展、消费升级、一带一路区域联动等因素，挖掘个股的投资价值，自下而上精选具有较高增长潜力的公司构建投资组合，并在实际投资过程中进行调整优化。</w:t>
            </w:r>
            <w:r>
              <w:rPr>
                <w:rFonts w:ascii="宋体" w:hAnsi="宋体" w:hint="eastAsia"/>
                <w:lang w:eastAsia="zh-Hans"/>
              </w:rPr>
              <w:br/>
              <w:t>3</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4</w:t>
            </w:r>
            <w:r>
              <w:rPr>
                <w:rFonts w:ascii="宋体" w:hAnsi="宋体" w:hint="eastAsia"/>
                <w:lang w:eastAsia="zh-Hans"/>
              </w:rPr>
              <w:t>、其他投资策略：包括股指期货投资策略、资产支持证券投资策略、股票期权投资策略、存托凭证投资策略</w:t>
            </w:r>
            <w:r>
              <w:rPr>
                <w:rFonts w:ascii="宋体" w:hAnsi="宋体" w:hint="eastAsia"/>
                <w:lang w:eastAsia="zh-Hans"/>
              </w:rPr>
              <w:t>。</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中债总指数收益率×</w:t>
            </w:r>
            <w:r>
              <w:rPr>
                <w:rFonts w:ascii="宋体" w:hAnsi="宋体" w:hint="eastAsia"/>
                <w:lang w:eastAsia="zh-Hans"/>
              </w:rPr>
              <w:t>20</w:t>
            </w:r>
            <w:r>
              <w:rPr>
                <w:rFonts w:ascii="宋体" w:hAnsi="宋体" w:hint="eastAsia"/>
                <w:lang w:eastAsia="zh-Hans"/>
              </w:rPr>
              <w:t>%</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本基金属于混合型基金产品，预期风险和收益水平高于债券型基金和货币市场基金，低于股票型基金</w:t>
            </w:r>
            <w:r>
              <w:rPr>
                <w:rFonts w:ascii="宋体" w:hAnsi="宋体" w:hint="eastAsia"/>
                <w:lang w:eastAsia="zh-Hans"/>
              </w:rPr>
              <w:t>。</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75682383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175682383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lang w:eastAsia="zh-Hans"/>
              </w:rPr>
              <w:t>摩根动力精选混合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lang w:eastAsia="zh-Hans"/>
              </w:rPr>
              <w:t>摩根动力精选混合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75682383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lang w:eastAsia="zh-Hans"/>
              </w:rPr>
              <w:t>00625</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lang w:eastAsia="zh-Hans"/>
              </w:rPr>
              <w:t>01313</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75682383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3D2" w:rsidRDefault="002D43D2">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lang w:eastAsia="zh-Hans"/>
              </w:rPr>
              <w:t>121,038,581.4</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lang w:eastAsia="zh-Hans"/>
              </w:rPr>
              <w:t>5,798,109.3</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2D43D2" w:rsidRDefault="002D43D2">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2D43D2" w:rsidRDefault="002D43D2">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2D43D2" w:rsidRDefault="002D43D2">
      <w:pPr>
        <w:jc w:val="right"/>
        <w:divId w:val="167491639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67491639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D43D2" w:rsidRDefault="002D43D2">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D43D2" w:rsidRDefault="002D43D2">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7491639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43D2" w:rsidRDefault="002D43D2">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D43D2" w:rsidRDefault="002D43D2">
            <w:pPr>
              <w:jc w:val="center"/>
              <w:rPr>
                <w:rFonts w:hint="eastAsia"/>
              </w:rPr>
            </w:pPr>
            <w:r>
              <w:rPr>
                <w:rFonts w:ascii="宋体" w:hAnsi="宋体" w:hint="eastAsia"/>
                <w:szCs w:val="24"/>
                <w:lang w:eastAsia="zh-Hans"/>
              </w:rPr>
              <w:t>摩根动力精选混合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D43D2" w:rsidRDefault="002D43D2">
            <w:pPr>
              <w:jc w:val="center"/>
            </w:pPr>
            <w:r>
              <w:rPr>
                <w:rFonts w:ascii="宋体" w:hAnsi="宋体" w:hint="eastAsia"/>
                <w:szCs w:val="24"/>
                <w:lang w:eastAsia="zh-Hans"/>
              </w:rPr>
              <w:t>摩根动力精选混合</w:t>
            </w:r>
            <w:r>
              <w:rPr>
                <w:rFonts w:ascii="宋体" w:hAnsi="宋体" w:hint="eastAsia"/>
                <w:szCs w:val="24"/>
                <w:lang w:eastAsia="zh-Hans"/>
              </w:rPr>
              <w:t>C</w:t>
            </w:r>
          </w:p>
        </w:tc>
      </w:tr>
      <w:tr w:rsidR="00000000">
        <w:trPr>
          <w:divId w:val="167491639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rPr>
                <w:rFonts w:hint="eastAsia"/>
              </w:rPr>
            </w:pPr>
            <w:r>
              <w:rPr>
                <w:rFonts w:ascii="宋体" w:hAnsi="宋体" w:hint="eastAsia"/>
                <w:szCs w:val="24"/>
                <w:lang w:eastAsia="zh-Hans"/>
              </w:rPr>
              <w:t>79,239,300.9</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pPr>
            <w:r>
              <w:rPr>
                <w:rFonts w:ascii="宋体" w:hAnsi="宋体" w:hint="eastAsia"/>
                <w:szCs w:val="24"/>
                <w:lang w:eastAsia="zh-Hans"/>
              </w:rPr>
              <w:t>3,055,482.5</w:t>
            </w:r>
            <w:r>
              <w:rPr>
                <w:rFonts w:ascii="宋体" w:hAnsi="宋体" w:hint="eastAsia"/>
                <w:szCs w:val="24"/>
                <w:lang w:eastAsia="zh-Hans"/>
              </w:rPr>
              <w:t>3</w:t>
            </w:r>
          </w:p>
        </w:tc>
      </w:tr>
      <w:tr w:rsidR="00000000">
        <w:trPr>
          <w:divId w:val="167491639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rPr>
                <w:rFonts w:hint="eastAsia"/>
              </w:rPr>
            </w:pPr>
            <w:r>
              <w:rPr>
                <w:rFonts w:ascii="宋体" w:hAnsi="宋体" w:hint="eastAsia"/>
                <w:szCs w:val="24"/>
                <w:lang w:eastAsia="zh-Hans"/>
              </w:rPr>
              <w:t>135,906,254.6</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pPr>
            <w:r>
              <w:rPr>
                <w:rFonts w:ascii="宋体" w:hAnsi="宋体" w:hint="eastAsia"/>
                <w:szCs w:val="24"/>
                <w:lang w:eastAsia="zh-Hans"/>
              </w:rPr>
              <w:t>4,556,204.2</w:t>
            </w:r>
            <w:r>
              <w:rPr>
                <w:rFonts w:ascii="宋体" w:hAnsi="宋体" w:hint="eastAsia"/>
                <w:szCs w:val="24"/>
                <w:lang w:eastAsia="zh-Hans"/>
              </w:rPr>
              <w:t>4</w:t>
            </w:r>
          </w:p>
        </w:tc>
      </w:tr>
      <w:tr w:rsidR="00000000">
        <w:trPr>
          <w:divId w:val="167491639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rPr>
                <w:rFonts w:hint="eastAsia"/>
              </w:rPr>
            </w:pPr>
            <w:r>
              <w:rPr>
                <w:rFonts w:ascii="宋体" w:hAnsi="宋体" w:hint="eastAsia"/>
                <w:szCs w:val="24"/>
                <w:lang w:eastAsia="zh-Hans"/>
              </w:rPr>
              <w:t>0.946</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pPr>
            <w:r>
              <w:rPr>
                <w:rFonts w:ascii="宋体" w:hAnsi="宋体" w:hint="eastAsia"/>
                <w:szCs w:val="24"/>
                <w:lang w:eastAsia="zh-Hans"/>
              </w:rPr>
              <w:t>0.799</w:t>
            </w:r>
            <w:r>
              <w:rPr>
                <w:rFonts w:ascii="宋体" w:hAnsi="宋体" w:hint="eastAsia"/>
                <w:szCs w:val="24"/>
                <w:lang w:eastAsia="zh-Hans"/>
              </w:rPr>
              <w:t>6</w:t>
            </w:r>
          </w:p>
        </w:tc>
      </w:tr>
      <w:tr w:rsidR="00000000">
        <w:trPr>
          <w:divId w:val="167491639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rPr>
                <w:rFonts w:hint="eastAsia"/>
              </w:rPr>
            </w:pPr>
            <w:r>
              <w:rPr>
                <w:rFonts w:ascii="宋体" w:hAnsi="宋体" w:hint="eastAsia"/>
                <w:szCs w:val="24"/>
                <w:lang w:eastAsia="zh-Hans"/>
              </w:rPr>
              <w:t>462,605,231.5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pPr>
            <w:r>
              <w:rPr>
                <w:rFonts w:ascii="宋体" w:hAnsi="宋体" w:hint="eastAsia"/>
                <w:szCs w:val="24"/>
                <w:lang w:eastAsia="zh-Hans"/>
              </w:rPr>
              <w:t>21,735,525.5</w:t>
            </w:r>
            <w:r>
              <w:rPr>
                <w:rFonts w:ascii="宋体" w:hAnsi="宋体" w:hint="eastAsia"/>
                <w:szCs w:val="24"/>
                <w:lang w:eastAsia="zh-Hans"/>
              </w:rPr>
              <w:t>2</w:t>
            </w:r>
          </w:p>
        </w:tc>
      </w:tr>
      <w:tr w:rsidR="00000000">
        <w:trPr>
          <w:divId w:val="167491639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rPr>
                <w:rFonts w:hint="eastAsia"/>
              </w:rPr>
            </w:pPr>
            <w:r>
              <w:rPr>
                <w:rFonts w:ascii="宋体" w:hAnsi="宋体" w:hint="eastAsia"/>
                <w:szCs w:val="24"/>
                <w:lang w:eastAsia="zh-Hans"/>
              </w:rPr>
              <w:t>3.822</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D43D2" w:rsidRDefault="002D43D2">
            <w:pPr>
              <w:jc w:val="right"/>
            </w:pPr>
            <w:r>
              <w:rPr>
                <w:rFonts w:ascii="宋体" w:hAnsi="宋体" w:hint="eastAsia"/>
                <w:szCs w:val="24"/>
                <w:lang w:eastAsia="zh-Hans"/>
              </w:rPr>
              <w:t>3.748</w:t>
            </w:r>
            <w:r>
              <w:rPr>
                <w:rFonts w:ascii="宋体" w:hAnsi="宋体" w:hint="eastAsia"/>
                <w:szCs w:val="24"/>
                <w:lang w:eastAsia="zh-Hans"/>
              </w:rPr>
              <w:t>7</w:t>
            </w:r>
          </w:p>
        </w:tc>
      </w:tr>
    </w:tbl>
    <w:p w:rsidR="002D43D2" w:rsidRDefault="002D43D2">
      <w:pPr>
        <w:wordWrap w:val="0"/>
        <w:spacing w:line="360" w:lineRule="auto"/>
        <w:jc w:val="left"/>
        <w:divId w:val="97964795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2D43D2" w:rsidRDefault="002D43D2">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2D43D2" w:rsidRDefault="002D43D2">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2D43D2" w:rsidRDefault="002D43D2">
      <w:pPr>
        <w:spacing w:line="360" w:lineRule="auto"/>
        <w:jc w:val="center"/>
        <w:divId w:val="1691880289"/>
        <w:rPr>
          <w:rFonts w:hint="eastAsia"/>
        </w:rPr>
      </w:pPr>
      <w:r>
        <w:rPr>
          <w:rFonts w:ascii="宋体" w:hAnsi="宋体" w:hint="eastAsia"/>
        </w:rPr>
        <w:t>摩根动力精选混合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9188028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②－④</w:t>
            </w:r>
            <w:r>
              <w:rPr>
                <w:rFonts w:ascii="宋体" w:hAnsi="宋体" w:hint="eastAsia"/>
              </w:rPr>
              <w:t xml:space="preserve"> </w:t>
            </w:r>
          </w:p>
        </w:tc>
      </w:tr>
      <w:tr w:rsidR="00000000">
        <w:trPr>
          <w:divId w:val="1691880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28.9</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17.8</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1.2</w:t>
            </w:r>
            <w:r>
              <w:rPr>
                <w:rFonts w:ascii="宋体" w:hAnsi="宋体" w:hint="eastAsia"/>
              </w:rPr>
              <w:t>3</w:t>
            </w:r>
            <w:r>
              <w:rPr>
                <w:rFonts w:ascii="宋体" w:hAnsi="宋体" w:hint="eastAsia"/>
              </w:rPr>
              <w:t xml:space="preserve">% </w:t>
            </w:r>
          </w:p>
        </w:tc>
      </w:tr>
      <w:tr w:rsidR="00000000">
        <w:trPr>
          <w:divId w:val="1691880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24.5</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9.0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15.5</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r>
      <w:tr w:rsidR="00000000">
        <w:trPr>
          <w:divId w:val="1691880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98.3</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26.3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71.9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r>
      <w:tr w:rsidR="00000000">
        <w:trPr>
          <w:divId w:val="1691880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58.9</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28.9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30.0</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1.1</w:t>
            </w:r>
            <w:r>
              <w:rPr>
                <w:rFonts w:ascii="宋体" w:hAnsi="宋体" w:hint="eastAsia"/>
              </w:rPr>
              <w:t>1</w:t>
            </w:r>
            <w:r>
              <w:rPr>
                <w:rFonts w:ascii="宋体" w:hAnsi="宋体" w:hint="eastAsia"/>
              </w:rPr>
              <w:t xml:space="preserve">% </w:t>
            </w:r>
          </w:p>
        </w:tc>
      </w:tr>
      <w:tr w:rsidR="00000000">
        <w:trPr>
          <w:divId w:val="1691880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21.2</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2.1</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4.5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16.7</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1.2</w:t>
            </w:r>
            <w:r>
              <w:rPr>
                <w:rFonts w:ascii="宋体" w:hAnsi="宋体" w:hint="eastAsia"/>
              </w:rPr>
              <w:t>1</w:t>
            </w:r>
            <w:r>
              <w:rPr>
                <w:rFonts w:ascii="宋体" w:hAnsi="宋体" w:hint="eastAsia"/>
              </w:rPr>
              <w:t xml:space="preserve">% </w:t>
            </w:r>
          </w:p>
        </w:tc>
      </w:tr>
      <w:tr w:rsidR="00000000">
        <w:trPr>
          <w:divId w:val="1691880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299.0</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35.3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263.6</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1.1</w:t>
            </w:r>
            <w:r>
              <w:rPr>
                <w:rFonts w:ascii="宋体" w:hAnsi="宋体" w:hint="eastAsia"/>
              </w:rPr>
              <w:t>7</w:t>
            </w:r>
            <w:r>
              <w:rPr>
                <w:rFonts w:ascii="宋体" w:hAnsi="宋体" w:hint="eastAsia"/>
              </w:rPr>
              <w:t xml:space="preserve">% </w:t>
            </w:r>
          </w:p>
        </w:tc>
      </w:tr>
      <w:tr w:rsidR="00000000">
        <w:trPr>
          <w:divId w:val="1691880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282.2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56.7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225.4</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r>
    </w:tbl>
    <w:p w:rsidR="002D43D2" w:rsidRDefault="002D43D2">
      <w:pPr>
        <w:spacing w:line="360" w:lineRule="auto"/>
        <w:jc w:val="center"/>
        <w:divId w:val="1397896532"/>
      </w:pPr>
      <w:r>
        <w:rPr>
          <w:rFonts w:ascii="宋体" w:hAnsi="宋体" w:hint="eastAsia"/>
        </w:rPr>
        <w:t>摩根动力精选混合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9789653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3978965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28.8</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17.7</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1.2</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3978965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24.3</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9.0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15.3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3978965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97.5</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26.3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71.2</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3978965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57.1</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28.9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28.1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3978965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9.0</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2.0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9.7</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D43D2" w:rsidRDefault="002D43D2">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spacing w:line="360" w:lineRule="auto"/>
              <w:jc w:val="right"/>
            </w:pPr>
            <w:r>
              <w:rPr>
                <w:rFonts w:ascii="宋体" w:hAnsi="宋体" w:hint="eastAsia"/>
              </w:rPr>
              <w:t>1.1</w:t>
            </w:r>
            <w:r>
              <w:rPr>
                <w:rFonts w:ascii="宋体" w:hAnsi="宋体" w:hint="eastAsia"/>
              </w:rPr>
              <w:t>8</w:t>
            </w:r>
            <w:r>
              <w:rPr>
                <w:rFonts w:ascii="宋体" w:hAnsi="宋体" w:hint="eastAsia"/>
              </w:rPr>
              <w:t>%</w:t>
            </w:r>
            <w:r>
              <w:rPr>
                <w:rFonts w:ascii="宋体" w:hAnsi="宋体" w:hint="eastAsia"/>
              </w:rPr>
              <w:t xml:space="preserve"> </w:t>
            </w:r>
          </w:p>
        </w:tc>
      </w:tr>
    </w:tbl>
    <w:p w:rsidR="002D43D2" w:rsidRDefault="002D43D2">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2D43D2" w:rsidRDefault="002D43D2">
      <w:pPr>
        <w:spacing w:line="360" w:lineRule="auto"/>
        <w:jc w:val="left"/>
        <w:divId w:val="1470004803"/>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D43D2" w:rsidRDefault="002D43D2">
      <w:pPr>
        <w:spacing w:line="360" w:lineRule="auto"/>
        <w:jc w:val="left"/>
        <w:divId w:val="194819128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D43D2" w:rsidRDefault="002D43D2">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2019</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2021</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30</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2D43D2" w:rsidRDefault="002D43D2">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2D43D2" w:rsidRDefault="002D43D2">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83641132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83641132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43D2" w:rsidRDefault="002D43D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43D2" w:rsidRDefault="002D43D2">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43D2" w:rsidRDefault="002D43D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43D2" w:rsidRDefault="002D43D2">
            <w:pPr>
              <w:widowControl/>
              <w:jc w:val="left"/>
            </w:pPr>
          </w:p>
        </w:tc>
      </w:tr>
      <w:tr w:rsidR="00000000">
        <w:trPr>
          <w:divId w:val="183641132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赵隆</w:t>
            </w:r>
            <w:r>
              <w:rPr>
                <w:rFonts w:ascii="宋体" w:hAnsi="宋体" w:hint="eastAsia"/>
                <w:szCs w:val="24"/>
                <w:lang w:eastAsia="zh-Hans"/>
              </w:rPr>
              <w:t>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szCs w:val="24"/>
                <w:lang w:eastAsia="zh-Hans"/>
              </w:rPr>
              <w:t>赵隆隆先生曾任上海申银万国证券研究所有限公司制造业研究部资深高级分析师。</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月起加入摩根基金管理（中国）有限公司（原上投摩根基金管理有限公司），历任行业专家、行业专家兼研究组长、行业专家兼研究组长</w:t>
            </w:r>
            <w:r>
              <w:rPr>
                <w:rFonts w:ascii="宋体" w:hAnsi="宋体" w:hint="eastAsia"/>
                <w:szCs w:val="24"/>
                <w:lang w:eastAsia="zh-Hans"/>
              </w:rPr>
              <w:t>/</w:t>
            </w:r>
            <w:r>
              <w:rPr>
                <w:rFonts w:ascii="宋体" w:hAnsi="宋体" w:hint="eastAsia"/>
                <w:szCs w:val="24"/>
                <w:lang w:eastAsia="zh-Hans"/>
              </w:rPr>
              <w:t>基金经理助理，现任基金经理</w:t>
            </w:r>
            <w:r>
              <w:rPr>
                <w:rFonts w:ascii="宋体" w:hAnsi="宋体" w:hint="eastAsia"/>
                <w:szCs w:val="24"/>
                <w:lang w:eastAsia="zh-Hans"/>
              </w:rPr>
              <w:t>。</w:t>
            </w:r>
          </w:p>
        </w:tc>
      </w:tr>
    </w:tbl>
    <w:p w:rsidR="002D43D2" w:rsidRDefault="002D43D2">
      <w:pPr>
        <w:wordWrap w:val="0"/>
        <w:spacing w:line="360" w:lineRule="auto"/>
        <w:jc w:val="left"/>
        <w:divId w:val="25266535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2D43D2" w:rsidRDefault="002D43D2">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2D43D2" w:rsidRDefault="002D43D2">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2D43D2" w:rsidRDefault="002D43D2">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2D43D2" w:rsidRDefault="002D43D2">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2D43D2" w:rsidRDefault="002D43D2">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2D43D2" w:rsidRDefault="002D43D2">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2D43D2" w:rsidRDefault="002D43D2">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2D43D2" w:rsidRDefault="002D43D2">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2D43D2" w:rsidRDefault="002D43D2">
      <w:pPr>
        <w:spacing w:line="360" w:lineRule="auto"/>
        <w:ind w:firstLineChars="200" w:firstLine="420"/>
        <w:jc w:val="left"/>
        <w:rPr>
          <w:rFonts w:hint="eastAsia"/>
        </w:rPr>
      </w:pPr>
      <w:r>
        <w:rPr>
          <w:rFonts w:ascii="宋体" w:hAnsi="宋体" w:cs="宋体" w:hint="eastAsia"/>
          <w:color w:val="000000"/>
          <w:kern w:val="0"/>
        </w:rPr>
        <w:t>回顾</w:t>
      </w: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股市场在经历一季度中东地缘冲突后迎来修复性行情，但结构性</w:t>
      </w:r>
      <w:r>
        <w:rPr>
          <w:rFonts w:ascii="宋体" w:hAnsi="宋体" w:cs="宋体" w:hint="eastAsia"/>
          <w:color w:val="000000"/>
          <w:kern w:val="0"/>
        </w:rPr>
        <w:t>K</w:t>
      </w:r>
      <w:r>
        <w:rPr>
          <w:rFonts w:ascii="宋体" w:hAnsi="宋体" w:cs="宋体" w:hint="eastAsia"/>
          <w:color w:val="000000"/>
          <w:kern w:val="0"/>
        </w:rPr>
        <w:t>型分化极致演绎。宽基指数也分化明显，上证指数上涨</w:t>
      </w:r>
      <w:r>
        <w:rPr>
          <w:rFonts w:ascii="宋体" w:hAnsi="宋体" w:cs="宋体" w:hint="eastAsia"/>
          <w:color w:val="000000"/>
          <w:kern w:val="0"/>
        </w:rPr>
        <w:t>5.2%</w:t>
      </w:r>
      <w:r>
        <w:rPr>
          <w:rFonts w:ascii="宋体" w:hAnsi="宋体" w:cs="宋体" w:hint="eastAsia"/>
          <w:color w:val="000000"/>
          <w:kern w:val="0"/>
        </w:rPr>
        <w:t>，深证成指上涨</w:t>
      </w:r>
      <w:r>
        <w:rPr>
          <w:rFonts w:ascii="宋体" w:hAnsi="宋体" w:cs="宋体" w:hint="eastAsia"/>
          <w:color w:val="000000"/>
          <w:kern w:val="0"/>
        </w:rPr>
        <w:t>20.2%</w:t>
      </w:r>
      <w:r>
        <w:rPr>
          <w:rFonts w:ascii="宋体" w:hAnsi="宋体" w:cs="宋体" w:hint="eastAsia"/>
          <w:color w:val="000000"/>
          <w:kern w:val="0"/>
        </w:rPr>
        <w:t>，香港恒生指数下跌</w:t>
      </w:r>
      <w:r>
        <w:rPr>
          <w:rFonts w:ascii="宋体" w:hAnsi="宋体" w:cs="宋体" w:hint="eastAsia"/>
          <w:color w:val="000000"/>
          <w:kern w:val="0"/>
        </w:rPr>
        <w:t>7.69%</w:t>
      </w:r>
      <w:r>
        <w:rPr>
          <w:rFonts w:ascii="宋体" w:hAnsi="宋体" w:cs="宋体" w:hint="eastAsia"/>
          <w:color w:val="000000"/>
          <w:kern w:val="0"/>
        </w:rPr>
        <w:t>。分板块来看，科创板、创业板指数表现强势，二季度科创</w:t>
      </w:r>
      <w:r>
        <w:rPr>
          <w:rFonts w:ascii="宋体" w:hAnsi="宋体" w:cs="宋体" w:hint="eastAsia"/>
          <w:color w:val="000000"/>
          <w:kern w:val="0"/>
        </w:rPr>
        <w:t>50</w:t>
      </w:r>
      <w:r>
        <w:rPr>
          <w:rFonts w:ascii="宋体" w:hAnsi="宋体" w:cs="宋体" w:hint="eastAsia"/>
          <w:color w:val="000000"/>
          <w:kern w:val="0"/>
        </w:rPr>
        <w:t>上涨</w:t>
      </w:r>
      <w:r>
        <w:rPr>
          <w:rFonts w:ascii="宋体" w:hAnsi="宋体" w:cs="宋体" w:hint="eastAsia"/>
          <w:color w:val="000000"/>
          <w:kern w:val="0"/>
        </w:rPr>
        <w:t>75.7%</w:t>
      </w:r>
      <w:r>
        <w:rPr>
          <w:rFonts w:ascii="宋体" w:hAnsi="宋体" w:cs="宋体" w:hint="eastAsia"/>
          <w:color w:val="000000"/>
          <w:kern w:val="0"/>
        </w:rPr>
        <w:t>，创业板指上涨</w:t>
      </w:r>
      <w:r>
        <w:rPr>
          <w:rFonts w:ascii="宋体" w:hAnsi="宋体" w:cs="宋体" w:hint="eastAsia"/>
          <w:color w:val="000000"/>
          <w:kern w:val="0"/>
        </w:rPr>
        <w:t>36.4%</w:t>
      </w:r>
      <w:r>
        <w:rPr>
          <w:rFonts w:ascii="宋体" w:hAnsi="宋体" w:cs="宋体" w:hint="eastAsia"/>
          <w:color w:val="000000"/>
          <w:kern w:val="0"/>
        </w:rPr>
        <w:t>，北证</w:t>
      </w:r>
      <w:r>
        <w:rPr>
          <w:rFonts w:ascii="宋体" w:hAnsi="宋体" w:cs="宋体" w:hint="eastAsia"/>
          <w:color w:val="000000"/>
          <w:kern w:val="0"/>
        </w:rPr>
        <w:t>50</w:t>
      </w:r>
      <w:r>
        <w:rPr>
          <w:rFonts w:ascii="宋体" w:hAnsi="宋体" w:cs="宋体" w:hint="eastAsia"/>
          <w:color w:val="000000"/>
          <w:kern w:val="0"/>
        </w:rPr>
        <w:t>上涨仅</w:t>
      </w:r>
      <w:r>
        <w:rPr>
          <w:rFonts w:ascii="宋体" w:hAnsi="宋体" w:cs="宋体" w:hint="eastAsia"/>
          <w:color w:val="000000"/>
          <w:kern w:val="0"/>
        </w:rPr>
        <w:t>0.23%</w:t>
      </w:r>
      <w:r>
        <w:rPr>
          <w:rFonts w:ascii="宋体" w:hAnsi="宋体" w:cs="宋体" w:hint="eastAsia"/>
          <w:color w:val="000000"/>
          <w:kern w:val="0"/>
        </w:rPr>
        <w:t>。中证新能指数下跌</w:t>
      </w:r>
      <w:r>
        <w:rPr>
          <w:rFonts w:ascii="宋体" w:hAnsi="宋体" w:cs="宋体" w:hint="eastAsia"/>
          <w:color w:val="000000"/>
          <w:kern w:val="0"/>
        </w:rPr>
        <w:t>0.71%</w:t>
      </w:r>
      <w:r>
        <w:rPr>
          <w:rFonts w:ascii="宋体" w:hAnsi="宋体" w:cs="宋体" w:hint="eastAsia"/>
          <w:color w:val="000000"/>
          <w:kern w:val="0"/>
        </w:rPr>
        <w:t>，红利指数下跌</w:t>
      </w:r>
      <w:r>
        <w:rPr>
          <w:rFonts w:ascii="宋体" w:hAnsi="宋体" w:cs="宋体" w:hint="eastAsia"/>
          <w:color w:val="000000"/>
          <w:kern w:val="0"/>
        </w:rPr>
        <w:t>11.9%</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行业板块也是极致分化，二季度仅</w:t>
      </w:r>
      <w:r>
        <w:rPr>
          <w:rFonts w:ascii="宋体" w:hAnsi="宋体" w:cs="宋体" w:hint="eastAsia"/>
          <w:color w:val="000000"/>
          <w:kern w:val="0"/>
        </w:rPr>
        <w:t>6</w:t>
      </w:r>
      <w:r>
        <w:rPr>
          <w:rFonts w:ascii="宋体" w:hAnsi="宋体" w:cs="宋体" w:hint="eastAsia"/>
          <w:color w:val="000000"/>
          <w:kern w:val="0"/>
        </w:rPr>
        <w:t>个行业取得正收益，上涨股票占比仅约三成。涨幅前三的行业（申万一级行业分类）为电子（</w:t>
      </w:r>
      <w:r>
        <w:rPr>
          <w:rFonts w:ascii="宋体" w:hAnsi="宋体" w:cs="宋体" w:hint="eastAsia"/>
          <w:color w:val="000000"/>
          <w:kern w:val="0"/>
        </w:rPr>
        <w:t>+90.9%</w:t>
      </w:r>
      <w:r>
        <w:rPr>
          <w:rFonts w:ascii="宋体" w:hAnsi="宋体" w:cs="宋体" w:hint="eastAsia"/>
          <w:color w:val="000000"/>
          <w:kern w:val="0"/>
        </w:rPr>
        <w:t>）、通信（</w:t>
      </w:r>
      <w:r>
        <w:rPr>
          <w:rFonts w:ascii="宋体" w:hAnsi="宋体" w:cs="宋体" w:hint="eastAsia"/>
          <w:color w:val="000000"/>
          <w:kern w:val="0"/>
        </w:rPr>
        <w:t>+63.8%</w:t>
      </w:r>
      <w:r>
        <w:rPr>
          <w:rFonts w:ascii="宋体" w:hAnsi="宋体" w:cs="宋体" w:hint="eastAsia"/>
          <w:color w:val="000000"/>
          <w:kern w:val="0"/>
        </w:rPr>
        <w:t>）、建筑材料（</w:t>
      </w:r>
      <w:r>
        <w:rPr>
          <w:rFonts w:ascii="宋体" w:hAnsi="宋体" w:cs="宋体" w:hint="eastAsia"/>
          <w:color w:val="000000"/>
          <w:kern w:val="0"/>
        </w:rPr>
        <w:t>+35.2%</w:t>
      </w:r>
      <w:r>
        <w:rPr>
          <w:rFonts w:ascii="宋体" w:hAnsi="宋体" w:cs="宋体" w:hint="eastAsia"/>
          <w:color w:val="000000"/>
          <w:kern w:val="0"/>
        </w:rPr>
        <w:t>），表现最差的三个行业为石油石化（</w:t>
      </w:r>
      <w:r>
        <w:rPr>
          <w:rFonts w:ascii="宋体" w:hAnsi="宋体" w:cs="宋体" w:hint="eastAsia"/>
          <w:color w:val="000000"/>
          <w:kern w:val="0"/>
        </w:rPr>
        <w:t>-22.2%</w:t>
      </w:r>
      <w:r>
        <w:rPr>
          <w:rFonts w:ascii="宋体" w:hAnsi="宋体" w:cs="宋体" w:hint="eastAsia"/>
          <w:color w:val="000000"/>
          <w:kern w:val="0"/>
        </w:rPr>
        <w:t>）、农林牧渔（</w:t>
      </w:r>
      <w:r>
        <w:rPr>
          <w:rFonts w:ascii="宋体" w:hAnsi="宋体" w:cs="宋体" w:hint="eastAsia"/>
          <w:color w:val="000000"/>
          <w:kern w:val="0"/>
        </w:rPr>
        <w:t>-20.19%</w:t>
      </w:r>
      <w:r>
        <w:rPr>
          <w:rFonts w:ascii="宋体" w:hAnsi="宋体" w:cs="宋体" w:hint="eastAsia"/>
          <w:color w:val="000000"/>
          <w:kern w:val="0"/>
        </w:rPr>
        <w:t>）、钢铁（</w:t>
      </w:r>
      <w:r>
        <w:rPr>
          <w:rFonts w:ascii="宋体" w:hAnsi="宋体" w:cs="宋体" w:hint="eastAsia"/>
          <w:color w:val="000000"/>
          <w:kern w:val="0"/>
        </w:rPr>
        <w:t>-18.6%</w:t>
      </w:r>
      <w:r>
        <w:rPr>
          <w:rFonts w:ascii="宋体" w:hAnsi="宋体" w:cs="宋体" w:hint="eastAsia"/>
          <w:color w:val="000000"/>
          <w:kern w:val="0"/>
        </w:rPr>
        <w:t>）。其中电力设备板块上涨</w:t>
      </w:r>
      <w:r>
        <w:rPr>
          <w:rFonts w:ascii="宋体" w:hAnsi="宋体" w:cs="宋体" w:hint="eastAsia"/>
          <w:color w:val="000000"/>
          <w:kern w:val="0"/>
        </w:rPr>
        <w:t>0.46%</w:t>
      </w:r>
      <w:r>
        <w:rPr>
          <w:rFonts w:ascii="宋体" w:hAnsi="宋体" w:cs="宋体" w:hint="eastAsia"/>
          <w:color w:val="000000"/>
          <w:kern w:val="0"/>
        </w:rPr>
        <w:t>，排名第六。全市场都在围绕着</w:t>
      </w:r>
      <w:r>
        <w:rPr>
          <w:rFonts w:ascii="宋体" w:hAnsi="宋体" w:cs="宋体" w:hint="eastAsia"/>
          <w:color w:val="000000"/>
          <w:kern w:val="0"/>
        </w:rPr>
        <w:t>AI</w:t>
      </w:r>
      <w:r>
        <w:rPr>
          <w:rFonts w:ascii="宋体" w:hAnsi="宋体" w:cs="宋体" w:hint="eastAsia"/>
          <w:color w:val="000000"/>
          <w:kern w:val="0"/>
        </w:rPr>
        <w:t>资本开支方向交易，尤其涨价链受到了极大关注。</w:t>
      </w:r>
      <w:r>
        <w:rPr>
          <w:rFonts w:ascii="宋体" w:hAnsi="宋体" w:cs="宋体" w:hint="eastAsia"/>
          <w:color w:val="000000"/>
          <w:kern w:val="0"/>
        </w:rPr>
        <w:br/>
      </w:r>
      <w:r>
        <w:rPr>
          <w:rFonts w:ascii="宋体" w:hAnsi="宋体" w:cs="宋体" w:hint="eastAsia"/>
          <w:color w:val="000000"/>
          <w:kern w:val="0"/>
        </w:rPr>
        <w:t xml:space="preserve">　　投资策略上，本基金始终基于产业视角，坚持成长为主的投资策略，在电力设备新能源（风、光、电、储、氢等）、先进制造（</w:t>
      </w:r>
      <w:r>
        <w:rPr>
          <w:rFonts w:ascii="宋体" w:hAnsi="宋体" w:cs="宋体" w:hint="eastAsia"/>
          <w:color w:val="000000"/>
          <w:kern w:val="0"/>
        </w:rPr>
        <w:t>TMT</w:t>
      </w:r>
      <w:r>
        <w:rPr>
          <w:rFonts w:ascii="宋体" w:hAnsi="宋体" w:cs="宋体" w:hint="eastAsia"/>
          <w:color w:val="000000"/>
          <w:kern w:val="0"/>
        </w:rPr>
        <w:t>、具身智能等）等板块里寻找优质标的。</w:t>
      </w:r>
      <w:r>
        <w:rPr>
          <w:rFonts w:ascii="宋体" w:hAnsi="宋体" w:cs="宋体" w:hint="eastAsia"/>
          <w:color w:val="000000"/>
          <w:kern w:val="0"/>
        </w:rPr>
        <w:br/>
      </w:r>
      <w:r>
        <w:rPr>
          <w:rFonts w:ascii="宋体" w:hAnsi="宋体" w:cs="宋体" w:hint="eastAsia"/>
          <w:color w:val="000000"/>
          <w:kern w:val="0"/>
        </w:rPr>
        <w:t xml:space="preserve">　　开年初，春季躁动提前，脑机接口、商业航天、创新药等集体爆发，上证指数快速突破</w:t>
      </w:r>
      <w:r>
        <w:rPr>
          <w:rFonts w:ascii="宋体" w:hAnsi="宋体" w:cs="宋体" w:hint="eastAsia"/>
          <w:color w:val="000000"/>
          <w:kern w:val="0"/>
        </w:rPr>
        <w:t>4000</w:t>
      </w:r>
      <w:r>
        <w:rPr>
          <w:rFonts w:ascii="宋体" w:hAnsi="宋体" w:cs="宋体" w:hint="eastAsia"/>
          <w:color w:val="000000"/>
          <w:kern w:val="0"/>
        </w:rPr>
        <w:t>点直奔</w:t>
      </w:r>
      <w:r>
        <w:rPr>
          <w:rFonts w:ascii="宋体" w:hAnsi="宋体" w:cs="宋体" w:hint="eastAsia"/>
          <w:color w:val="000000"/>
          <w:kern w:val="0"/>
        </w:rPr>
        <w:t>4200</w:t>
      </w:r>
      <w:r>
        <w:rPr>
          <w:rFonts w:ascii="宋体" w:hAnsi="宋体" w:cs="宋体" w:hint="eastAsia"/>
          <w:color w:val="000000"/>
          <w:kern w:val="0"/>
        </w:rPr>
        <w:t>点，</w:t>
      </w:r>
      <w:r>
        <w:rPr>
          <w:rFonts w:ascii="宋体" w:hAnsi="宋体" w:cs="宋体" w:hint="eastAsia"/>
          <w:color w:val="000000"/>
          <w:kern w:val="0"/>
        </w:rPr>
        <w:t>3</w:t>
      </w:r>
      <w:r>
        <w:rPr>
          <w:rFonts w:ascii="宋体" w:hAnsi="宋体" w:cs="宋体" w:hint="eastAsia"/>
          <w:color w:val="000000"/>
          <w:kern w:val="0"/>
        </w:rPr>
        <w:t>月初两会政策定调“新质生产力”，国内积极托底姿态不变，但未见强刺激政策，内需温和复苏、</w:t>
      </w:r>
      <w:r>
        <w:rPr>
          <w:rFonts w:ascii="宋体" w:hAnsi="宋体" w:cs="宋体" w:hint="eastAsia"/>
          <w:color w:val="000000"/>
          <w:kern w:val="0"/>
        </w:rPr>
        <w:t>PPI</w:t>
      </w:r>
      <w:r>
        <w:rPr>
          <w:rFonts w:ascii="宋体" w:hAnsi="宋体" w:cs="宋体" w:hint="eastAsia"/>
          <w:color w:val="000000"/>
          <w:kern w:val="0"/>
        </w:rPr>
        <w:t>触底。</w:t>
      </w:r>
      <w:r>
        <w:rPr>
          <w:rFonts w:ascii="宋体" w:hAnsi="宋体" w:cs="宋体" w:hint="eastAsia"/>
          <w:color w:val="000000"/>
          <w:kern w:val="0"/>
        </w:rPr>
        <w:t>3</w:t>
      </w:r>
      <w:r>
        <w:rPr>
          <w:rFonts w:ascii="宋体" w:hAnsi="宋体" w:cs="宋体" w:hint="eastAsia"/>
          <w:color w:val="000000"/>
          <w:kern w:val="0"/>
        </w:rPr>
        <w:t>月中下旬中东局势升级、美联储主席提名鹰派人物，深刻扰动了全球流动性预期，全球避险情绪浓厚、风险资产回调，美股投资也转向</w:t>
      </w:r>
      <w:r>
        <w:rPr>
          <w:rFonts w:ascii="宋体" w:hAnsi="宋体" w:cs="宋体" w:hint="eastAsia"/>
          <w:color w:val="000000"/>
          <w:kern w:val="0"/>
        </w:rPr>
        <w:t>HALO</w:t>
      </w:r>
      <w:r>
        <w:rPr>
          <w:rFonts w:ascii="宋体" w:hAnsi="宋体" w:cs="宋体" w:hint="eastAsia"/>
          <w:color w:val="000000"/>
          <w:kern w:val="0"/>
        </w:rPr>
        <w:t>策略（</w:t>
      </w:r>
      <w:r>
        <w:rPr>
          <w:rFonts w:ascii="宋体" w:hAnsi="宋体" w:cs="宋体" w:hint="eastAsia"/>
          <w:color w:val="000000"/>
          <w:kern w:val="0"/>
        </w:rPr>
        <w:t>Heavy Assets</w:t>
      </w:r>
      <w:r>
        <w:rPr>
          <w:rFonts w:ascii="宋体" w:hAnsi="宋体" w:cs="宋体" w:hint="eastAsia"/>
          <w:color w:val="000000"/>
          <w:kern w:val="0"/>
        </w:rPr>
        <w:t>，</w:t>
      </w:r>
      <w:r>
        <w:rPr>
          <w:rFonts w:ascii="宋体" w:hAnsi="宋体" w:cs="宋体" w:hint="eastAsia"/>
          <w:color w:val="000000"/>
          <w:kern w:val="0"/>
        </w:rPr>
        <w:t>Low Obsolescence</w:t>
      </w:r>
      <w:r>
        <w:rPr>
          <w:rFonts w:ascii="宋体" w:hAnsi="宋体" w:cs="宋体" w:hint="eastAsia"/>
          <w:color w:val="000000"/>
          <w:kern w:val="0"/>
        </w:rPr>
        <w:t>）。</w:t>
      </w:r>
      <w:r>
        <w:rPr>
          <w:rFonts w:ascii="宋体" w:hAnsi="宋体" w:cs="宋体" w:hint="eastAsia"/>
          <w:color w:val="000000"/>
          <w:kern w:val="0"/>
        </w:rPr>
        <w:t>4</w:t>
      </w:r>
      <w:r>
        <w:rPr>
          <w:rFonts w:ascii="宋体" w:hAnsi="宋体" w:cs="宋体" w:hint="eastAsia"/>
          <w:color w:val="000000"/>
          <w:kern w:val="0"/>
        </w:rPr>
        <w:t>月</w:t>
      </w:r>
      <w:r>
        <w:rPr>
          <w:rFonts w:ascii="宋体" w:hAnsi="宋体" w:cs="宋体" w:hint="eastAsia"/>
          <w:color w:val="000000"/>
          <w:kern w:val="0"/>
        </w:rPr>
        <w:t>7</w:t>
      </w:r>
      <w:r>
        <w:rPr>
          <w:rFonts w:ascii="宋体" w:hAnsi="宋体" w:cs="宋体" w:hint="eastAsia"/>
          <w:color w:val="000000"/>
          <w:kern w:val="0"/>
        </w:rPr>
        <w:t>日美伊达成临时协议后，全球风险资产迎来修复，</w:t>
      </w:r>
      <w:r>
        <w:rPr>
          <w:rFonts w:ascii="宋体" w:hAnsi="宋体" w:cs="宋体" w:hint="eastAsia"/>
          <w:color w:val="000000"/>
          <w:kern w:val="0"/>
        </w:rPr>
        <w:t>CPO</w:t>
      </w:r>
      <w:r>
        <w:rPr>
          <w:rFonts w:ascii="宋体" w:hAnsi="宋体" w:cs="宋体" w:hint="eastAsia"/>
          <w:color w:val="000000"/>
          <w:kern w:val="0"/>
        </w:rPr>
        <w:t>、</w:t>
      </w:r>
      <w:r>
        <w:rPr>
          <w:rFonts w:ascii="宋体" w:hAnsi="宋体" w:cs="宋体" w:hint="eastAsia"/>
          <w:color w:val="000000"/>
          <w:kern w:val="0"/>
        </w:rPr>
        <w:t>PCB</w:t>
      </w:r>
      <w:r>
        <w:rPr>
          <w:rFonts w:ascii="宋体" w:hAnsi="宋体" w:cs="宋体" w:hint="eastAsia"/>
          <w:color w:val="000000"/>
          <w:kern w:val="0"/>
        </w:rPr>
        <w:t>、</w:t>
      </w:r>
      <w:r>
        <w:rPr>
          <w:rFonts w:ascii="宋体" w:hAnsi="宋体" w:cs="宋体" w:hint="eastAsia"/>
          <w:color w:val="000000"/>
          <w:kern w:val="0"/>
        </w:rPr>
        <w:t>MLCC</w:t>
      </w:r>
      <w:r>
        <w:rPr>
          <w:rFonts w:ascii="宋体" w:hAnsi="宋体" w:cs="宋体" w:hint="eastAsia"/>
          <w:color w:val="000000"/>
          <w:kern w:val="0"/>
        </w:rPr>
        <w:t>、存储芯片等</w:t>
      </w:r>
      <w:r>
        <w:rPr>
          <w:rFonts w:ascii="宋体" w:hAnsi="宋体" w:cs="宋体" w:hint="eastAsia"/>
          <w:color w:val="000000"/>
          <w:kern w:val="0"/>
        </w:rPr>
        <w:t>AI</w:t>
      </w:r>
      <w:r>
        <w:rPr>
          <w:rFonts w:ascii="宋体" w:hAnsi="宋体" w:cs="宋体" w:hint="eastAsia"/>
          <w:color w:val="000000"/>
          <w:kern w:val="0"/>
        </w:rPr>
        <w:t>硬件细分领域在</w:t>
      </w:r>
      <w:r>
        <w:rPr>
          <w:rFonts w:ascii="宋体" w:hAnsi="宋体" w:cs="宋体" w:hint="eastAsia"/>
          <w:color w:val="000000"/>
          <w:kern w:val="0"/>
        </w:rPr>
        <w:t>CSP</w:t>
      </w:r>
      <w:r>
        <w:rPr>
          <w:rFonts w:ascii="宋体" w:hAnsi="宋体" w:cs="宋体" w:hint="eastAsia"/>
          <w:color w:val="000000"/>
          <w:kern w:val="0"/>
        </w:rPr>
        <w:t>大厂资本开支持续攀升叙事驱动下连续创出历史新高，与此形成鲜明对比的是，商贸零售、食品饮料等消费板块、汽车、地产等传统行业跌幅明显。</w:t>
      </w:r>
      <w:r>
        <w:rPr>
          <w:rFonts w:ascii="宋体" w:hAnsi="宋体" w:cs="宋体" w:hint="eastAsia"/>
          <w:color w:val="000000"/>
          <w:kern w:val="0"/>
        </w:rPr>
        <w:br/>
      </w:r>
      <w:r>
        <w:rPr>
          <w:rFonts w:ascii="宋体" w:hAnsi="宋体" w:cs="宋体" w:hint="eastAsia"/>
          <w:color w:val="000000"/>
          <w:kern w:val="0"/>
        </w:rPr>
        <w:t xml:space="preserve">　　二季度我们维持对于全球</w:t>
      </w:r>
      <w:r>
        <w:rPr>
          <w:rFonts w:ascii="宋体" w:hAnsi="宋体" w:cs="宋体" w:hint="eastAsia"/>
          <w:color w:val="000000"/>
          <w:kern w:val="0"/>
        </w:rPr>
        <w:t>AI</w:t>
      </w:r>
      <w:r>
        <w:rPr>
          <w:rFonts w:ascii="宋体" w:hAnsi="宋体" w:cs="宋体" w:hint="eastAsia"/>
          <w:color w:val="000000"/>
          <w:kern w:val="0"/>
        </w:rPr>
        <w:t>产业链中中国优势环节的超配，同时优化了电力设备新能源板块的结构，增配了上游资源。未来</w:t>
      </w:r>
      <w:r>
        <w:rPr>
          <w:rFonts w:ascii="宋体" w:hAnsi="宋体" w:cs="宋体" w:hint="eastAsia"/>
          <w:color w:val="000000"/>
          <w:kern w:val="0"/>
        </w:rPr>
        <w:t>AI</w:t>
      </w:r>
      <w:r>
        <w:rPr>
          <w:rFonts w:ascii="宋体" w:hAnsi="宋体" w:cs="宋体" w:hint="eastAsia"/>
          <w:color w:val="000000"/>
          <w:kern w:val="0"/>
        </w:rPr>
        <w:t>资本开支是否会放缓、中东地缘冲突对全球能源及经济冲击的影响，仍需密切观察。行业配置上，二季度整体仓位变化不大，结构上适度降低了对流动性依赖程度高的有色等投资品种，继续在</w:t>
      </w:r>
      <w:r>
        <w:rPr>
          <w:rFonts w:ascii="宋体" w:hAnsi="宋体" w:cs="宋体" w:hint="eastAsia"/>
          <w:color w:val="000000"/>
          <w:kern w:val="0"/>
        </w:rPr>
        <w:t>AI</w:t>
      </w:r>
      <w:r>
        <w:rPr>
          <w:rFonts w:ascii="宋体" w:hAnsi="宋体" w:cs="宋体" w:hint="eastAsia"/>
          <w:color w:val="000000"/>
          <w:kern w:val="0"/>
        </w:rPr>
        <w:t>硬件相关的电子通信板块内部进行结构优化，维持了地缘冲突及</w:t>
      </w:r>
      <w:r>
        <w:rPr>
          <w:rFonts w:ascii="宋体" w:hAnsi="宋体" w:cs="宋体" w:hint="eastAsia"/>
          <w:color w:val="000000"/>
          <w:kern w:val="0"/>
        </w:rPr>
        <w:t>AI</w:t>
      </w:r>
      <w:r>
        <w:rPr>
          <w:rFonts w:ascii="宋体" w:hAnsi="宋体" w:cs="宋体" w:hint="eastAsia"/>
          <w:color w:val="000000"/>
          <w:kern w:val="0"/>
        </w:rPr>
        <w:t>建设双重受益的新能源板块配置。</w:t>
      </w:r>
      <w:r>
        <w:rPr>
          <w:rFonts w:ascii="宋体" w:hAnsi="宋体" w:cs="宋体" w:hint="eastAsia"/>
          <w:color w:val="000000"/>
          <w:kern w:val="0"/>
        </w:rPr>
        <w:br/>
      </w:r>
      <w:r>
        <w:rPr>
          <w:rFonts w:ascii="宋体" w:hAnsi="宋体" w:cs="宋体" w:hint="eastAsia"/>
          <w:color w:val="000000"/>
          <w:kern w:val="0"/>
        </w:rPr>
        <w:t xml:space="preserve">　　展望后市，国内外复杂多变的宏观环境在</w:t>
      </w:r>
      <w:r>
        <w:rPr>
          <w:rFonts w:ascii="宋体" w:hAnsi="宋体" w:cs="宋体" w:hint="eastAsia"/>
          <w:color w:val="000000"/>
          <w:kern w:val="0"/>
        </w:rPr>
        <w:t>2026</w:t>
      </w:r>
      <w:r>
        <w:rPr>
          <w:rFonts w:ascii="宋体" w:hAnsi="宋体" w:cs="宋体" w:hint="eastAsia"/>
          <w:color w:val="000000"/>
          <w:kern w:val="0"/>
        </w:rPr>
        <w:t>年并未明显改善，中东局势的反复进一步加大了全球经济复苏的不确定性。国内经济虽向好态势未变，但持续回升的基础仍需稳固，新形势下，中国持续发挥“确定性基石”和“稳定性港湾”的作用。正如刘结一所言，“中国始终是动荡世界中最稳定、最可靠、最积极的力量”。我们认为全球资金对中国市场的“稳定性”定价并未充分体现，我们继续对</w:t>
      </w:r>
      <w:r>
        <w:rPr>
          <w:rFonts w:ascii="宋体" w:hAnsi="宋体" w:cs="宋体" w:hint="eastAsia"/>
          <w:color w:val="000000"/>
          <w:kern w:val="0"/>
        </w:rPr>
        <w:t>2026</w:t>
      </w:r>
      <w:r>
        <w:rPr>
          <w:rFonts w:ascii="宋体" w:hAnsi="宋体" w:cs="宋体" w:hint="eastAsia"/>
          <w:color w:val="000000"/>
          <w:kern w:val="0"/>
        </w:rPr>
        <w:t>年下半年市场持乐观态度。</w:t>
      </w:r>
      <w:r>
        <w:rPr>
          <w:rFonts w:ascii="宋体" w:hAnsi="宋体" w:cs="宋体" w:hint="eastAsia"/>
          <w:color w:val="000000"/>
          <w:kern w:val="0"/>
        </w:rPr>
        <w:br/>
      </w:r>
      <w:r>
        <w:rPr>
          <w:rFonts w:ascii="宋体" w:hAnsi="宋体" w:cs="宋体" w:hint="eastAsia"/>
          <w:color w:val="000000"/>
          <w:kern w:val="0"/>
        </w:rPr>
        <w:t xml:space="preserve">　　行业层面，</w:t>
      </w:r>
      <w:r>
        <w:rPr>
          <w:rFonts w:ascii="宋体" w:hAnsi="宋体" w:cs="宋体" w:hint="eastAsia"/>
          <w:color w:val="000000"/>
          <w:kern w:val="0"/>
        </w:rPr>
        <w:t>2026</w:t>
      </w:r>
      <w:r>
        <w:rPr>
          <w:rFonts w:ascii="宋体" w:hAnsi="宋体" w:cs="宋体" w:hint="eastAsia"/>
          <w:color w:val="000000"/>
          <w:kern w:val="0"/>
        </w:rPr>
        <w:t>年下半年我们将继续重点关注资本开支驱动的</w:t>
      </w:r>
      <w:r>
        <w:rPr>
          <w:rFonts w:ascii="宋体" w:hAnsi="宋体" w:cs="宋体" w:hint="eastAsia"/>
          <w:color w:val="000000"/>
          <w:kern w:val="0"/>
        </w:rPr>
        <w:t>AI</w:t>
      </w:r>
      <w:r>
        <w:rPr>
          <w:rFonts w:ascii="宋体" w:hAnsi="宋体" w:cs="宋体" w:hint="eastAsia"/>
          <w:color w:val="000000"/>
          <w:kern w:val="0"/>
        </w:rPr>
        <w:t>硬件、储能带动的锂电产业链以及制造业出海等投资机会。市场阶段性的极致分化大概率不具备持续性，但</w:t>
      </w:r>
      <w:r>
        <w:rPr>
          <w:rFonts w:ascii="宋体" w:hAnsi="宋体" w:cs="宋体" w:hint="eastAsia"/>
          <w:color w:val="000000"/>
          <w:kern w:val="0"/>
        </w:rPr>
        <w:t>AI</w:t>
      </w:r>
      <w:r>
        <w:rPr>
          <w:rFonts w:ascii="宋体" w:hAnsi="宋体" w:cs="宋体" w:hint="eastAsia"/>
          <w:color w:val="000000"/>
          <w:kern w:val="0"/>
        </w:rPr>
        <w:t>的宏大叙事短期依然无法证伪。对于市场关注的</w:t>
      </w:r>
      <w:r>
        <w:rPr>
          <w:rFonts w:ascii="宋体" w:hAnsi="宋体" w:cs="宋体" w:hint="eastAsia"/>
          <w:color w:val="000000"/>
          <w:kern w:val="0"/>
        </w:rPr>
        <w:t>AI</w:t>
      </w:r>
      <w:r>
        <w:rPr>
          <w:rFonts w:ascii="宋体" w:hAnsi="宋体" w:cs="宋体" w:hint="eastAsia"/>
          <w:color w:val="000000"/>
          <w:kern w:val="0"/>
        </w:rPr>
        <w:t>资本开支可持续性问题，我们认为技术革命的演进速度常超出线性预测，应紧密跟踪用户增长、产品迭代等具体指标。锂电侧，目前锂电产业链核心驱动力正在发生结构性转变——储能正在逐步取代电动汽车，成为拉动锂电需求增长的首要动力。从全球范围看，电动汽车渗透率提升进入相对平稳阶段，但上半年单车带电量提升、电动重卡放量、出口高增依然亮点众多，而储能则因可再生能源比例提升、电网建设、能源安全以及</w:t>
      </w:r>
      <w:r>
        <w:rPr>
          <w:rFonts w:ascii="宋体" w:hAnsi="宋体" w:cs="宋体" w:hint="eastAsia"/>
          <w:color w:val="000000"/>
          <w:kern w:val="0"/>
        </w:rPr>
        <w:t>AI</w:t>
      </w:r>
      <w:r>
        <w:rPr>
          <w:rFonts w:ascii="宋体" w:hAnsi="宋体" w:cs="宋体" w:hint="eastAsia"/>
          <w:color w:val="000000"/>
          <w:kern w:val="0"/>
        </w:rPr>
        <w:t>算力中心对电力的巨量需求，正迎来爆发式增长。电池及材料供给侧在经历长期的激烈竞争与价格调整后，格局已显著优化，仅极少数龙头企业具备大规模扩产能力。因此在新一轮需求驱动下，产业链上游及中游环节的盈利修复可能具备较强的持续性。此外，中东冲突下能源安全需求凸显，进一步加速了电力设备新能源需求。</w:t>
      </w:r>
      <w:r>
        <w:rPr>
          <w:rFonts w:ascii="宋体" w:hAnsi="宋体" w:cs="宋体" w:hint="eastAsia"/>
          <w:color w:val="000000"/>
          <w:kern w:val="0"/>
        </w:rPr>
        <w:br/>
      </w:r>
      <w:r>
        <w:rPr>
          <w:rFonts w:ascii="宋体" w:hAnsi="宋体" w:cs="宋体" w:hint="eastAsia"/>
          <w:color w:val="000000"/>
          <w:kern w:val="0"/>
        </w:rPr>
        <w:t xml:space="preserve">　　上半年在</w:t>
      </w:r>
      <w:r>
        <w:rPr>
          <w:rFonts w:ascii="宋体" w:hAnsi="宋体" w:cs="宋体" w:hint="eastAsia"/>
          <w:color w:val="000000"/>
          <w:kern w:val="0"/>
        </w:rPr>
        <w:t>AI</w:t>
      </w:r>
      <w:r>
        <w:rPr>
          <w:rFonts w:ascii="宋体" w:hAnsi="宋体" w:cs="宋体" w:hint="eastAsia"/>
          <w:color w:val="000000"/>
          <w:kern w:val="0"/>
        </w:rPr>
        <w:t>硬件行情极致分化的背景下，新能源等基本面改善的行业和公司股价并没有很好的表现，我们相信下半年市场风格会迎来再平衡的过程。</w:t>
      </w:r>
      <w:r>
        <w:rPr>
          <w:rFonts w:ascii="宋体" w:hAnsi="宋体" w:cs="宋体" w:hint="eastAsia"/>
          <w:color w:val="000000"/>
          <w:kern w:val="0"/>
        </w:rPr>
        <w:br/>
      </w:r>
      <w:r>
        <w:rPr>
          <w:rFonts w:ascii="宋体" w:hAnsi="宋体" w:cs="宋体" w:hint="eastAsia"/>
          <w:color w:val="000000"/>
          <w:kern w:val="0"/>
        </w:rPr>
        <w:t xml:space="preserve">　　我们始终坚持在符合社会发展趋势的新能源、</w:t>
      </w:r>
      <w:r>
        <w:rPr>
          <w:rFonts w:ascii="宋体" w:hAnsi="宋体" w:cs="宋体" w:hint="eastAsia"/>
          <w:color w:val="000000"/>
          <w:kern w:val="0"/>
        </w:rPr>
        <w:t>AI</w:t>
      </w:r>
      <w:r>
        <w:rPr>
          <w:rFonts w:ascii="宋体" w:hAnsi="宋体" w:cs="宋体" w:hint="eastAsia"/>
          <w:color w:val="000000"/>
          <w:kern w:val="0"/>
        </w:rPr>
        <w:t>、半导体等高端制造、自主可控领域寻找机会。我们相信双碳目标的方向非常明确，继续看好具有技术优势、成本优势、渠道优势的新能源龙头公司，同时寻找并优先配置率先走出供需困境的细分领域。我们相信在这一轮</w:t>
      </w:r>
      <w:r>
        <w:rPr>
          <w:rFonts w:ascii="宋体" w:hAnsi="宋体" w:cs="宋体" w:hint="eastAsia"/>
          <w:color w:val="000000"/>
          <w:kern w:val="0"/>
        </w:rPr>
        <w:t>AI</w:t>
      </w:r>
      <w:r>
        <w:rPr>
          <w:rFonts w:ascii="宋体" w:hAnsi="宋体" w:cs="宋体" w:hint="eastAsia"/>
          <w:color w:val="000000"/>
          <w:kern w:val="0"/>
        </w:rPr>
        <w:t>驱动的科技革命浪潮下，无论是海外还是国产算力产业链，都会有较大成长空间，大模型、应用端更会百花齐放。</w:t>
      </w:r>
      <w:r>
        <w:rPr>
          <w:rFonts w:ascii="宋体" w:hAnsi="宋体" w:cs="宋体" w:hint="eastAsia"/>
          <w:color w:val="000000"/>
          <w:kern w:val="0"/>
        </w:rPr>
        <w:br/>
      </w:r>
      <w:r>
        <w:rPr>
          <w:rFonts w:ascii="宋体" w:hAnsi="宋体" w:cs="宋体" w:hint="eastAsia"/>
          <w:color w:val="000000"/>
          <w:kern w:val="0"/>
        </w:rPr>
        <w:t xml:space="preserve">　　我们始终相信真正有成长性的行业和公司可以穿越周期，我们将始终坚持从中长期视角来配置主要投资标的，聚焦新能源，高端制造等板块，同时紧密跟踪和关注宏观政策（尤其是流动性变化）、国际环境的变化，适度动态调整组合，力争为基金持有人创造持续稳定收益</w:t>
      </w:r>
      <w:r>
        <w:rPr>
          <w:rFonts w:ascii="宋体" w:hAnsi="宋体" w:cs="宋体" w:hint="eastAsia"/>
          <w:color w:val="000000"/>
          <w:kern w:val="0"/>
        </w:rPr>
        <w:t>。</w:t>
      </w:r>
    </w:p>
    <w:p w:rsidR="002D43D2" w:rsidRDefault="002D43D2">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2D43D2" w:rsidRDefault="002D43D2">
      <w:pPr>
        <w:spacing w:line="360" w:lineRule="auto"/>
        <w:ind w:firstLineChars="200" w:firstLine="420"/>
        <w:rPr>
          <w:rFonts w:hint="eastAsia"/>
        </w:rPr>
      </w:pPr>
      <w:r>
        <w:rPr>
          <w:rFonts w:ascii="宋体" w:hAnsi="宋体" w:hint="eastAsia"/>
        </w:rPr>
        <w:t>本报告期摩根动力精选混合</w:t>
      </w:r>
      <w:r>
        <w:rPr>
          <w:rFonts w:ascii="宋体" w:hAnsi="宋体" w:hint="eastAsia"/>
        </w:rPr>
        <w:t>A</w:t>
      </w:r>
      <w:r>
        <w:rPr>
          <w:rFonts w:ascii="宋体" w:hAnsi="宋体" w:hint="eastAsia"/>
        </w:rPr>
        <w:t>份额净值增长率为：</w:t>
      </w:r>
      <w:r>
        <w:rPr>
          <w:rFonts w:ascii="宋体" w:hAnsi="宋体" w:hint="eastAsia"/>
        </w:rPr>
        <w:t>28.95%</w:t>
      </w:r>
      <w:r>
        <w:rPr>
          <w:rFonts w:ascii="宋体" w:hAnsi="宋体" w:hint="eastAsia"/>
        </w:rPr>
        <w:t>，同期业绩比较基准收益率为：</w:t>
      </w:r>
      <w:r>
        <w:rPr>
          <w:rFonts w:ascii="宋体" w:hAnsi="宋体" w:hint="eastAsia"/>
        </w:rPr>
        <w:t>11.07%</w:t>
      </w:r>
      <w:r>
        <w:rPr>
          <w:rFonts w:ascii="宋体" w:hAnsi="宋体" w:hint="eastAsia"/>
        </w:rPr>
        <w:t>；</w:t>
      </w:r>
      <w:r>
        <w:rPr>
          <w:rFonts w:ascii="宋体" w:hAnsi="宋体" w:hint="eastAsia"/>
        </w:rPr>
        <w:br/>
      </w:r>
      <w:r>
        <w:rPr>
          <w:rFonts w:ascii="宋体" w:hAnsi="宋体" w:hint="eastAsia"/>
        </w:rPr>
        <w:t xml:space="preserve">　　摩根动力精选混合</w:t>
      </w:r>
      <w:r>
        <w:rPr>
          <w:rFonts w:ascii="宋体" w:hAnsi="宋体" w:hint="eastAsia"/>
        </w:rPr>
        <w:t>C</w:t>
      </w:r>
      <w:r>
        <w:rPr>
          <w:rFonts w:ascii="宋体" w:hAnsi="宋体" w:hint="eastAsia"/>
        </w:rPr>
        <w:t>份额净值增长率为：</w:t>
      </w:r>
      <w:r>
        <w:rPr>
          <w:rFonts w:ascii="宋体" w:hAnsi="宋体" w:hint="eastAsia"/>
        </w:rPr>
        <w:t>28.83%</w:t>
      </w:r>
      <w:r>
        <w:rPr>
          <w:rFonts w:ascii="宋体" w:hAnsi="宋体" w:hint="eastAsia"/>
        </w:rPr>
        <w:t>，同期业绩比较基准收益率为：</w:t>
      </w:r>
      <w:r>
        <w:rPr>
          <w:rFonts w:ascii="宋体" w:hAnsi="宋体" w:hint="eastAsia"/>
        </w:rPr>
        <w:t>11.07%</w:t>
      </w:r>
      <w:r>
        <w:rPr>
          <w:rFonts w:ascii="宋体" w:hAnsi="宋体" w:hint="eastAsia"/>
        </w:rPr>
        <w:t>。</w:t>
      </w:r>
    </w:p>
    <w:p w:rsidR="002D43D2" w:rsidRDefault="002D43D2">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2D43D2" w:rsidRDefault="002D43D2">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2D43D2" w:rsidRDefault="002D43D2">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2D43D2" w:rsidRDefault="002D43D2">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449,072,875.4</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91.5</w:t>
            </w:r>
            <w:r>
              <w:rPr>
                <w:rFonts w:ascii="宋体" w:hAnsi="宋体" w:hint="eastAsia"/>
                <w:szCs w:val="24"/>
                <w:lang w:eastAsia="zh-Hans"/>
              </w:rPr>
              <w:t>4</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449,072,875.4</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91.5</w:t>
            </w:r>
            <w:r>
              <w:rPr>
                <w:rFonts w:ascii="宋体" w:hAnsi="宋体" w:hint="eastAsia"/>
                <w:szCs w:val="24"/>
                <w:lang w:eastAsia="zh-Hans"/>
              </w:rPr>
              <w:t>4</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296,009.0</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296,009.0</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37,121,216.0</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7.5</w:t>
            </w:r>
            <w:r>
              <w:rPr>
                <w:rFonts w:ascii="宋体" w:hAnsi="宋体" w:hint="eastAsia"/>
                <w:szCs w:val="24"/>
                <w:lang w:eastAsia="zh-Hans"/>
              </w:rPr>
              <w:t>7</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4,097,575.3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0.8</w:t>
            </w:r>
            <w:r>
              <w:rPr>
                <w:rFonts w:ascii="宋体" w:hAnsi="宋体" w:hint="eastAsia"/>
                <w:szCs w:val="24"/>
                <w:lang w:eastAsia="zh-Hans"/>
              </w:rPr>
              <w:t>4</w:t>
            </w:r>
          </w:p>
        </w:tc>
      </w:tr>
      <w:tr w:rsidR="00000000">
        <w:trPr>
          <w:divId w:val="14954850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2D43D2" w:rsidRDefault="002D43D2">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490,587,675.9</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100.0</w:t>
            </w:r>
            <w:r>
              <w:rPr>
                <w:rFonts w:ascii="宋体" w:hAnsi="宋体" w:hint="eastAsia"/>
                <w:szCs w:val="24"/>
                <w:lang w:eastAsia="zh-Hans"/>
              </w:rPr>
              <w:t>0</w:t>
            </w:r>
          </w:p>
        </w:tc>
      </w:tr>
    </w:tbl>
    <w:p w:rsidR="002D43D2" w:rsidRDefault="002D43D2">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2D43D2" w:rsidRDefault="002D43D2">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71685841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2D43D2" w:rsidRDefault="002D43D2">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2D43D2" w:rsidRDefault="002D43D2">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2D43D2" w:rsidRDefault="002D43D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27,586,945.0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5.7</w:t>
            </w:r>
            <w:r>
              <w:rPr>
                <w:rFonts w:ascii="宋体" w:hAnsi="宋体" w:hint="eastAsia"/>
                <w:szCs w:val="24"/>
                <w:lang w:eastAsia="zh-Hans"/>
              </w:rPr>
              <w:t>0</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421,485,930.4</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87.0</w:t>
            </w:r>
            <w:r>
              <w:rPr>
                <w:rFonts w:ascii="宋体" w:hAnsi="宋体" w:hint="eastAsia"/>
                <w:szCs w:val="24"/>
                <w:lang w:eastAsia="zh-Hans"/>
              </w:rPr>
              <w:t>2</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w:t>
            </w:r>
          </w:p>
        </w:tc>
      </w:tr>
      <w:tr w:rsidR="00000000">
        <w:trPr>
          <w:divId w:val="71685841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D43D2" w:rsidRDefault="002D43D2">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D43D2" w:rsidRDefault="002D43D2">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D43D2" w:rsidRDefault="002D43D2">
            <w:pPr>
              <w:jc w:val="right"/>
            </w:pPr>
            <w:r>
              <w:rPr>
                <w:rFonts w:ascii="宋体" w:hAnsi="宋体" w:hint="eastAsia"/>
                <w:szCs w:val="24"/>
                <w:lang w:eastAsia="zh-Hans"/>
              </w:rPr>
              <w:t>449,072,875.4</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D43D2" w:rsidRDefault="002D43D2">
            <w:pPr>
              <w:jc w:val="right"/>
            </w:pPr>
            <w:r>
              <w:rPr>
                <w:rFonts w:ascii="宋体" w:hAnsi="宋体" w:hint="eastAsia"/>
                <w:szCs w:val="24"/>
                <w:lang w:eastAsia="zh-Hans"/>
              </w:rPr>
              <w:t>92.7</w:t>
            </w:r>
            <w:r>
              <w:rPr>
                <w:rFonts w:ascii="宋体" w:hAnsi="宋体" w:hint="eastAsia"/>
                <w:szCs w:val="24"/>
                <w:lang w:eastAsia="zh-Hans"/>
              </w:rPr>
              <w:t>2</w:t>
            </w:r>
          </w:p>
        </w:tc>
      </w:tr>
    </w:tbl>
    <w:p w:rsidR="002D43D2" w:rsidRDefault="002D43D2">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2D43D2" w:rsidRDefault="002D43D2">
      <w:pPr>
        <w:spacing w:line="360" w:lineRule="auto"/>
        <w:ind w:firstLineChars="200" w:firstLine="420"/>
        <w:divId w:val="188116660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2D43D2" w:rsidRDefault="002D43D2">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2D43D2" w:rsidRDefault="002D43D2">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37947322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535,06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50,033,460.6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10.3</w:t>
            </w:r>
            <w:r>
              <w:rPr>
                <w:rFonts w:ascii="宋体" w:hAnsi="宋体" w:hint="eastAsia"/>
                <w:szCs w:val="24"/>
                <w:lang w:eastAsia="zh-Hans"/>
              </w:rPr>
              <w:t>3</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186,20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48,849,570.0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10.0</w:t>
            </w:r>
            <w:r>
              <w:rPr>
                <w:rFonts w:ascii="宋体" w:hAnsi="宋体" w:hint="eastAsia"/>
                <w:szCs w:val="24"/>
                <w:lang w:eastAsia="zh-Hans"/>
              </w:rPr>
              <w:t>9</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36,30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46,101,000.0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9.5</w:t>
            </w:r>
            <w:r>
              <w:rPr>
                <w:rFonts w:ascii="宋体" w:hAnsi="宋体" w:hint="eastAsia"/>
                <w:szCs w:val="24"/>
                <w:lang w:eastAsia="zh-Hans"/>
              </w:rPr>
              <w:t>2</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84,17</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33,079,651.7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6.8</w:t>
            </w:r>
            <w:r>
              <w:rPr>
                <w:rFonts w:ascii="宋体" w:hAnsi="宋体" w:hint="eastAsia"/>
                <w:szCs w:val="24"/>
                <w:lang w:eastAsia="zh-Hans"/>
              </w:rPr>
              <w:t>3</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00120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大中矿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921,10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27,586,945.0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5.7</w:t>
            </w:r>
            <w:r>
              <w:rPr>
                <w:rFonts w:ascii="宋体" w:hAnsi="宋体" w:hint="eastAsia"/>
                <w:szCs w:val="24"/>
                <w:lang w:eastAsia="zh-Hans"/>
              </w:rPr>
              <w:t>0</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43,82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26,598,740.0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5.4</w:t>
            </w:r>
            <w:r>
              <w:rPr>
                <w:rFonts w:ascii="宋体" w:hAnsi="宋体" w:hint="eastAsia"/>
                <w:szCs w:val="24"/>
                <w:lang w:eastAsia="zh-Hans"/>
              </w:rPr>
              <w:t>9</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30043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鹏辉能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212,20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17,580,770.0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3.6</w:t>
            </w:r>
            <w:r>
              <w:rPr>
                <w:rFonts w:ascii="宋体" w:hAnsi="宋体" w:hint="eastAsia"/>
                <w:szCs w:val="24"/>
                <w:lang w:eastAsia="zh-Hans"/>
              </w:rPr>
              <w:t>3</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60511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德业股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162,59</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17,264,761.8</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3.5</w:t>
            </w:r>
            <w:r>
              <w:rPr>
                <w:rFonts w:ascii="宋体" w:hAnsi="宋体" w:hint="eastAsia"/>
                <w:szCs w:val="24"/>
                <w:lang w:eastAsia="zh-Hans"/>
              </w:rPr>
              <w:t>6</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30047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44,92</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15,562,328.4</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3.2</w:t>
            </w:r>
            <w:r>
              <w:rPr>
                <w:rFonts w:ascii="宋体" w:hAnsi="宋体" w:hint="eastAsia"/>
                <w:szCs w:val="24"/>
                <w:lang w:eastAsia="zh-Hans"/>
              </w:rPr>
              <w:t>1</w:t>
            </w:r>
          </w:p>
        </w:tc>
      </w:tr>
      <w:tr w:rsidR="00000000">
        <w:trPr>
          <w:divId w:val="3794732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307,30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14,341,691.0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2.9</w:t>
            </w:r>
            <w:r>
              <w:rPr>
                <w:rFonts w:ascii="宋体" w:hAnsi="宋体" w:hint="eastAsia"/>
                <w:szCs w:val="24"/>
                <w:lang w:eastAsia="zh-Hans"/>
              </w:rPr>
              <w:t>6</w:t>
            </w:r>
          </w:p>
        </w:tc>
      </w:tr>
    </w:tbl>
    <w:p w:rsidR="002D43D2" w:rsidRDefault="002D43D2">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296,009.0</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w:t>
            </w:r>
          </w:p>
        </w:tc>
      </w:tr>
      <w:tr w:rsidR="00000000">
        <w:trPr>
          <w:divId w:val="156625824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2D43D2" w:rsidRDefault="002D43D2">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296,009.0</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2D43D2" w:rsidRDefault="002D43D2">
            <w:pPr>
              <w:jc w:val="right"/>
            </w:pPr>
            <w:r>
              <w:rPr>
                <w:rFonts w:ascii="宋体" w:hAnsi="宋体" w:hint="eastAsia"/>
                <w:szCs w:val="24"/>
                <w:lang w:eastAsia="zh-Hans"/>
              </w:rPr>
              <w:t>0.0</w:t>
            </w:r>
            <w:r>
              <w:rPr>
                <w:rFonts w:ascii="宋体" w:hAnsi="宋体" w:hint="eastAsia"/>
                <w:szCs w:val="24"/>
                <w:lang w:eastAsia="zh-Hans"/>
              </w:rPr>
              <w:t>6</w:t>
            </w:r>
          </w:p>
        </w:tc>
      </w:tr>
    </w:tbl>
    <w:p w:rsidR="002D43D2" w:rsidRDefault="002D43D2">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90657173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065717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2,96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296,009.0</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0.0</w:t>
            </w:r>
            <w:r>
              <w:rPr>
                <w:rFonts w:ascii="宋体" w:hAnsi="宋体" w:hint="eastAsia"/>
                <w:szCs w:val="24"/>
                <w:lang w:eastAsia="zh-Hans"/>
              </w:rPr>
              <w:t>6</w:t>
            </w:r>
          </w:p>
        </w:tc>
      </w:tr>
    </w:tbl>
    <w:p w:rsidR="002D43D2" w:rsidRDefault="002D43D2">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2D43D2" w:rsidRDefault="002D43D2">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2D43D2" w:rsidRDefault="002D43D2">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2D43D2" w:rsidRDefault="002D43D2">
      <w:pPr>
        <w:spacing w:line="360" w:lineRule="auto"/>
        <w:ind w:firstLineChars="200" w:firstLine="420"/>
        <w:divId w:val="48131557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2D43D2" w:rsidRDefault="002D43D2">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2D43D2" w:rsidRDefault="002D43D2">
      <w:pPr>
        <w:spacing w:line="360" w:lineRule="auto"/>
        <w:ind w:firstLineChars="200" w:firstLine="420"/>
        <w:divId w:val="174202040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2D43D2" w:rsidRDefault="002D43D2">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2D43D2" w:rsidRDefault="002D43D2">
      <w:pPr>
        <w:spacing w:line="360" w:lineRule="auto"/>
        <w:ind w:firstLineChars="200" w:firstLine="420"/>
        <w:divId w:val="164280920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2D43D2" w:rsidRDefault="002D43D2">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2D43D2" w:rsidRDefault="002D43D2">
      <w:pPr>
        <w:spacing w:line="360" w:lineRule="auto"/>
        <w:ind w:firstLineChars="200" w:firstLine="420"/>
        <w:divId w:val="438991221"/>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2D43D2" w:rsidRDefault="002D43D2">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2D43D2" w:rsidRDefault="002D43D2">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2D43D2" w:rsidRDefault="002D43D2">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2D43D2" w:rsidRDefault="002D43D2">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2D43D2" w:rsidRDefault="002D43D2">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2D43D2" w:rsidRDefault="002D43D2">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33773261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3D2" w:rsidRDefault="002D43D2">
            <w:pPr>
              <w:jc w:val="center"/>
            </w:pPr>
            <w:r>
              <w:rPr>
                <w:rFonts w:ascii="宋体" w:hAnsi="宋体" w:hint="eastAsia"/>
              </w:rPr>
              <w:t>金额（元</w:t>
            </w:r>
            <w:r>
              <w:rPr>
                <w:rFonts w:ascii="宋体" w:hAnsi="宋体" w:hint="eastAsia"/>
              </w:rPr>
              <w:t>）</w:t>
            </w:r>
            <w:r>
              <w:t xml:space="preserve"> </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242,121.4</w:t>
            </w:r>
            <w:r>
              <w:rPr>
                <w:rFonts w:ascii="宋体" w:hAnsi="宋体" w:hint="eastAsia"/>
              </w:rPr>
              <w:t>5</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3,494,098.1</w:t>
            </w:r>
            <w:r>
              <w:rPr>
                <w:rFonts w:ascii="宋体" w:hAnsi="宋体" w:hint="eastAsia"/>
              </w:rPr>
              <w:t>0</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361,355.8</w:t>
            </w:r>
            <w:r>
              <w:rPr>
                <w:rFonts w:ascii="宋体" w:hAnsi="宋体" w:hint="eastAsia"/>
              </w:rPr>
              <w:t>1</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w:t>
            </w:r>
          </w:p>
        </w:tc>
      </w:tr>
      <w:tr w:rsidR="00000000">
        <w:trPr>
          <w:divId w:val="33773261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rPr>
              <w:t>4,097,575.3</w:t>
            </w:r>
            <w:r>
              <w:rPr>
                <w:rFonts w:ascii="宋体" w:hAnsi="宋体" w:hint="eastAsia"/>
              </w:rPr>
              <w:t>6</w:t>
            </w:r>
          </w:p>
        </w:tc>
      </w:tr>
    </w:tbl>
    <w:p w:rsidR="002D43D2" w:rsidRDefault="002D43D2">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2D43D2" w:rsidRDefault="002D43D2">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2D43D2" w:rsidRDefault="002D43D2">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2D43D2" w:rsidRDefault="002D43D2">
      <w:pPr>
        <w:spacing w:line="360" w:lineRule="auto"/>
        <w:ind w:firstLineChars="200" w:firstLine="420"/>
        <w:jc w:val="left"/>
        <w:divId w:val="154640618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2D43D2" w:rsidRDefault="002D43D2">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2D43D2" w:rsidRDefault="002D43D2">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2D43D2" w:rsidRDefault="002D43D2">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2D43D2" w:rsidRDefault="002D43D2">
      <w:pPr>
        <w:wordWrap w:val="0"/>
        <w:spacing w:line="360" w:lineRule="auto"/>
        <w:jc w:val="right"/>
        <w:divId w:val="2095974728"/>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86"/>
        <w:gridCol w:w="2535"/>
      </w:tblGrid>
      <w:tr w:rsidR="00000000">
        <w:trPr>
          <w:divId w:val="2095974728"/>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D43D2" w:rsidRDefault="002D43D2">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ind w:right="3"/>
              <w:jc w:val="center"/>
            </w:pPr>
            <w:r>
              <w:rPr>
                <w:rFonts w:ascii="宋体" w:hAnsi="宋体" w:hint="eastAsia"/>
                <w:lang w:eastAsia="zh-Hans"/>
              </w:rPr>
              <w:t>摩根动力精选混合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D43D2" w:rsidRDefault="002D43D2">
            <w:pPr>
              <w:ind w:right="3"/>
              <w:jc w:val="center"/>
            </w:pPr>
            <w:r>
              <w:rPr>
                <w:rFonts w:ascii="宋体" w:hAnsi="宋体" w:hint="eastAsia"/>
                <w:lang w:eastAsia="zh-Hans"/>
              </w:rPr>
              <w:t>摩根动力精选混合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09597472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164,119,633.2</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5,647,057.9</w:t>
            </w:r>
            <w:r>
              <w:rPr>
                <w:rFonts w:ascii="宋体" w:hAnsi="宋体" w:hint="eastAsia"/>
              </w:rPr>
              <w:t>0</w:t>
            </w:r>
          </w:p>
        </w:tc>
      </w:tr>
      <w:tr w:rsidR="00000000">
        <w:trPr>
          <w:divId w:val="209597472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8,524,083.9</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7,185,467.6</w:t>
            </w:r>
            <w:r>
              <w:rPr>
                <w:rFonts w:ascii="宋体" w:hAnsi="宋体" w:hint="eastAsia"/>
              </w:rPr>
              <w:t>8</w:t>
            </w:r>
          </w:p>
        </w:tc>
      </w:tr>
      <w:tr w:rsidR="00000000">
        <w:trPr>
          <w:divId w:val="209597472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51,605,135.8</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7,034,416.2</w:t>
            </w:r>
            <w:r>
              <w:rPr>
                <w:rFonts w:ascii="宋体" w:hAnsi="宋体" w:hint="eastAsia"/>
              </w:rPr>
              <w:t>0</w:t>
            </w:r>
          </w:p>
        </w:tc>
      </w:tr>
      <w:tr w:rsidR="00000000">
        <w:trPr>
          <w:divId w:val="209597472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w:t>
            </w:r>
          </w:p>
        </w:tc>
      </w:tr>
      <w:tr w:rsidR="00000000">
        <w:trPr>
          <w:divId w:val="209597472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121,038,581.4</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3D2" w:rsidRDefault="002D43D2">
            <w:pPr>
              <w:jc w:val="right"/>
            </w:pPr>
            <w:r>
              <w:rPr>
                <w:rFonts w:ascii="宋体" w:hAnsi="宋体" w:hint="eastAsia"/>
              </w:rPr>
              <w:t>5,798,109.3</w:t>
            </w:r>
            <w:r>
              <w:rPr>
                <w:rFonts w:ascii="宋体" w:hAnsi="宋体" w:hint="eastAsia"/>
              </w:rPr>
              <w:t>8</w:t>
            </w:r>
          </w:p>
        </w:tc>
      </w:tr>
    </w:tbl>
    <w:p w:rsidR="002D43D2" w:rsidRDefault="002D43D2">
      <w:pPr>
        <w:spacing w:line="360" w:lineRule="auto"/>
        <w:jc w:val="left"/>
        <w:divId w:val="2095974728"/>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2D43D2" w:rsidRDefault="002D43D2">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2D43D2" w:rsidRDefault="002D43D2">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2D43D2" w:rsidRDefault="002D43D2">
      <w:pPr>
        <w:wordWrap w:val="0"/>
        <w:spacing w:line="360" w:lineRule="auto"/>
        <w:jc w:val="right"/>
        <w:divId w:val="4784658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4784658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jc w:val="center"/>
            </w:pPr>
            <w:r>
              <w:rPr>
                <w:rFonts w:ascii="宋体" w:hAnsi="宋体" w:hint="eastAsia"/>
                <w:lang w:eastAsia="zh-Hans"/>
              </w:rPr>
              <w:t>摩根动力精选混合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3D2" w:rsidRDefault="002D43D2">
            <w:pPr>
              <w:jc w:val="center"/>
            </w:pPr>
            <w:r>
              <w:rPr>
                <w:rFonts w:ascii="宋体" w:hAnsi="宋体" w:hint="eastAsia"/>
                <w:lang w:eastAsia="zh-Hans"/>
              </w:rPr>
              <w:t>摩根动力精选混合</w:t>
            </w:r>
            <w:r>
              <w:rPr>
                <w:rFonts w:ascii="宋体" w:hAnsi="宋体" w:hint="eastAsia"/>
                <w:lang w:eastAsia="zh-Hans"/>
              </w:rPr>
              <w:t>C</w:t>
            </w:r>
            <w:r>
              <w:rPr>
                <w:rFonts w:ascii="宋体" w:hAnsi="宋体" w:hint="eastAsia"/>
                <w:color w:val="000000"/>
              </w:rPr>
              <w:t xml:space="preserve"> </w:t>
            </w:r>
          </w:p>
        </w:tc>
      </w:tr>
      <w:tr w:rsidR="00000000">
        <w:trPr>
          <w:divId w:val="478465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rPr>
                <w:rFonts w:hint="eastAsia"/>
              </w:rPr>
            </w:pPr>
            <w:r>
              <w:rPr>
                <w:rFonts w:ascii="宋体" w:hAnsi="宋体" w:hint="eastAsia"/>
                <w:kern w:val="0"/>
                <w:szCs w:val="24"/>
                <w:lang w:eastAsia="zh-Hans"/>
              </w:rPr>
              <w:t>33,934.7</w:t>
            </w:r>
            <w:r>
              <w:rPr>
                <w:rFonts w:ascii="宋体" w:hAnsi="宋体" w:hint="eastAsia"/>
                <w:kern w:val="0"/>
                <w:szCs w:val="24"/>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kern w:val="0"/>
                <w:szCs w:val="24"/>
                <w:lang w:eastAsia="zh-Hans"/>
              </w:rPr>
              <w:t>-</w:t>
            </w:r>
          </w:p>
        </w:tc>
      </w:tr>
      <w:tr w:rsidR="00000000">
        <w:trPr>
          <w:divId w:val="478465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szCs w:val="24"/>
                <w:lang w:eastAsia="zh-Hans"/>
              </w:rPr>
              <w:t>-</w:t>
            </w:r>
          </w:p>
        </w:tc>
      </w:tr>
      <w:tr w:rsidR="00000000">
        <w:trPr>
          <w:divId w:val="478465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lang w:eastAsia="zh-Hans"/>
              </w:rPr>
              <w:t>-</w:t>
            </w:r>
          </w:p>
        </w:tc>
      </w:tr>
      <w:tr w:rsidR="00000000">
        <w:trPr>
          <w:divId w:val="478465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rPr>
                <w:rFonts w:hint="eastAsia"/>
              </w:rPr>
            </w:pPr>
            <w:r>
              <w:rPr>
                <w:rFonts w:ascii="宋体" w:hAnsi="宋体" w:hint="eastAsia"/>
                <w:lang w:eastAsia="zh-Hans"/>
              </w:rPr>
              <w:t>33,934.7</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lang w:eastAsia="zh-Hans"/>
              </w:rPr>
              <w:t>-</w:t>
            </w:r>
          </w:p>
        </w:tc>
      </w:tr>
      <w:tr w:rsidR="00000000">
        <w:trPr>
          <w:divId w:val="478465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rPr>
                <w:rFonts w:hint="eastAsia"/>
              </w:rPr>
            </w:pPr>
            <w:r>
              <w:rPr>
                <w:rFonts w:ascii="宋体" w:hAnsi="宋体" w:hint="eastAsia"/>
                <w:lang w:eastAsia="zh-Hans"/>
              </w:rPr>
              <w:t>0.0</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3D2" w:rsidRDefault="002D43D2">
            <w:pPr>
              <w:jc w:val="right"/>
            </w:pPr>
            <w:r>
              <w:rPr>
                <w:rFonts w:ascii="宋体" w:hAnsi="宋体" w:hint="eastAsia"/>
                <w:lang w:eastAsia="zh-Hans"/>
              </w:rPr>
              <w:t>-</w:t>
            </w:r>
          </w:p>
        </w:tc>
      </w:tr>
    </w:tbl>
    <w:p w:rsidR="002D43D2" w:rsidRDefault="002D43D2">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2D43D2" w:rsidRDefault="002D43D2">
      <w:pPr>
        <w:spacing w:line="360" w:lineRule="auto"/>
        <w:ind w:firstLineChars="200" w:firstLine="420"/>
        <w:jc w:val="left"/>
        <w:divId w:val="290013910"/>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2D43D2" w:rsidRDefault="002D43D2">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2D43D2" w:rsidRDefault="002D43D2">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2D43D2" w:rsidRDefault="002D43D2">
      <w:pPr>
        <w:spacing w:line="360" w:lineRule="auto"/>
        <w:ind w:firstLineChars="200" w:firstLine="420"/>
        <w:divId w:val="700740829"/>
        <w:rPr>
          <w:rFonts w:ascii="宋体" w:hAnsi="宋体" w:hint="eastAsia"/>
          <w:szCs w:val="21"/>
          <w:lang w:eastAsia="zh-Hans"/>
        </w:rPr>
      </w:pPr>
      <w:r>
        <w:rPr>
          <w:rFonts w:ascii="宋体" w:hAnsi="宋体" w:hint="eastAsia"/>
          <w:szCs w:val="21"/>
          <w:lang w:eastAsia="zh-Hans"/>
        </w:rPr>
        <w:t>无。</w:t>
      </w:r>
    </w:p>
    <w:p w:rsidR="002D43D2" w:rsidRDefault="002D43D2">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2D43D2" w:rsidRDefault="002D43D2">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2D43D2" w:rsidRDefault="002D43D2">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摩根动力精选混合型证券投资基金基金合同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摩根动力精选混合型证券投资基金托管协议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2D43D2" w:rsidRDefault="002D43D2">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2D43D2" w:rsidRDefault="002D43D2">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2D43D2" w:rsidRDefault="002D43D2">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2D43D2" w:rsidRDefault="002D43D2">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2D43D2" w:rsidRDefault="002D43D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D43D2" w:rsidRDefault="002D43D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D43D2" w:rsidRDefault="002D43D2">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2D43D2" w:rsidRDefault="002D43D2">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2D43D2">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3D2" w:rsidRDefault="002D43D2">
      <w:pPr>
        <w:rPr>
          <w:szCs w:val="21"/>
        </w:rPr>
      </w:pPr>
      <w:r>
        <w:rPr>
          <w:szCs w:val="21"/>
        </w:rPr>
        <w:separator/>
      </w:r>
      <w:r>
        <w:rPr>
          <w:szCs w:val="21"/>
        </w:rPr>
        <w:t xml:space="preserve"> </w:t>
      </w:r>
    </w:p>
  </w:endnote>
  <w:endnote w:type="continuationSeparator" w:id="0">
    <w:p w:rsidR="002D43D2" w:rsidRDefault="002D43D2">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D2" w:rsidRDefault="002D43D2">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3D2" w:rsidRDefault="002D43D2">
      <w:pPr>
        <w:rPr>
          <w:szCs w:val="21"/>
        </w:rPr>
      </w:pPr>
      <w:r>
        <w:rPr>
          <w:szCs w:val="21"/>
        </w:rPr>
        <w:separator/>
      </w:r>
      <w:r>
        <w:rPr>
          <w:szCs w:val="21"/>
        </w:rPr>
        <w:t xml:space="preserve"> </w:t>
      </w:r>
    </w:p>
  </w:footnote>
  <w:footnote w:type="continuationSeparator" w:id="0">
    <w:p w:rsidR="002D43D2" w:rsidRDefault="002D43D2">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D2" w:rsidRDefault="002D43D2">
    <w:pPr>
      <w:pStyle w:val="a8"/>
      <w:jc w:val="right"/>
    </w:pPr>
    <w:r>
      <w:rPr>
        <w:rFonts w:ascii="宋体" w:hAnsi="宋体" w:hint="eastAsia"/>
      </w:rPr>
      <w:t>摩根动力精选混合型证券投资基金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66176112">
    <w:abstractNumId w:val="0"/>
  </w:num>
  <w:num w:numId="2" w16cid:durableId="405424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915EF"/>
    <w:rsid w:val="00102751"/>
    <w:rsid w:val="002D43D2"/>
    <w:rsid w:val="00B91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9835">
      <w:marLeft w:val="0"/>
      <w:marRight w:val="0"/>
      <w:marTop w:val="0"/>
      <w:marBottom w:val="0"/>
      <w:divBdr>
        <w:top w:val="none" w:sz="0" w:space="0" w:color="auto"/>
        <w:left w:val="none" w:sz="0" w:space="0" w:color="auto"/>
        <w:bottom w:val="none" w:sz="0" w:space="0" w:color="auto"/>
        <w:right w:val="none" w:sz="0" w:space="0" w:color="auto"/>
      </w:divBdr>
      <w:divsChild>
        <w:div w:id="716858412">
          <w:marLeft w:val="0"/>
          <w:marRight w:val="0"/>
          <w:marTop w:val="0"/>
          <w:marBottom w:val="0"/>
          <w:divBdr>
            <w:top w:val="none" w:sz="0" w:space="0" w:color="auto"/>
            <w:left w:val="none" w:sz="0" w:space="0" w:color="auto"/>
            <w:bottom w:val="none" w:sz="0" w:space="0" w:color="auto"/>
            <w:right w:val="none" w:sz="0" w:space="0" w:color="auto"/>
          </w:divBdr>
        </w:div>
      </w:divsChild>
    </w:div>
    <w:div w:id="73820498">
      <w:marLeft w:val="0"/>
      <w:marRight w:val="0"/>
      <w:marTop w:val="0"/>
      <w:marBottom w:val="0"/>
      <w:divBdr>
        <w:top w:val="none" w:sz="0" w:space="0" w:color="auto"/>
        <w:left w:val="none" w:sz="0" w:space="0" w:color="auto"/>
        <w:bottom w:val="none" w:sz="0" w:space="0" w:color="auto"/>
        <w:right w:val="none" w:sz="0" w:space="0" w:color="auto"/>
      </w:divBdr>
      <w:divsChild>
        <w:div w:id="1495485002">
          <w:marLeft w:val="0"/>
          <w:marRight w:val="0"/>
          <w:marTop w:val="0"/>
          <w:marBottom w:val="0"/>
          <w:divBdr>
            <w:top w:val="none" w:sz="0" w:space="0" w:color="auto"/>
            <w:left w:val="none" w:sz="0" w:space="0" w:color="auto"/>
            <w:bottom w:val="none" w:sz="0" w:space="0" w:color="auto"/>
            <w:right w:val="none" w:sz="0" w:space="0" w:color="auto"/>
          </w:divBdr>
        </w:div>
      </w:divsChild>
    </w:div>
    <w:div w:id="252665351">
      <w:marLeft w:val="0"/>
      <w:marRight w:val="0"/>
      <w:marTop w:val="0"/>
      <w:marBottom w:val="0"/>
      <w:divBdr>
        <w:top w:val="none" w:sz="0" w:space="0" w:color="auto"/>
        <w:left w:val="none" w:sz="0" w:space="0" w:color="auto"/>
        <w:bottom w:val="none" w:sz="0" w:space="0" w:color="auto"/>
        <w:right w:val="none" w:sz="0" w:space="0" w:color="auto"/>
      </w:divBdr>
      <w:divsChild>
        <w:div w:id="1836411328">
          <w:marLeft w:val="0"/>
          <w:marRight w:val="0"/>
          <w:marTop w:val="0"/>
          <w:marBottom w:val="0"/>
          <w:divBdr>
            <w:top w:val="none" w:sz="0" w:space="0" w:color="auto"/>
            <w:left w:val="none" w:sz="0" w:space="0" w:color="auto"/>
            <w:bottom w:val="none" w:sz="0" w:space="0" w:color="auto"/>
            <w:right w:val="none" w:sz="0" w:space="0" w:color="auto"/>
          </w:divBdr>
        </w:div>
      </w:divsChild>
    </w:div>
    <w:div w:id="290013910">
      <w:marLeft w:val="0"/>
      <w:marRight w:val="0"/>
      <w:marTop w:val="0"/>
      <w:marBottom w:val="0"/>
      <w:divBdr>
        <w:top w:val="none" w:sz="0" w:space="0" w:color="auto"/>
        <w:left w:val="none" w:sz="0" w:space="0" w:color="auto"/>
        <w:bottom w:val="none" w:sz="0" w:space="0" w:color="auto"/>
        <w:right w:val="none" w:sz="0" w:space="0" w:color="auto"/>
      </w:divBdr>
    </w:div>
    <w:div w:id="379473228">
      <w:marLeft w:val="0"/>
      <w:marRight w:val="0"/>
      <w:marTop w:val="0"/>
      <w:marBottom w:val="0"/>
      <w:divBdr>
        <w:top w:val="none" w:sz="0" w:space="0" w:color="auto"/>
        <w:left w:val="none" w:sz="0" w:space="0" w:color="auto"/>
        <w:bottom w:val="none" w:sz="0" w:space="0" w:color="auto"/>
        <w:right w:val="none" w:sz="0" w:space="0" w:color="auto"/>
      </w:divBdr>
    </w:div>
    <w:div w:id="438991221">
      <w:marLeft w:val="0"/>
      <w:marRight w:val="0"/>
      <w:marTop w:val="0"/>
      <w:marBottom w:val="0"/>
      <w:divBdr>
        <w:top w:val="none" w:sz="0" w:space="0" w:color="auto"/>
        <w:left w:val="none" w:sz="0" w:space="0" w:color="auto"/>
        <w:bottom w:val="none" w:sz="0" w:space="0" w:color="auto"/>
        <w:right w:val="none" w:sz="0" w:space="0" w:color="auto"/>
      </w:divBdr>
    </w:div>
    <w:div w:id="481315574">
      <w:marLeft w:val="0"/>
      <w:marRight w:val="0"/>
      <w:marTop w:val="0"/>
      <w:marBottom w:val="0"/>
      <w:divBdr>
        <w:top w:val="none" w:sz="0" w:space="0" w:color="auto"/>
        <w:left w:val="none" w:sz="0" w:space="0" w:color="auto"/>
        <w:bottom w:val="none" w:sz="0" w:space="0" w:color="auto"/>
        <w:right w:val="none" w:sz="0" w:space="0" w:color="auto"/>
      </w:divBdr>
    </w:div>
    <w:div w:id="700740829">
      <w:marLeft w:val="0"/>
      <w:marRight w:val="0"/>
      <w:marTop w:val="0"/>
      <w:marBottom w:val="0"/>
      <w:divBdr>
        <w:top w:val="none" w:sz="0" w:space="0" w:color="auto"/>
        <w:left w:val="none" w:sz="0" w:space="0" w:color="auto"/>
        <w:bottom w:val="none" w:sz="0" w:space="0" w:color="auto"/>
        <w:right w:val="none" w:sz="0" w:space="0" w:color="auto"/>
      </w:divBdr>
    </w:div>
    <w:div w:id="906571737">
      <w:marLeft w:val="0"/>
      <w:marRight w:val="0"/>
      <w:marTop w:val="0"/>
      <w:marBottom w:val="0"/>
      <w:divBdr>
        <w:top w:val="none" w:sz="0" w:space="0" w:color="auto"/>
        <w:left w:val="none" w:sz="0" w:space="0" w:color="auto"/>
        <w:bottom w:val="none" w:sz="0" w:space="0" w:color="auto"/>
        <w:right w:val="none" w:sz="0" w:space="0" w:color="auto"/>
      </w:divBdr>
    </w:div>
    <w:div w:id="923029789">
      <w:marLeft w:val="0"/>
      <w:marRight w:val="0"/>
      <w:marTop w:val="0"/>
      <w:marBottom w:val="0"/>
      <w:divBdr>
        <w:top w:val="none" w:sz="0" w:space="0" w:color="auto"/>
        <w:left w:val="none" w:sz="0" w:space="0" w:color="auto"/>
        <w:bottom w:val="none" w:sz="0" w:space="0" w:color="auto"/>
        <w:right w:val="none" w:sz="0" w:space="0" w:color="auto"/>
      </w:divBdr>
      <w:divsChild>
        <w:div w:id="337732616">
          <w:marLeft w:val="0"/>
          <w:marRight w:val="0"/>
          <w:marTop w:val="0"/>
          <w:marBottom w:val="0"/>
          <w:divBdr>
            <w:top w:val="none" w:sz="0" w:space="0" w:color="auto"/>
            <w:left w:val="none" w:sz="0" w:space="0" w:color="auto"/>
            <w:bottom w:val="none" w:sz="0" w:space="0" w:color="auto"/>
            <w:right w:val="none" w:sz="0" w:space="0" w:color="auto"/>
          </w:divBdr>
        </w:div>
      </w:divsChild>
    </w:div>
    <w:div w:id="979647953">
      <w:marLeft w:val="0"/>
      <w:marRight w:val="0"/>
      <w:marTop w:val="0"/>
      <w:marBottom w:val="0"/>
      <w:divBdr>
        <w:top w:val="none" w:sz="0" w:space="0" w:color="auto"/>
        <w:left w:val="none" w:sz="0" w:space="0" w:color="auto"/>
        <w:bottom w:val="none" w:sz="0" w:space="0" w:color="auto"/>
        <w:right w:val="none" w:sz="0" w:space="0" w:color="auto"/>
      </w:divBdr>
      <w:divsChild>
        <w:div w:id="1674916395">
          <w:marLeft w:val="0"/>
          <w:marRight w:val="0"/>
          <w:marTop w:val="0"/>
          <w:marBottom w:val="0"/>
          <w:divBdr>
            <w:top w:val="none" w:sz="0" w:space="0" w:color="auto"/>
            <w:left w:val="none" w:sz="0" w:space="0" w:color="auto"/>
            <w:bottom w:val="none" w:sz="0" w:space="0" w:color="auto"/>
            <w:right w:val="none" w:sz="0" w:space="0" w:color="auto"/>
          </w:divBdr>
        </w:div>
      </w:divsChild>
    </w:div>
    <w:div w:id="1143816614">
      <w:marLeft w:val="0"/>
      <w:marRight w:val="0"/>
      <w:marTop w:val="0"/>
      <w:marBottom w:val="0"/>
      <w:divBdr>
        <w:top w:val="none" w:sz="0" w:space="0" w:color="auto"/>
        <w:left w:val="none" w:sz="0" w:space="0" w:color="auto"/>
        <w:bottom w:val="none" w:sz="0" w:space="0" w:color="auto"/>
        <w:right w:val="none" w:sz="0" w:space="0" w:color="auto"/>
      </w:divBdr>
      <w:divsChild>
        <w:div w:id="47846580">
          <w:marLeft w:val="0"/>
          <w:marRight w:val="0"/>
          <w:marTop w:val="0"/>
          <w:marBottom w:val="0"/>
          <w:divBdr>
            <w:top w:val="none" w:sz="0" w:space="0" w:color="auto"/>
            <w:left w:val="none" w:sz="0" w:space="0" w:color="auto"/>
            <w:bottom w:val="none" w:sz="0" w:space="0" w:color="auto"/>
            <w:right w:val="none" w:sz="0" w:space="0" w:color="auto"/>
          </w:divBdr>
        </w:div>
      </w:divsChild>
    </w:div>
    <w:div w:id="1470004803">
      <w:marLeft w:val="0"/>
      <w:marRight w:val="0"/>
      <w:marTop w:val="0"/>
      <w:marBottom w:val="0"/>
      <w:divBdr>
        <w:top w:val="none" w:sz="0" w:space="0" w:color="auto"/>
        <w:left w:val="none" w:sz="0" w:space="0" w:color="auto"/>
        <w:bottom w:val="none" w:sz="0" w:space="0" w:color="auto"/>
        <w:right w:val="none" w:sz="0" w:space="0" w:color="auto"/>
      </w:divBdr>
    </w:div>
    <w:div w:id="1546406180">
      <w:marLeft w:val="0"/>
      <w:marRight w:val="0"/>
      <w:marTop w:val="0"/>
      <w:marBottom w:val="0"/>
      <w:divBdr>
        <w:top w:val="none" w:sz="0" w:space="0" w:color="auto"/>
        <w:left w:val="none" w:sz="0" w:space="0" w:color="auto"/>
        <w:bottom w:val="none" w:sz="0" w:space="0" w:color="auto"/>
        <w:right w:val="none" w:sz="0" w:space="0" w:color="auto"/>
      </w:divBdr>
    </w:div>
    <w:div w:id="1562866204">
      <w:marLeft w:val="0"/>
      <w:marRight w:val="0"/>
      <w:marTop w:val="0"/>
      <w:marBottom w:val="0"/>
      <w:divBdr>
        <w:top w:val="none" w:sz="0" w:space="0" w:color="auto"/>
        <w:left w:val="none" w:sz="0" w:space="0" w:color="auto"/>
        <w:bottom w:val="none" w:sz="0" w:space="0" w:color="auto"/>
        <w:right w:val="none" w:sz="0" w:space="0" w:color="auto"/>
      </w:divBdr>
      <w:divsChild>
        <w:div w:id="1691880289">
          <w:marLeft w:val="0"/>
          <w:marRight w:val="0"/>
          <w:marTop w:val="0"/>
          <w:marBottom w:val="0"/>
          <w:divBdr>
            <w:top w:val="none" w:sz="0" w:space="0" w:color="auto"/>
            <w:left w:val="none" w:sz="0" w:space="0" w:color="auto"/>
            <w:bottom w:val="none" w:sz="0" w:space="0" w:color="auto"/>
            <w:right w:val="none" w:sz="0" w:space="0" w:color="auto"/>
          </w:divBdr>
        </w:div>
        <w:div w:id="1397896532">
          <w:marLeft w:val="0"/>
          <w:marRight w:val="0"/>
          <w:marTop w:val="0"/>
          <w:marBottom w:val="0"/>
          <w:divBdr>
            <w:top w:val="none" w:sz="0" w:space="0" w:color="auto"/>
            <w:left w:val="none" w:sz="0" w:space="0" w:color="auto"/>
            <w:bottom w:val="none" w:sz="0" w:space="0" w:color="auto"/>
            <w:right w:val="none" w:sz="0" w:space="0" w:color="auto"/>
          </w:divBdr>
        </w:div>
      </w:divsChild>
    </w:div>
    <w:div w:id="1566258246">
      <w:marLeft w:val="0"/>
      <w:marRight w:val="0"/>
      <w:marTop w:val="0"/>
      <w:marBottom w:val="0"/>
      <w:divBdr>
        <w:top w:val="none" w:sz="0" w:space="0" w:color="auto"/>
        <w:left w:val="none" w:sz="0" w:space="0" w:color="auto"/>
        <w:bottom w:val="none" w:sz="0" w:space="0" w:color="auto"/>
        <w:right w:val="none" w:sz="0" w:space="0" w:color="auto"/>
      </w:divBdr>
    </w:div>
    <w:div w:id="1642809209">
      <w:marLeft w:val="0"/>
      <w:marRight w:val="0"/>
      <w:marTop w:val="0"/>
      <w:marBottom w:val="0"/>
      <w:divBdr>
        <w:top w:val="none" w:sz="0" w:space="0" w:color="auto"/>
        <w:left w:val="none" w:sz="0" w:space="0" w:color="auto"/>
        <w:bottom w:val="none" w:sz="0" w:space="0" w:color="auto"/>
        <w:right w:val="none" w:sz="0" w:space="0" w:color="auto"/>
      </w:divBdr>
    </w:div>
    <w:div w:id="1742020406">
      <w:marLeft w:val="0"/>
      <w:marRight w:val="0"/>
      <w:marTop w:val="0"/>
      <w:marBottom w:val="0"/>
      <w:divBdr>
        <w:top w:val="none" w:sz="0" w:space="0" w:color="auto"/>
        <w:left w:val="none" w:sz="0" w:space="0" w:color="auto"/>
        <w:bottom w:val="none" w:sz="0" w:space="0" w:color="auto"/>
        <w:right w:val="none" w:sz="0" w:space="0" w:color="auto"/>
      </w:divBdr>
    </w:div>
    <w:div w:id="1756823839">
      <w:marLeft w:val="0"/>
      <w:marRight w:val="0"/>
      <w:marTop w:val="0"/>
      <w:marBottom w:val="0"/>
      <w:divBdr>
        <w:top w:val="none" w:sz="0" w:space="0" w:color="auto"/>
        <w:left w:val="none" w:sz="0" w:space="0" w:color="auto"/>
        <w:bottom w:val="none" w:sz="0" w:space="0" w:color="auto"/>
        <w:right w:val="none" w:sz="0" w:space="0" w:color="auto"/>
      </w:divBdr>
    </w:div>
    <w:div w:id="1881166600">
      <w:marLeft w:val="0"/>
      <w:marRight w:val="0"/>
      <w:marTop w:val="0"/>
      <w:marBottom w:val="0"/>
      <w:divBdr>
        <w:top w:val="none" w:sz="0" w:space="0" w:color="auto"/>
        <w:left w:val="none" w:sz="0" w:space="0" w:color="auto"/>
        <w:bottom w:val="none" w:sz="0" w:space="0" w:color="auto"/>
        <w:right w:val="none" w:sz="0" w:space="0" w:color="auto"/>
      </w:divBdr>
    </w:div>
    <w:div w:id="1948191288">
      <w:marLeft w:val="0"/>
      <w:marRight w:val="0"/>
      <w:marTop w:val="0"/>
      <w:marBottom w:val="0"/>
      <w:divBdr>
        <w:top w:val="none" w:sz="0" w:space="0" w:color="auto"/>
        <w:left w:val="none" w:sz="0" w:space="0" w:color="auto"/>
        <w:bottom w:val="none" w:sz="0" w:space="0" w:color="auto"/>
        <w:right w:val="none" w:sz="0" w:space="0" w:color="auto"/>
      </w:divBdr>
    </w:div>
    <w:div w:id="20959747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1368</Words>
  <Characters>7799</Characters>
  <Application>Microsoft Office Word</Application>
  <DocSecurity>4</DocSecurity>
  <Lines>64</Lines>
  <Paragraphs>18</Paragraphs>
  <ScaleCrop>false</ScaleCrop>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2026-07-13T13:32:00Z</dcterms:created>
  <dcterms:modified xsi:type="dcterms:W3CDTF">2026-07-13T13:32:00Z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