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摩根动力精选混合型证券投资基金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摩根动力精选混合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006250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2019</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520,197,312.40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本基金采用定量及定性研究方法，自下而上精选具有较高增长潜力的公司，</w:t>
            </w:r>
            <w:r w:rsidRPr="00B27A29">
              <w:rPr>
                <w:rFonts w:eastAsiaTheme="minorEastAsia"/>
                <w:color w:val="000000" w:themeColor="text1"/>
                <w:kern w:val="0"/>
                <w:szCs w:val="21"/>
              </w:rPr>
              <w:t xml:space="preserve"> </w:t>
            </w:r>
            <w:r w:rsidRPr="00B27A29">
              <w:rPr>
                <w:rFonts w:eastAsiaTheme="minorEastAsia"/>
                <w:color w:val="000000" w:themeColor="text1"/>
                <w:kern w:val="0"/>
                <w:szCs w:val="21"/>
              </w:rPr>
              <w:t>在有效控制风险的前提下，力争实现基金资产的长期增值。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4E6A7D" w:rsidRDefault="00434FE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4E6A7D" w:rsidRDefault="00434FE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rsidR="004E6A7D" w:rsidRDefault="00434FE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4E6A7D" w:rsidRDefault="00434FE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rsidR="004E6A7D" w:rsidRDefault="00434FE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4E6A7D" w:rsidRDefault="00434FEB">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w:t>
            </w:r>
            <w:r>
              <w:rPr>
                <w:rFonts w:eastAsiaTheme="minorEastAsia"/>
                <w:color w:val="000000" w:themeColor="text1"/>
                <w:kern w:val="0"/>
                <w:szCs w:val="21"/>
              </w:rPr>
              <w:t>根据对债券收益率曲线形态、息差变化的预测，对债券组合进行动态调整。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 xml:space="preserve">800 </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本基金属于混合型基金产品，预期风险和收益水平高于债券型基金和货币市场基金，低于股票型基金。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006250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013137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449,970,845.37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70,226,467.03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-91,679,429.93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-13,420,304.39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-39,909,998.35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-7,680,849.01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-0.0892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1,068,540,456.90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165,683,964.37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2.3747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2.3593</w:t>
            </w:r>
          </w:p>
        </w:tc>
      </w:tr>
    </w:tbl>
    <w:p w:rsidR="004E6A7D" w:rsidRDefault="00434F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摩根动力精选混合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E6A7D">
        <w:tc>
          <w:tcPr>
            <w:tcW w:w="1290" w:type="dxa"/>
            <w:vAlign w:val="center"/>
          </w:tcPr>
          <w:p w:rsidR="004E6A7D" w:rsidRDefault="00434FEB">
            <w:pPr>
              <w:jc w:val="left"/>
            </w:pPr>
            <w:r>
              <w:rPr>
                <w:rFonts w:eastAsiaTheme="minorEastAsia"/>
                <w:color w:val="000000" w:themeColor="text1"/>
                <w:szCs w:val="21"/>
              </w:rPr>
              <w:t>过去三个月</w:t>
            </w:r>
          </w:p>
        </w:tc>
        <w:tc>
          <w:tcPr>
            <w:tcW w:w="1291" w:type="dxa"/>
            <w:vAlign w:val="center"/>
          </w:tcPr>
          <w:p w:rsidR="004E6A7D" w:rsidRDefault="00434FEB">
            <w:pPr>
              <w:jc w:val="right"/>
            </w:pPr>
            <w:r>
              <w:rPr>
                <w:rFonts w:eastAsiaTheme="minorEastAsia"/>
                <w:color w:val="000000" w:themeColor="text1"/>
                <w:szCs w:val="21"/>
              </w:rPr>
              <w:t>-3.63%</w:t>
            </w:r>
          </w:p>
        </w:tc>
        <w:tc>
          <w:tcPr>
            <w:tcW w:w="1291" w:type="dxa"/>
            <w:vAlign w:val="center"/>
          </w:tcPr>
          <w:p w:rsidR="004E6A7D" w:rsidRDefault="00434FEB">
            <w:pPr>
              <w:jc w:val="right"/>
            </w:pPr>
            <w:r>
              <w:rPr>
                <w:rFonts w:eastAsiaTheme="minorEastAsia"/>
                <w:color w:val="000000" w:themeColor="text1"/>
                <w:szCs w:val="21"/>
              </w:rPr>
              <w:t>1.41%</w:t>
            </w:r>
          </w:p>
        </w:tc>
        <w:tc>
          <w:tcPr>
            <w:tcW w:w="1291" w:type="dxa"/>
            <w:vAlign w:val="center"/>
          </w:tcPr>
          <w:p w:rsidR="004E6A7D" w:rsidRDefault="00434FEB">
            <w:pPr>
              <w:jc w:val="right"/>
            </w:pPr>
            <w:r>
              <w:rPr>
                <w:rFonts w:eastAsiaTheme="minorEastAsia"/>
                <w:color w:val="000000" w:themeColor="text1"/>
                <w:szCs w:val="21"/>
              </w:rPr>
              <w:t>4.38%</w:t>
            </w:r>
          </w:p>
        </w:tc>
        <w:tc>
          <w:tcPr>
            <w:tcW w:w="1291" w:type="dxa"/>
            <w:vAlign w:val="center"/>
          </w:tcPr>
          <w:p w:rsidR="004E6A7D" w:rsidRDefault="00434FEB">
            <w:pPr>
              <w:jc w:val="right"/>
            </w:pPr>
            <w:r>
              <w:rPr>
                <w:rFonts w:eastAsiaTheme="minorEastAsia"/>
                <w:color w:val="000000" w:themeColor="text1"/>
                <w:szCs w:val="21"/>
              </w:rPr>
              <w:t>0.64%</w:t>
            </w:r>
          </w:p>
        </w:tc>
        <w:tc>
          <w:tcPr>
            <w:tcW w:w="1291" w:type="dxa"/>
            <w:vAlign w:val="center"/>
          </w:tcPr>
          <w:p w:rsidR="004E6A7D" w:rsidRDefault="00434FEB">
            <w:pPr>
              <w:jc w:val="right"/>
            </w:pPr>
            <w:r>
              <w:rPr>
                <w:rFonts w:eastAsiaTheme="minorEastAsia"/>
                <w:color w:val="000000" w:themeColor="text1"/>
                <w:szCs w:val="21"/>
              </w:rPr>
              <w:t>-8.01%</w:t>
            </w:r>
          </w:p>
        </w:tc>
        <w:tc>
          <w:tcPr>
            <w:tcW w:w="1291" w:type="dxa"/>
            <w:vAlign w:val="center"/>
          </w:tcPr>
          <w:p w:rsidR="004E6A7D" w:rsidRDefault="00434FEB">
            <w:pPr>
              <w:jc w:val="right"/>
            </w:pPr>
            <w:r>
              <w:rPr>
                <w:rFonts w:eastAsiaTheme="minorEastAsia"/>
                <w:color w:val="000000" w:themeColor="text1"/>
                <w:szCs w:val="21"/>
              </w:rPr>
              <w:t>0.77%</w:t>
            </w:r>
          </w:p>
        </w:tc>
      </w:tr>
      <w:tr w:rsidR="004E6A7D">
        <w:tc>
          <w:tcPr>
            <w:tcW w:w="1290" w:type="dxa"/>
            <w:vAlign w:val="center"/>
          </w:tcPr>
          <w:p w:rsidR="004E6A7D" w:rsidRDefault="00434FEB">
            <w:pPr>
              <w:jc w:val="left"/>
            </w:pPr>
            <w:r>
              <w:rPr>
                <w:rFonts w:eastAsiaTheme="minorEastAsia"/>
                <w:color w:val="000000" w:themeColor="text1"/>
                <w:szCs w:val="21"/>
              </w:rPr>
              <w:t>过去六个月</w:t>
            </w:r>
          </w:p>
        </w:tc>
        <w:tc>
          <w:tcPr>
            <w:tcW w:w="1291" w:type="dxa"/>
            <w:vAlign w:val="center"/>
          </w:tcPr>
          <w:p w:rsidR="004E6A7D" w:rsidRDefault="00434FEB">
            <w:pPr>
              <w:jc w:val="right"/>
            </w:pPr>
            <w:r>
              <w:rPr>
                <w:rFonts w:eastAsiaTheme="minorEastAsia"/>
                <w:color w:val="000000" w:themeColor="text1"/>
                <w:szCs w:val="21"/>
              </w:rPr>
              <w:t>-12.92%</w:t>
            </w:r>
          </w:p>
        </w:tc>
        <w:tc>
          <w:tcPr>
            <w:tcW w:w="1291" w:type="dxa"/>
            <w:vAlign w:val="center"/>
          </w:tcPr>
          <w:p w:rsidR="004E6A7D" w:rsidRDefault="00434FEB">
            <w:pPr>
              <w:jc w:val="right"/>
            </w:pPr>
            <w:r>
              <w:rPr>
                <w:rFonts w:eastAsiaTheme="minorEastAsia"/>
                <w:color w:val="000000" w:themeColor="text1"/>
                <w:szCs w:val="21"/>
              </w:rPr>
              <w:t>1.75%</w:t>
            </w:r>
          </w:p>
        </w:tc>
        <w:tc>
          <w:tcPr>
            <w:tcW w:w="1291" w:type="dxa"/>
            <w:vAlign w:val="center"/>
          </w:tcPr>
          <w:p w:rsidR="004E6A7D" w:rsidRDefault="00434FEB">
            <w:pPr>
              <w:jc w:val="right"/>
            </w:pPr>
            <w:r>
              <w:rPr>
                <w:rFonts w:eastAsiaTheme="minorEastAsia"/>
                <w:color w:val="000000" w:themeColor="text1"/>
                <w:szCs w:val="21"/>
              </w:rPr>
              <w:t>5.96%</w:t>
            </w:r>
          </w:p>
        </w:tc>
        <w:tc>
          <w:tcPr>
            <w:tcW w:w="1291" w:type="dxa"/>
            <w:vAlign w:val="center"/>
          </w:tcPr>
          <w:p w:rsidR="004E6A7D" w:rsidRDefault="00434FEB">
            <w:pPr>
              <w:jc w:val="right"/>
            </w:pPr>
            <w:r>
              <w:rPr>
                <w:rFonts w:eastAsiaTheme="minorEastAsia"/>
                <w:color w:val="000000" w:themeColor="text1"/>
                <w:szCs w:val="21"/>
              </w:rPr>
              <w:t>0.80%</w:t>
            </w:r>
          </w:p>
        </w:tc>
        <w:tc>
          <w:tcPr>
            <w:tcW w:w="1291" w:type="dxa"/>
            <w:vAlign w:val="center"/>
          </w:tcPr>
          <w:p w:rsidR="004E6A7D" w:rsidRDefault="00434FEB">
            <w:pPr>
              <w:jc w:val="right"/>
            </w:pPr>
            <w:r>
              <w:rPr>
                <w:rFonts w:eastAsiaTheme="minorEastAsia"/>
                <w:color w:val="000000" w:themeColor="text1"/>
                <w:szCs w:val="21"/>
              </w:rPr>
              <w:t>-18.88%</w:t>
            </w:r>
          </w:p>
        </w:tc>
        <w:tc>
          <w:tcPr>
            <w:tcW w:w="1291" w:type="dxa"/>
            <w:vAlign w:val="center"/>
          </w:tcPr>
          <w:p w:rsidR="004E6A7D" w:rsidRDefault="00434FEB">
            <w:pPr>
              <w:jc w:val="right"/>
            </w:pPr>
            <w:r>
              <w:rPr>
                <w:rFonts w:eastAsiaTheme="minorEastAsia"/>
                <w:color w:val="000000" w:themeColor="text1"/>
                <w:szCs w:val="21"/>
              </w:rPr>
              <w:t>0.95%</w:t>
            </w:r>
          </w:p>
        </w:tc>
      </w:tr>
      <w:tr w:rsidR="004E6A7D">
        <w:tc>
          <w:tcPr>
            <w:tcW w:w="1290" w:type="dxa"/>
            <w:vAlign w:val="center"/>
          </w:tcPr>
          <w:p w:rsidR="004E6A7D" w:rsidRDefault="00434FEB">
            <w:pPr>
              <w:jc w:val="left"/>
            </w:pPr>
            <w:r>
              <w:rPr>
                <w:rFonts w:eastAsiaTheme="minorEastAsia"/>
                <w:color w:val="000000" w:themeColor="text1"/>
                <w:szCs w:val="21"/>
              </w:rPr>
              <w:t>过去一年</w:t>
            </w:r>
          </w:p>
        </w:tc>
        <w:tc>
          <w:tcPr>
            <w:tcW w:w="1291" w:type="dxa"/>
            <w:vAlign w:val="center"/>
          </w:tcPr>
          <w:p w:rsidR="004E6A7D" w:rsidRDefault="00434FEB">
            <w:pPr>
              <w:jc w:val="right"/>
            </w:pPr>
            <w:r>
              <w:rPr>
                <w:rFonts w:eastAsiaTheme="minorEastAsia"/>
                <w:color w:val="000000" w:themeColor="text1"/>
                <w:szCs w:val="21"/>
              </w:rPr>
              <w:t>-18.41%</w:t>
            </w:r>
          </w:p>
        </w:tc>
        <w:tc>
          <w:tcPr>
            <w:tcW w:w="1291" w:type="dxa"/>
            <w:vAlign w:val="center"/>
          </w:tcPr>
          <w:p w:rsidR="004E6A7D" w:rsidRDefault="00434FEB">
            <w:pPr>
              <w:jc w:val="right"/>
            </w:pPr>
            <w:r>
              <w:rPr>
                <w:rFonts w:eastAsiaTheme="minorEastAsia"/>
                <w:color w:val="000000" w:themeColor="text1"/>
                <w:szCs w:val="21"/>
              </w:rPr>
              <w:t>2.07%</w:t>
            </w:r>
          </w:p>
        </w:tc>
        <w:tc>
          <w:tcPr>
            <w:tcW w:w="1291" w:type="dxa"/>
            <w:vAlign w:val="center"/>
          </w:tcPr>
          <w:p w:rsidR="004E6A7D" w:rsidRDefault="00434FEB">
            <w:pPr>
              <w:jc w:val="right"/>
            </w:pPr>
            <w:r>
              <w:rPr>
                <w:rFonts w:eastAsiaTheme="minorEastAsia"/>
                <w:color w:val="000000" w:themeColor="text1"/>
                <w:szCs w:val="21"/>
              </w:rPr>
              <w:t>-2.33%</w:t>
            </w:r>
          </w:p>
        </w:tc>
        <w:tc>
          <w:tcPr>
            <w:tcW w:w="1291" w:type="dxa"/>
            <w:vAlign w:val="center"/>
          </w:tcPr>
          <w:p w:rsidR="004E6A7D" w:rsidRDefault="00434FEB">
            <w:pPr>
              <w:jc w:val="right"/>
            </w:pPr>
            <w:r>
              <w:rPr>
                <w:rFonts w:eastAsiaTheme="minorEastAsia"/>
                <w:color w:val="000000" w:themeColor="text1"/>
                <w:szCs w:val="21"/>
              </w:rPr>
              <w:t>0.90%</w:t>
            </w:r>
          </w:p>
        </w:tc>
        <w:tc>
          <w:tcPr>
            <w:tcW w:w="1291" w:type="dxa"/>
            <w:vAlign w:val="center"/>
          </w:tcPr>
          <w:p w:rsidR="004E6A7D" w:rsidRDefault="00434FEB">
            <w:pPr>
              <w:jc w:val="right"/>
            </w:pPr>
            <w:r>
              <w:rPr>
                <w:rFonts w:eastAsiaTheme="minorEastAsia"/>
                <w:color w:val="000000" w:themeColor="text1"/>
                <w:szCs w:val="21"/>
              </w:rPr>
              <w:t>-16.08%</w:t>
            </w:r>
          </w:p>
        </w:tc>
        <w:tc>
          <w:tcPr>
            <w:tcW w:w="1291" w:type="dxa"/>
            <w:vAlign w:val="center"/>
          </w:tcPr>
          <w:p w:rsidR="004E6A7D" w:rsidRDefault="00434FEB">
            <w:pPr>
              <w:jc w:val="right"/>
            </w:pPr>
            <w:r>
              <w:rPr>
                <w:rFonts w:eastAsiaTheme="minorEastAsia"/>
                <w:color w:val="000000" w:themeColor="text1"/>
                <w:szCs w:val="21"/>
              </w:rPr>
              <w:t>1.17%</w:t>
            </w:r>
          </w:p>
        </w:tc>
      </w:tr>
      <w:tr w:rsidR="004E6A7D">
        <w:tc>
          <w:tcPr>
            <w:tcW w:w="1290" w:type="dxa"/>
            <w:vAlign w:val="center"/>
          </w:tcPr>
          <w:p w:rsidR="004E6A7D" w:rsidRDefault="00434FEB">
            <w:pPr>
              <w:jc w:val="left"/>
            </w:pPr>
            <w:r>
              <w:rPr>
                <w:rFonts w:eastAsiaTheme="minorEastAsia"/>
                <w:color w:val="000000" w:themeColor="text1"/>
                <w:szCs w:val="21"/>
              </w:rPr>
              <w:t>过去三年</w:t>
            </w:r>
          </w:p>
        </w:tc>
        <w:tc>
          <w:tcPr>
            <w:tcW w:w="1291" w:type="dxa"/>
            <w:vAlign w:val="center"/>
          </w:tcPr>
          <w:p w:rsidR="004E6A7D" w:rsidRDefault="00434FEB">
            <w:pPr>
              <w:jc w:val="right"/>
            </w:pPr>
            <w:r>
              <w:rPr>
                <w:rFonts w:eastAsiaTheme="minorEastAsia"/>
                <w:color w:val="000000" w:themeColor="text1"/>
                <w:szCs w:val="21"/>
              </w:rPr>
              <w:t>112.73%</w:t>
            </w:r>
          </w:p>
        </w:tc>
        <w:tc>
          <w:tcPr>
            <w:tcW w:w="1291" w:type="dxa"/>
            <w:vAlign w:val="center"/>
          </w:tcPr>
          <w:p w:rsidR="004E6A7D" w:rsidRDefault="00434FEB">
            <w:pPr>
              <w:jc w:val="right"/>
            </w:pPr>
            <w:r>
              <w:rPr>
                <w:rFonts w:eastAsiaTheme="minorEastAsia"/>
                <w:color w:val="000000" w:themeColor="text1"/>
                <w:szCs w:val="21"/>
              </w:rPr>
              <w:t>2.26%</w:t>
            </w:r>
          </w:p>
        </w:tc>
        <w:tc>
          <w:tcPr>
            <w:tcW w:w="1291" w:type="dxa"/>
            <w:vAlign w:val="center"/>
          </w:tcPr>
          <w:p w:rsidR="004E6A7D" w:rsidRDefault="00434FEB">
            <w:pPr>
              <w:jc w:val="right"/>
            </w:pPr>
            <w:r>
              <w:rPr>
                <w:rFonts w:eastAsiaTheme="minorEastAsia"/>
                <w:color w:val="000000" w:themeColor="text1"/>
                <w:szCs w:val="21"/>
              </w:rPr>
              <w:t>10.69%</w:t>
            </w:r>
          </w:p>
        </w:tc>
        <w:tc>
          <w:tcPr>
            <w:tcW w:w="1291" w:type="dxa"/>
            <w:vAlign w:val="center"/>
          </w:tcPr>
          <w:p w:rsidR="004E6A7D" w:rsidRDefault="00434FEB">
            <w:pPr>
              <w:jc w:val="right"/>
            </w:pPr>
            <w:r>
              <w:rPr>
                <w:rFonts w:eastAsiaTheme="minorEastAsia"/>
                <w:color w:val="000000" w:themeColor="text1"/>
                <w:szCs w:val="21"/>
              </w:rPr>
              <w:t>0.93%</w:t>
            </w:r>
          </w:p>
        </w:tc>
        <w:tc>
          <w:tcPr>
            <w:tcW w:w="1291" w:type="dxa"/>
            <w:vAlign w:val="center"/>
          </w:tcPr>
          <w:p w:rsidR="004E6A7D" w:rsidRDefault="00434FEB">
            <w:pPr>
              <w:jc w:val="right"/>
            </w:pPr>
            <w:r>
              <w:rPr>
                <w:rFonts w:eastAsiaTheme="minorEastAsia"/>
                <w:color w:val="000000" w:themeColor="text1"/>
                <w:szCs w:val="21"/>
              </w:rPr>
              <w:t>102.04%</w:t>
            </w:r>
          </w:p>
        </w:tc>
        <w:tc>
          <w:tcPr>
            <w:tcW w:w="1291" w:type="dxa"/>
            <w:vAlign w:val="center"/>
          </w:tcPr>
          <w:p w:rsidR="004E6A7D" w:rsidRDefault="00434FEB">
            <w:pPr>
              <w:jc w:val="right"/>
            </w:pPr>
            <w:r>
              <w:rPr>
                <w:rFonts w:eastAsiaTheme="minorEastAsia"/>
                <w:color w:val="000000" w:themeColor="text1"/>
                <w:szCs w:val="21"/>
              </w:rPr>
              <w:t>1.33%</w:t>
            </w:r>
          </w:p>
        </w:tc>
      </w:tr>
      <w:tr w:rsidR="004E6A7D">
        <w:tc>
          <w:tcPr>
            <w:tcW w:w="1290" w:type="dxa"/>
            <w:vAlign w:val="center"/>
          </w:tcPr>
          <w:p w:rsidR="004E6A7D" w:rsidRDefault="00434FEB">
            <w:pPr>
              <w:jc w:val="left"/>
            </w:pPr>
            <w:r>
              <w:rPr>
                <w:rFonts w:eastAsiaTheme="minorEastAsia"/>
                <w:color w:val="000000" w:themeColor="text1"/>
                <w:szCs w:val="21"/>
              </w:rPr>
              <w:t>过去五年</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r>
      <w:tr w:rsidR="004E6A7D">
        <w:tc>
          <w:tcPr>
            <w:tcW w:w="1290" w:type="dxa"/>
            <w:vAlign w:val="center"/>
          </w:tcPr>
          <w:p w:rsidR="004E6A7D" w:rsidRDefault="00434FEB">
            <w:pPr>
              <w:jc w:val="left"/>
            </w:pPr>
            <w:r>
              <w:rPr>
                <w:rFonts w:eastAsiaTheme="minorEastAsia"/>
                <w:color w:val="000000" w:themeColor="text1"/>
                <w:szCs w:val="21"/>
              </w:rPr>
              <w:t>自基金合同生效起至今</w:t>
            </w:r>
          </w:p>
        </w:tc>
        <w:tc>
          <w:tcPr>
            <w:tcW w:w="1291" w:type="dxa"/>
            <w:vAlign w:val="center"/>
          </w:tcPr>
          <w:p w:rsidR="004E6A7D" w:rsidRDefault="00434FEB">
            <w:pPr>
              <w:jc w:val="right"/>
            </w:pPr>
            <w:r>
              <w:rPr>
                <w:rFonts w:eastAsiaTheme="minorEastAsia"/>
                <w:color w:val="000000" w:themeColor="text1"/>
                <w:szCs w:val="21"/>
              </w:rPr>
              <w:t>137.47%</w:t>
            </w:r>
          </w:p>
        </w:tc>
        <w:tc>
          <w:tcPr>
            <w:tcW w:w="1291" w:type="dxa"/>
            <w:vAlign w:val="center"/>
          </w:tcPr>
          <w:p w:rsidR="004E6A7D" w:rsidRDefault="00434FEB">
            <w:pPr>
              <w:jc w:val="right"/>
            </w:pPr>
            <w:r>
              <w:rPr>
                <w:rFonts w:eastAsiaTheme="minorEastAsia"/>
                <w:color w:val="000000" w:themeColor="text1"/>
                <w:szCs w:val="21"/>
              </w:rPr>
              <w:t>2.08%</w:t>
            </w:r>
          </w:p>
        </w:tc>
        <w:tc>
          <w:tcPr>
            <w:tcW w:w="1291" w:type="dxa"/>
            <w:vAlign w:val="center"/>
          </w:tcPr>
          <w:p w:rsidR="004E6A7D" w:rsidRDefault="00434FEB">
            <w:pPr>
              <w:jc w:val="right"/>
            </w:pPr>
            <w:r>
              <w:rPr>
                <w:rFonts w:eastAsiaTheme="minorEastAsia"/>
                <w:color w:val="000000" w:themeColor="text1"/>
                <w:szCs w:val="21"/>
              </w:rPr>
              <w:t>26.06%</w:t>
            </w:r>
          </w:p>
        </w:tc>
        <w:tc>
          <w:tcPr>
            <w:tcW w:w="1291" w:type="dxa"/>
            <w:vAlign w:val="center"/>
          </w:tcPr>
          <w:p w:rsidR="004E6A7D" w:rsidRDefault="00434FEB">
            <w:pPr>
              <w:jc w:val="right"/>
            </w:pPr>
            <w:r>
              <w:rPr>
                <w:rFonts w:eastAsiaTheme="minorEastAsia"/>
                <w:color w:val="000000" w:themeColor="text1"/>
                <w:szCs w:val="21"/>
              </w:rPr>
              <w:t>1.00%</w:t>
            </w:r>
          </w:p>
        </w:tc>
        <w:tc>
          <w:tcPr>
            <w:tcW w:w="1291" w:type="dxa"/>
            <w:vAlign w:val="center"/>
          </w:tcPr>
          <w:p w:rsidR="004E6A7D" w:rsidRDefault="00434FEB">
            <w:pPr>
              <w:jc w:val="right"/>
            </w:pPr>
            <w:r>
              <w:rPr>
                <w:rFonts w:eastAsiaTheme="minorEastAsia"/>
                <w:color w:val="000000" w:themeColor="text1"/>
                <w:szCs w:val="21"/>
              </w:rPr>
              <w:t>111.41%</w:t>
            </w:r>
          </w:p>
        </w:tc>
        <w:tc>
          <w:tcPr>
            <w:tcW w:w="1291" w:type="dxa"/>
            <w:vAlign w:val="center"/>
          </w:tcPr>
          <w:p w:rsidR="004E6A7D" w:rsidRDefault="00434FEB">
            <w:pPr>
              <w:jc w:val="right"/>
            </w:pPr>
            <w:r>
              <w:rPr>
                <w:rFonts w:eastAsiaTheme="minorEastAsia"/>
                <w:color w:val="000000" w:themeColor="text1"/>
                <w:szCs w:val="21"/>
              </w:rPr>
              <w:t>1.08%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摩根动力精选混合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4E6A7D">
        <w:tc>
          <w:tcPr>
            <w:tcW w:w="1290" w:type="dxa"/>
            <w:vAlign w:val="center"/>
          </w:tcPr>
          <w:p w:rsidR="004E6A7D" w:rsidRDefault="00434FEB">
            <w:pPr>
              <w:jc w:val="left"/>
            </w:pPr>
            <w:r>
              <w:rPr>
                <w:rFonts w:eastAsiaTheme="minorEastAsia"/>
                <w:color w:val="000000" w:themeColor="text1"/>
                <w:szCs w:val="21"/>
              </w:rPr>
              <w:t>过去三个月</w:t>
            </w:r>
          </w:p>
        </w:tc>
        <w:tc>
          <w:tcPr>
            <w:tcW w:w="1291" w:type="dxa"/>
            <w:vAlign w:val="center"/>
          </w:tcPr>
          <w:p w:rsidR="004E6A7D" w:rsidRDefault="00434FEB">
            <w:pPr>
              <w:jc w:val="right"/>
            </w:pPr>
            <w:r>
              <w:rPr>
                <w:rFonts w:eastAsiaTheme="minorEastAsia"/>
                <w:color w:val="000000" w:themeColor="text1"/>
                <w:szCs w:val="21"/>
              </w:rPr>
              <w:t>-3.72%</w:t>
            </w:r>
          </w:p>
        </w:tc>
        <w:tc>
          <w:tcPr>
            <w:tcW w:w="1291" w:type="dxa"/>
            <w:vAlign w:val="center"/>
          </w:tcPr>
          <w:p w:rsidR="004E6A7D" w:rsidRDefault="00434FEB">
            <w:pPr>
              <w:jc w:val="right"/>
            </w:pPr>
            <w:r>
              <w:rPr>
                <w:rFonts w:eastAsiaTheme="minorEastAsia"/>
                <w:color w:val="000000" w:themeColor="text1"/>
                <w:szCs w:val="21"/>
              </w:rPr>
              <w:t>1.41%</w:t>
            </w:r>
          </w:p>
        </w:tc>
        <w:tc>
          <w:tcPr>
            <w:tcW w:w="1291" w:type="dxa"/>
            <w:vAlign w:val="center"/>
          </w:tcPr>
          <w:p w:rsidR="004E6A7D" w:rsidRDefault="00434FEB">
            <w:pPr>
              <w:jc w:val="right"/>
            </w:pPr>
            <w:r>
              <w:rPr>
                <w:rFonts w:eastAsiaTheme="minorEastAsia"/>
                <w:color w:val="000000" w:themeColor="text1"/>
                <w:szCs w:val="21"/>
              </w:rPr>
              <w:t>4.38%</w:t>
            </w:r>
          </w:p>
        </w:tc>
        <w:tc>
          <w:tcPr>
            <w:tcW w:w="1291" w:type="dxa"/>
            <w:vAlign w:val="center"/>
          </w:tcPr>
          <w:p w:rsidR="004E6A7D" w:rsidRDefault="00434FEB">
            <w:pPr>
              <w:jc w:val="right"/>
            </w:pPr>
            <w:r>
              <w:rPr>
                <w:rFonts w:eastAsiaTheme="minorEastAsia"/>
                <w:color w:val="000000" w:themeColor="text1"/>
                <w:szCs w:val="21"/>
              </w:rPr>
              <w:t>0.64%</w:t>
            </w:r>
          </w:p>
        </w:tc>
        <w:tc>
          <w:tcPr>
            <w:tcW w:w="1291" w:type="dxa"/>
            <w:vAlign w:val="center"/>
          </w:tcPr>
          <w:p w:rsidR="004E6A7D" w:rsidRDefault="00434FEB">
            <w:pPr>
              <w:jc w:val="right"/>
            </w:pPr>
            <w:r>
              <w:rPr>
                <w:rFonts w:eastAsiaTheme="minorEastAsia"/>
                <w:color w:val="000000" w:themeColor="text1"/>
                <w:szCs w:val="21"/>
              </w:rPr>
              <w:t>-8.10%</w:t>
            </w:r>
          </w:p>
        </w:tc>
        <w:tc>
          <w:tcPr>
            <w:tcW w:w="1291" w:type="dxa"/>
            <w:vAlign w:val="center"/>
          </w:tcPr>
          <w:p w:rsidR="004E6A7D" w:rsidRDefault="00434FEB">
            <w:pPr>
              <w:jc w:val="right"/>
            </w:pPr>
            <w:r>
              <w:rPr>
                <w:rFonts w:eastAsiaTheme="minorEastAsia"/>
                <w:color w:val="000000" w:themeColor="text1"/>
                <w:szCs w:val="21"/>
              </w:rPr>
              <w:t>0.77%</w:t>
            </w:r>
          </w:p>
        </w:tc>
      </w:tr>
      <w:tr w:rsidR="004E6A7D">
        <w:tc>
          <w:tcPr>
            <w:tcW w:w="1290" w:type="dxa"/>
            <w:vAlign w:val="center"/>
          </w:tcPr>
          <w:p w:rsidR="004E6A7D" w:rsidRDefault="00434FEB">
            <w:pPr>
              <w:jc w:val="left"/>
            </w:pPr>
            <w:r>
              <w:rPr>
                <w:rFonts w:eastAsiaTheme="minorEastAsia"/>
                <w:color w:val="000000" w:themeColor="text1"/>
                <w:szCs w:val="21"/>
              </w:rPr>
              <w:t>过去六个月</w:t>
            </w:r>
          </w:p>
        </w:tc>
        <w:tc>
          <w:tcPr>
            <w:tcW w:w="1291" w:type="dxa"/>
            <w:vAlign w:val="center"/>
          </w:tcPr>
          <w:p w:rsidR="004E6A7D" w:rsidRDefault="00434FEB">
            <w:pPr>
              <w:jc w:val="right"/>
            </w:pPr>
            <w:r>
              <w:rPr>
                <w:rFonts w:eastAsiaTheme="minorEastAsia"/>
                <w:color w:val="000000" w:themeColor="text1"/>
                <w:szCs w:val="21"/>
              </w:rPr>
              <w:t>-13.09%</w:t>
            </w:r>
          </w:p>
        </w:tc>
        <w:tc>
          <w:tcPr>
            <w:tcW w:w="1291" w:type="dxa"/>
            <w:vAlign w:val="center"/>
          </w:tcPr>
          <w:p w:rsidR="004E6A7D" w:rsidRDefault="00434FEB">
            <w:pPr>
              <w:jc w:val="right"/>
            </w:pPr>
            <w:r>
              <w:rPr>
                <w:rFonts w:eastAsiaTheme="minorEastAsia"/>
                <w:color w:val="000000" w:themeColor="text1"/>
                <w:szCs w:val="21"/>
              </w:rPr>
              <w:t>1.75%</w:t>
            </w:r>
          </w:p>
        </w:tc>
        <w:tc>
          <w:tcPr>
            <w:tcW w:w="1291" w:type="dxa"/>
            <w:vAlign w:val="center"/>
          </w:tcPr>
          <w:p w:rsidR="004E6A7D" w:rsidRDefault="00434FEB">
            <w:pPr>
              <w:jc w:val="right"/>
            </w:pPr>
            <w:r>
              <w:rPr>
                <w:rFonts w:eastAsiaTheme="minorEastAsia"/>
                <w:color w:val="000000" w:themeColor="text1"/>
                <w:szCs w:val="21"/>
              </w:rPr>
              <w:t>5.96%</w:t>
            </w:r>
          </w:p>
        </w:tc>
        <w:tc>
          <w:tcPr>
            <w:tcW w:w="1291" w:type="dxa"/>
            <w:vAlign w:val="center"/>
          </w:tcPr>
          <w:p w:rsidR="004E6A7D" w:rsidRDefault="00434FEB">
            <w:pPr>
              <w:jc w:val="right"/>
            </w:pPr>
            <w:r>
              <w:rPr>
                <w:rFonts w:eastAsiaTheme="minorEastAsia"/>
                <w:color w:val="000000" w:themeColor="text1"/>
                <w:szCs w:val="21"/>
              </w:rPr>
              <w:t>0.80%</w:t>
            </w:r>
          </w:p>
        </w:tc>
        <w:tc>
          <w:tcPr>
            <w:tcW w:w="1291" w:type="dxa"/>
            <w:vAlign w:val="center"/>
          </w:tcPr>
          <w:p w:rsidR="004E6A7D" w:rsidRDefault="00434FEB">
            <w:pPr>
              <w:jc w:val="right"/>
            </w:pPr>
            <w:r>
              <w:rPr>
                <w:rFonts w:eastAsiaTheme="minorEastAsia"/>
                <w:color w:val="000000" w:themeColor="text1"/>
                <w:szCs w:val="21"/>
              </w:rPr>
              <w:t>-19.05%</w:t>
            </w:r>
          </w:p>
        </w:tc>
        <w:tc>
          <w:tcPr>
            <w:tcW w:w="1291" w:type="dxa"/>
            <w:vAlign w:val="center"/>
          </w:tcPr>
          <w:p w:rsidR="004E6A7D" w:rsidRDefault="00434FEB">
            <w:pPr>
              <w:jc w:val="right"/>
            </w:pPr>
            <w:r>
              <w:rPr>
                <w:rFonts w:eastAsiaTheme="minorEastAsia"/>
                <w:color w:val="000000" w:themeColor="text1"/>
                <w:szCs w:val="21"/>
              </w:rPr>
              <w:t>0.95%</w:t>
            </w:r>
          </w:p>
        </w:tc>
      </w:tr>
      <w:tr w:rsidR="004E6A7D">
        <w:tc>
          <w:tcPr>
            <w:tcW w:w="1290" w:type="dxa"/>
            <w:vAlign w:val="center"/>
          </w:tcPr>
          <w:p w:rsidR="004E6A7D" w:rsidRDefault="00434FEB">
            <w:pPr>
              <w:jc w:val="left"/>
            </w:pPr>
            <w:r>
              <w:rPr>
                <w:rFonts w:eastAsiaTheme="minorEastAsia"/>
                <w:color w:val="000000" w:themeColor="text1"/>
                <w:szCs w:val="21"/>
              </w:rPr>
              <w:t>过去一年</w:t>
            </w:r>
          </w:p>
        </w:tc>
        <w:tc>
          <w:tcPr>
            <w:tcW w:w="1291" w:type="dxa"/>
            <w:vAlign w:val="center"/>
          </w:tcPr>
          <w:p w:rsidR="004E6A7D" w:rsidRDefault="00434FEB">
            <w:pPr>
              <w:jc w:val="right"/>
            </w:pPr>
            <w:r>
              <w:rPr>
                <w:rFonts w:eastAsiaTheme="minorEastAsia"/>
                <w:color w:val="000000" w:themeColor="text1"/>
                <w:szCs w:val="21"/>
              </w:rPr>
              <w:t>-18.73%</w:t>
            </w:r>
          </w:p>
        </w:tc>
        <w:tc>
          <w:tcPr>
            <w:tcW w:w="1291" w:type="dxa"/>
            <w:vAlign w:val="center"/>
          </w:tcPr>
          <w:p w:rsidR="004E6A7D" w:rsidRDefault="00434FEB">
            <w:pPr>
              <w:jc w:val="right"/>
            </w:pPr>
            <w:r>
              <w:rPr>
                <w:rFonts w:eastAsiaTheme="minorEastAsia"/>
                <w:color w:val="000000" w:themeColor="text1"/>
                <w:szCs w:val="21"/>
              </w:rPr>
              <w:t>2.07%</w:t>
            </w:r>
          </w:p>
        </w:tc>
        <w:tc>
          <w:tcPr>
            <w:tcW w:w="1291" w:type="dxa"/>
            <w:vAlign w:val="center"/>
          </w:tcPr>
          <w:p w:rsidR="004E6A7D" w:rsidRDefault="00434FEB">
            <w:pPr>
              <w:jc w:val="right"/>
            </w:pPr>
            <w:r>
              <w:rPr>
                <w:rFonts w:eastAsiaTheme="minorEastAsia"/>
                <w:color w:val="000000" w:themeColor="text1"/>
                <w:szCs w:val="21"/>
              </w:rPr>
              <w:t>-2.33%</w:t>
            </w:r>
          </w:p>
        </w:tc>
        <w:tc>
          <w:tcPr>
            <w:tcW w:w="1291" w:type="dxa"/>
            <w:vAlign w:val="center"/>
          </w:tcPr>
          <w:p w:rsidR="004E6A7D" w:rsidRDefault="00434FEB">
            <w:pPr>
              <w:jc w:val="right"/>
            </w:pPr>
            <w:r>
              <w:rPr>
                <w:rFonts w:eastAsiaTheme="minorEastAsia"/>
                <w:color w:val="000000" w:themeColor="text1"/>
                <w:szCs w:val="21"/>
              </w:rPr>
              <w:t>0.90%</w:t>
            </w:r>
          </w:p>
        </w:tc>
        <w:tc>
          <w:tcPr>
            <w:tcW w:w="1291" w:type="dxa"/>
            <w:vAlign w:val="center"/>
          </w:tcPr>
          <w:p w:rsidR="004E6A7D" w:rsidRDefault="00434FEB">
            <w:pPr>
              <w:jc w:val="right"/>
            </w:pPr>
            <w:r>
              <w:rPr>
                <w:rFonts w:eastAsiaTheme="minorEastAsia"/>
                <w:color w:val="000000" w:themeColor="text1"/>
                <w:szCs w:val="21"/>
              </w:rPr>
              <w:t>-16.40%</w:t>
            </w:r>
          </w:p>
        </w:tc>
        <w:tc>
          <w:tcPr>
            <w:tcW w:w="1291" w:type="dxa"/>
            <w:vAlign w:val="center"/>
          </w:tcPr>
          <w:p w:rsidR="004E6A7D" w:rsidRDefault="00434FEB">
            <w:pPr>
              <w:jc w:val="right"/>
            </w:pPr>
            <w:r>
              <w:rPr>
                <w:rFonts w:eastAsiaTheme="minorEastAsia"/>
                <w:color w:val="000000" w:themeColor="text1"/>
                <w:szCs w:val="21"/>
              </w:rPr>
              <w:t>1.17%</w:t>
            </w:r>
          </w:p>
        </w:tc>
      </w:tr>
      <w:tr w:rsidR="004E6A7D">
        <w:tc>
          <w:tcPr>
            <w:tcW w:w="1290" w:type="dxa"/>
            <w:vAlign w:val="center"/>
          </w:tcPr>
          <w:p w:rsidR="004E6A7D" w:rsidRDefault="00434FEB">
            <w:pPr>
              <w:jc w:val="left"/>
            </w:pPr>
            <w:r>
              <w:rPr>
                <w:rFonts w:eastAsiaTheme="minorEastAsia"/>
                <w:color w:val="000000" w:themeColor="text1"/>
                <w:szCs w:val="21"/>
              </w:rPr>
              <w:t>过去三年</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r>
      <w:tr w:rsidR="004E6A7D">
        <w:tc>
          <w:tcPr>
            <w:tcW w:w="1290" w:type="dxa"/>
            <w:vAlign w:val="center"/>
          </w:tcPr>
          <w:p w:rsidR="004E6A7D" w:rsidRDefault="00434FEB">
            <w:pPr>
              <w:jc w:val="left"/>
            </w:pPr>
            <w:r>
              <w:rPr>
                <w:rFonts w:eastAsiaTheme="minorEastAsia"/>
                <w:color w:val="000000" w:themeColor="text1"/>
                <w:szCs w:val="21"/>
              </w:rPr>
              <w:lastRenderedPageBreak/>
              <w:t>过去五年</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c>
          <w:tcPr>
            <w:tcW w:w="1291" w:type="dxa"/>
            <w:vAlign w:val="center"/>
          </w:tcPr>
          <w:p w:rsidR="004E6A7D" w:rsidRDefault="00434FEB">
            <w:pPr>
              <w:jc w:val="right"/>
            </w:pPr>
            <w:r>
              <w:rPr>
                <w:rFonts w:eastAsiaTheme="minorEastAsia"/>
                <w:color w:val="000000" w:themeColor="text1"/>
                <w:szCs w:val="21"/>
              </w:rPr>
              <w:t>-</w:t>
            </w:r>
          </w:p>
        </w:tc>
      </w:tr>
      <w:tr w:rsidR="004E6A7D">
        <w:tc>
          <w:tcPr>
            <w:tcW w:w="1290" w:type="dxa"/>
            <w:vAlign w:val="center"/>
          </w:tcPr>
          <w:p w:rsidR="004E6A7D" w:rsidRDefault="00434FEB">
            <w:pPr>
              <w:jc w:val="left"/>
            </w:pPr>
            <w:r>
              <w:rPr>
                <w:rFonts w:eastAsiaTheme="minorEastAsia"/>
                <w:color w:val="000000" w:themeColor="text1"/>
                <w:szCs w:val="21"/>
              </w:rPr>
              <w:t>自基金合同生效起至今</w:t>
            </w:r>
          </w:p>
        </w:tc>
        <w:tc>
          <w:tcPr>
            <w:tcW w:w="1291" w:type="dxa"/>
            <w:vAlign w:val="center"/>
          </w:tcPr>
          <w:p w:rsidR="004E6A7D" w:rsidRDefault="00434FEB">
            <w:pPr>
              <w:jc w:val="right"/>
            </w:pPr>
            <w:r>
              <w:rPr>
                <w:rFonts w:eastAsiaTheme="minorEastAsia"/>
                <w:color w:val="000000" w:themeColor="text1"/>
                <w:szCs w:val="21"/>
              </w:rPr>
              <w:t>-31.38%</w:t>
            </w:r>
          </w:p>
        </w:tc>
        <w:tc>
          <w:tcPr>
            <w:tcW w:w="1291" w:type="dxa"/>
            <w:vAlign w:val="center"/>
          </w:tcPr>
          <w:p w:rsidR="004E6A7D" w:rsidRDefault="00434FEB">
            <w:pPr>
              <w:jc w:val="right"/>
            </w:pPr>
            <w:r>
              <w:rPr>
                <w:rFonts w:eastAsiaTheme="minorEastAsia"/>
                <w:color w:val="000000" w:themeColor="text1"/>
                <w:szCs w:val="21"/>
              </w:rPr>
              <w:t>2.23%</w:t>
            </w:r>
          </w:p>
        </w:tc>
        <w:tc>
          <w:tcPr>
            <w:tcW w:w="1291" w:type="dxa"/>
            <w:vAlign w:val="center"/>
          </w:tcPr>
          <w:p w:rsidR="004E6A7D" w:rsidRDefault="00434FEB">
            <w:pPr>
              <w:jc w:val="right"/>
            </w:pPr>
            <w:r>
              <w:rPr>
                <w:rFonts w:eastAsiaTheme="minorEastAsia"/>
                <w:color w:val="000000" w:themeColor="text1"/>
                <w:szCs w:val="21"/>
              </w:rPr>
              <w:t>-10.71%</w:t>
            </w:r>
          </w:p>
        </w:tc>
        <w:tc>
          <w:tcPr>
            <w:tcW w:w="1291" w:type="dxa"/>
            <w:vAlign w:val="center"/>
          </w:tcPr>
          <w:p w:rsidR="004E6A7D" w:rsidRDefault="00434FEB">
            <w:pPr>
              <w:jc w:val="right"/>
            </w:pPr>
            <w:r>
              <w:rPr>
                <w:rFonts w:eastAsiaTheme="minorEastAsia"/>
                <w:color w:val="000000" w:themeColor="text1"/>
                <w:szCs w:val="21"/>
              </w:rPr>
              <w:t>0.89%</w:t>
            </w:r>
          </w:p>
        </w:tc>
        <w:tc>
          <w:tcPr>
            <w:tcW w:w="1291" w:type="dxa"/>
            <w:vAlign w:val="center"/>
          </w:tcPr>
          <w:p w:rsidR="004E6A7D" w:rsidRDefault="00434FEB">
            <w:pPr>
              <w:jc w:val="right"/>
            </w:pPr>
            <w:r>
              <w:rPr>
                <w:rFonts w:eastAsiaTheme="minorEastAsia"/>
                <w:color w:val="000000" w:themeColor="text1"/>
                <w:szCs w:val="21"/>
              </w:rPr>
              <w:t>-20.67%</w:t>
            </w:r>
          </w:p>
        </w:tc>
        <w:tc>
          <w:tcPr>
            <w:tcW w:w="1291" w:type="dxa"/>
            <w:vAlign w:val="center"/>
          </w:tcPr>
          <w:p w:rsidR="004E6A7D" w:rsidRDefault="00434FEB">
            <w:pPr>
              <w:jc w:val="right"/>
            </w:pPr>
            <w:r>
              <w:rPr>
                <w:rFonts w:eastAsiaTheme="minorEastAsia"/>
                <w:color w:val="000000" w:themeColor="text1"/>
                <w:szCs w:val="21"/>
              </w:rPr>
              <w:t>1.34%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摩根动力精选混合型证券投资基金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(2019</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．摩根动力精选混合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．摩根动力精选混合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注：本基金本类份额生效日为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日，图示的时间段为本类份额生效日至本报告期末。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4E6A7D">
        <w:tc>
          <w:tcPr>
            <w:tcW w:w="952" w:type="dxa"/>
            <w:vAlign w:val="center"/>
          </w:tcPr>
          <w:p w:rsidR="004E6A7D" w:rsidRDefault="00434FEB">
            <w:pPr>
              <w:jc w:val="center"/>
            </w:pPr>
            <w:r>
              <w:rPr>
                <w:rFonts w:eastAsiaTheme="minorEastAsia"/>
                <w:color w:val="000000" w:themeColor="text1"/>
                <w:szCs w:val="21"/>
              </w:rPr>
              <w:t>郭晨</w:t>
            </w:r>
          </w:p>
        </w:tc>
        <w:tc>
          <w:tcPr>
            <w:tcW w:w="930" w:type="dxa"/>
            <w:vAlign w:val="center"/>
          </w:tcPr>
          <w:p w:rsidR="004E6A7D" w:rsidRDefault="00434FEB">
            <w:pPr>
              <w:jc w:val="center"/>
            </w:pPr>
            <w:r>
              <w:rPr>
                <w:rFonts w:eastAsiaTheme="minorEastAsia"/>
                <w:color w:val="000000" w:themeColor="text1"/>
                <w:szCs w:val="21"/>
              </w:rPr>
              <w:t>本基金基金经理</w:t>
            </w:r>
          </w:p>
        </w:tc>
        <w:tc>
          <w:tcPr>
            <w:tcW w:w="1210" w:type="dxa"/>
            <w:vAlign w:val="center"/>
          </w:tcPr>
          <w:p w:rsidR="004E6A7D" w:rsidRDefault="00434FEB">
            <w:pPr>
              <w:jc w:val="center"/>
            </w:pPr>
            <w:r>
              <w:rPr>
                <w:rFonts w:eastAsiaTheme="minorEastAsia"/>
                <w:color w:val="000000" w:themeColor="text1"/>
                <w:szCs w:val="21"/>
              </w:rPr>
              <w:t>2021-10-29</w:t>
            </w:r>
          </w:p>
        </w:tc>
        <w:tc>
          <w:tcPr>
            <w:tcW w:w="1309" w:type="dxa"/>
            <w:vAlign w:val="center"/>
          </w:tcPr>
          <w:p w:rsidR="004E6A7D" w:rsidRDefault="00434FEB">
            <w:pPr>
              <w:jc w:val="center"/>
            </w:pPr>
            <w:r>
              <w:rPr>
                <w:rFonts w:eastAsiaTheme="minorEastAsia"/>
                <w:color w:val="000000" w:themeColor="text1"/>
                <w:szCs w:val="21"/>
              </w:rPr>
              <w:t>-</w:t>
            </w:r>
          </w:p>
        </w:tc>
        <w:tc>
          <w:tcPr>
            <w:tcW w:w="1254" w:type="dxa"/>
            <w:vAlign w:val="center"/>
          </w:tcPr>
          <w:p w:rsidR="004E6A7D" w:rsidRDefault="00434FEB">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4E6A7D" w:rsidRDefault="00434FEB">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4E6A7D" w:rsidRDefault="00434FE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w:t>
      </w:r>
      <w:r>
        <w:rPr>
          <w:rFonts w:eastAsiaTheme="minorEastAsia"/>
          <w:color w:val="000000" w:themeColor="text1"/>
          <w:szCs w:val="21"/>
        </w:rPr>
        <w:t>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w:t>
      </w:r>
      <w:r>
        <w:rPr>
          <w:rFonts w:eastAsiaTheme="minorEastAsia"/>
          <w:color w:val="000000" w:themeColor="text1"/>
          <w:szCs w:val="21"/>
        </w:rPr>
        <w:t>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一季度沪深</w:t>
      </w:r>
      <w:r>
        <w:rPr>
          <w:rFonts w:eastAsiaTheme="minorEastAsia"/>
          <w:color w:val="000000" w:themeColor="text1"/>
          <w:szCs w:val="21"/>
        </w:rPr>
        <w:t>300</w:t>
      </w:r>
      <w:r>
        <w:rPr>
          <w:rFonts w:eastAsiaTheme="minorEastAsia"/>
          <w:color w:val="000000" w:themeColor="text1"/>
          <w:szCs w:val="21"/>
        </w:rPr>
        <w:t>指数上涨</w:t>
      </w:r>
      <w:r>
        <w:rPr>
          <w:rFonts w:eastAsiaTheme="minorEastAsia"/>
          <w:color w:val="000000" w:themeColor="text1"/>
          <w:szCs w:val="21"/>
        </w:rPr>
        <w:t>4.63%</w:t>
      </w:r>
      <w:r>
        <w:rPr>
          <w:rFonts w:eastAsiaTheme="minorEastAsia"/>
          <w:color w:val="000000" w:themeColor="text1"/>
          <w:szCs w:val="21"/>
        </w:rPr>
        <w:t>，创业板指数上涨</w:t>
      </w:r>
      <w:r>
        <w:rPr>
          <w:rFonts w:eastAsiaTheme="minorEastAsia"/>
          <w:color w:val="000000" w:themeColor="text1"/>
          <w:szCs w:val="21"/>
        </w:rPr>
        <w:t>2.25%</w:t>
      </w:r>
      <w:r>
        <w:rPr>
          <w:rFonts w:eastAsiaTheme="minorEastAsia"/>
          <w:color w:val="000000" w:themeColor="text1"/>
          <w:szCs w:val="21"/>
        </w:rPr>
        <w:t>。本季度市场指数表现平稳，市场</w:t>
      </w:r>
      <w:r>
        <w:rPr>
          <w:rFonts w:eastAsiaTheme="minorEastAsia"/>
          <w:color w:val="000000" w:themeColor="text1"/>
          <w:szCs w:val="21"/>
        </w:rPr>
        <w:lastRenderedPageBreak/>
        <w:t>比较活跃。</w:t>
      </w:r>
      <w:r>
        <w:rPr>
          <w:rFonts w:eastAsiaTheme="minorEastAsia"/>
          <w:color w:val="000000" w:themeColor="text1"/>
          <w:szCs w:val="21"/>
        </w:rPr>
        <w:t>TMT</w:t>
      </w:r>
      <w:r>
        <w:rPr>
          <w:rFonts w:eastAsiaTheme="minorEastAsia"/>
          <w:color w:val="000000" w:themeColor="text1"/>
          <w:szCs w:val="21"/>
        </w:rPr>
        <w:t>板块一骑绝尘，引领市场，</w:t>
      </w:r>
      <w:r>
        <w:rPr>
          <w:rFonts w:eastAsiaTheme="minorEastAsia"/>
          <w:color w:val="000000" w:themeColor="text1"/>
          <w:szCs w:val="21"/>
        </w:rPr>
        <w:t>“</w:t>
      </w:r>
      <w:r>
        <w:rPr>
          <w:rFonts w:eastAsiaTheme="minorEastAsia"/>
          <w:color w:val="000000" w:themeColor="text1"/>
          <w:szCs w:val="21"/>
        </w:rPr>
        <w:t>中特估</w:t>
      </w:r>
      <w:r>
        <w:rPr>
          <w:rFonts w:eastAsiaTheme="minorEastAsia"/>
          <w:color w:val="000000" w:themeColor="text1"/>
          <w:szCs w:val="21"/>
        </w:rPr>
        <w:t>”</w:t>
      </w:r>
      <w:r>
        <w:rPr>
          <w:rFonts w:eastAsiaTheme="minorEastAsia"/>
          <w:color w:val="000000" w:themeColor="text1"/>
          <w:szCs w:val="21"/>
        </w:rPr>
        <w:t>也表现较好，其他板块也有阶段性表现。疫情结束之后，国内经济温和复苏，符合市场的预期。美国加息逐渐进入尾声，欧美的银行危机让加息进程有望提前结束，有利于新兴市场的流动性。本季度市场在信创、数字经济和</w:t>
      </w:r>
      <w:r>
        <w:rPr>
          <w:rFonts w:eastAsiaTheme="minorEastAsia"/>
          <w:color w:val="000000" w:themeColor="text1"/>
          <w:szCs w:val="21"/>
        </w:rPr>
        <w:t>AI</w:t>
      </w:r>
      <w:r>
        <w:rPr>
          <w:rFonts w:eastAsiaTheme="minorEastAsia"/>
          <w:color w:val="000000" w:themeColor="text1"/>
          <w:szCs w:val="21"/>
        </w:rPr>
        <w:t>的带领下，</w:t>
      </w:r>
      <w:r>
        <w:rPr>
          <w:rFonts w:eastAsiaTheme="minorEastAsia"/>
          <w:color w:val="000000" w:themeColor="text1"/>
          <w:szCs w:val="21"/>
        </w:rPr>
        <w:t>TMT</w:t>
      </w:r>
      <w:r>
        <w:rPr>
          <w:rFonts w:eastAsiaTheme="minorEastAsia"/>
          <w:color w:val="000000" w:themeColor="text1"/>
          <w:szCs w:val="21"/>
        </w:rPr>
        <w:t>表现惊喜，尤其是</w:t>
      </w:r>
      <w:r>
        <w:rPr>
          <w:rFonts w:eastAsiaTheme="minorEastAsia"/>
          <w:color w:val="000000" w:themeColor="text1"/>
          <w:szCs w:val="21"/>
        </w:rPr>
        <w:t>AI</w:t>
      </w:r>
      <w:r>
        <w:rPr>
          <w:rFonts w:eastAsiaTheme="minorEastAsia"/>
          <w:color w:val="000000" w:themeColor="text1"/>
          <w:szCs w:val="21"/>
        </w:rPr>
        <w:t>大模型的横空出世，成为全球产业界最瞩目的热点之一，有望对人类社会各个方面带来较大影响。虽然市场热点很多，但是市场资金处于存量博弈的状态，</w:t>
      </w:r>
      <w:r>
        <w:rPr>
          <w:rFonts w:eastAsiaTheme="minorEastAsia"/>
          <w:color w:val="000000" w:themeColor="text1"/>
          <w:szCs w:val="21"/>
        </w:rPr>
        <w:t>结构差异很大，所以指数整体平稳，前期机构持仓较多的板块表现较弱，比如新能源、消费、医药等。港股在快速修复估值之后，一季度处于盘整的状态，表现一般。</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燃油汽车销售较差，并且出现了价格战的情形，导致消费者出现了观望心态，新能源汽车短期也受到了一定影响。新能源车一季度渗透率继续提升，表现比燃油车好很多。新能源汽车是大势所趋，其性能、驾乘感受、智能化水平都得到了消费者的充分认可。全球新能源车渗透率依然很低，未来成长空间很大，消费者观望心态恢复后，新能源汽车销售依然可以保持较快增长，目前市场预期过于悲观。光伏储</w:t>
      </w:r>
      <w:r>
        <w:rPr>
          <w:rFonts w:eastAsiaTheme="minorEastAsia"/>
          <w:color w:val="000000" w:themeColor="text1"/>
          <w:szCs w:val="21"/>
        </w:rPr>
        <w:t>能行业发展符合预期，一季度相关企业的经营处于历史最好水平，国内相关产业链优势明显，业绩增速很高，一季度光储行业景气度没有太大变化，但是市场开始担心未来边际很难继续往上，本季度新能源整体出现调整。我们认为这种调整主要是市场情绪导致，由于今年市场处于存量资金博弈状态，之前机构在新能源板块持仓较多，市场出现新的热点之后，市场资金从原有持仓板块流出。调整可以让行业估值更加合理，新能源依然是可以长期关注的优质行业。本基金关注高景气度的新能源行业，力争在这个优质赛道中取得超额收益。我们将始终坚持价值投资思路，坚持关注新</w:t>
      </w:r>
      <w:r>
        <w:rPr>
          <w:rFonts w:eastAsiaTheme="minorEastAsia"/>
          <w:color w:val="000000" w:themeColor="text1"/>
          <w:szCs w:val="21"/>
        </w:rPr>
        <w:t>能源行业中优质的细分产业链，选择优质龙头公司长期投资。</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我们比较乐观。国内经济将持续恢复，基于去年二季度较低的基数，各行业同比数据都会比较亮眼。港股在经历调整之后，估值吸引力提升，海外资金有望回流新兴市场。我们依然看好二季度优质成长板块的表现，重点关注两个方向，一是新技术的变革，</w:t>
      </w:r>
      <w:r>
        <w:rPr>
          <w:rFonts w:eastAsiaTheme="minorEastAsia"/>
          <w:color w:val="000000" w:themeColor="text1"/>
          <w:szCs w:val="21"/>
        </w:rPr>
        <w:t>TMT</w:t>
      </w:r>
      <w:r>
        <w:rPr>
          <w:rFonts w:eastAsiaTheme="minorEastAsia"/>
          <w:color w:val="000000" w:themeColor="text1"/>
          <w:szCs w:val="21"/>
        </w:rPr>
        <w:t>板块可能会继续活跃；二是业绩同比增速较好的板块，新能源行业属于典型代表。</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站在今天这个时点，新能源行业在未来十年或有十倍的成长空间，行业的景气度没有发生大的变化，后面依然会有很多机会，调整之后应精选优质标的逢低布局。目前市场预期过于悲观，随着经济温和复苏，销量大概率继续保持较快增长，进一步拉动整个产业链需求。经过前期调整之后，新能源汽车产业链相关个股估值已经回到很低的水平，相关个股的业绩预计会继续高增长，我们将深入研究产业，挖掘估值和业绩相对匹配的个股，力争为基金持有人创造持续超额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:-3.63%</w:t>
      </w:r>
      <w:r>
        <w:rPr>
          <w:rFonts w:eastAsiaTheme="minorEastAsia"/>
          <w:color w:val="000000" w:themeColor="text1"/>
          <w:szCs w:val="21"/>
        </w:rPr>
        <w:t>，同期业绩比较基准收益率为</w:t>
      </w:r>
      <w:r>
        <w:rPr>
          <w:rFonts w:eastAsiaTheme="minorEastAsia"/>
          <w:color w:val="000000" w:themeColor="text1"/>
          <w:szCs w:val="21"/>
        </w:rPr>
        <w:t>:4.38%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:-3.72%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:4.38%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1,156,875,500.87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91.51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1,156,875,500.87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91.51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86,695,229.25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20,646,141.12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1,264,216,871.24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22,998,976.00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1.86</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1,097,698,459.87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88.94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36,178,065.00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1,156,875,500.87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93.73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4E6A7D">
        <w:tc>
          <w:tcPr>
            <w:tcW w:w="817" w:type="dxa"/>
            <w:vAlign w:val="center"/>
          </w:tcPr>
          <w:p w:rsidR="004E6A7D" w:rsidRDefault="00434FEB">
            <w:pPr>
              <w:jc w:val="center"/>
            </w:pPr>
            <w:r>
              <w:rPr>
                <w:rFonts w:eastAsiaTheme="minorEastAsia"/>
                <w:kern w:val="0"/>
                <w:szCs w:val="21"/>
              </w:rPr>
              <w:t>1</w:t>
            </w:r>
          </w:p>
        </w:tc>
        <w:tc>
          <w:tcPr>
            <w:tcW w:w="1276" w:type="dxa"/>
            <w:vAlign w:val="center"/>
          </w:tcPr>
          <w:p w:rsidR="004E6A7D" w:rsidRDefault="00434FEB">
            <w:pPr>
              <w:jc w:val="center"/>
            </w:pPr>
            <w:r>
              <w:rPr>
                <w:rFonts w:eastAsiaTheme="minorEastAsia"/>
                <w:kern w:val="0"/>
                <w:szCs w:val="21"/>
              </w:rPr>
              <w:t>601689</w:t>
            </w:r>
          </w:p>
        </w:tc>
        <w:tc>
          <w:tcPr>
            <w:tcW w:w="1701" w:type="dxa"/>
            <w:vAlign w:val="center"/>
          </w:tcPr>
          <w:p w:rsidR="004E6A7D" w:rsidRDefault="00434FEB">
            <w:pPr>
              <w:jc w:val="center"/>
            </w:pPr>
            <w:r>
              <w:rPr>
                <w:rFonts w:eastAsiaTheme="minorEastAsia"/>
                <w:kern w:val="0"/>
                <w:szCs w:val="21"/>
              </w:rPr>
              <w:t>拓普集团</w:t>
            </w:r>
          </w:p>
        </w:tc>
        <w:tc>
          <w:tcPr>
            <w:tcW w:w="1276" w:type="dxa"/>
            <w:vAlign w:val="center"/>
          </w:tcPr>
          <w:p w:rsidR="004E6A7D" w:rsidRDefault="00434FEB">
            <w:pPr>
              <w:jc w:val="right"/>
            </w:pPr>
            <w:r>
              <w:rPr>
                <w:rFonts w:eastAsiaTheme="minorEastAsia"/>
                <w:kern w:val="0"/>
                <w:szCs w:val="21"/>
              </w:rPr>
              <w:t>1,243,510.00</w:t>
            </w:r>
          </w:p>
        </w:tc>
        <w:tc>
          <w:tcPr>
            <w:tcW w:w="1842" w:type="dxa"/>
            <w:vAlign w:val="center"/>
          </w:tcPr>
          <w:p w:rsidR="004E6A7D" w:rsidRDefault="00434FEB">
            <w:pPr>
              <w:jc w:val="right"/>
            </w:pPr>
            <w:r>
              <w:rPr>
                <w:rFonts w:eastAsiaTheme="minorEastAsia"/>
                <w:kern w:val="0"/>
                <w:szCs w:val="21"/>
              </w:rPr>
              <w:t>79,733,861.20</w:t>
            </w:r>
          </w:p>
        </w:tc>
        <w:tc>
          <w:tcPr>
            <w:tcW w:w="1616" w:type="dxa"/>
            <w:vAlign w:val="center"/>
          </w:tcPr>
          <w:p w:rsidR="004E6A7D" w:rsidRDefault="00434FEB">
            <w:pPr>
              <w:jc w:val="right"/>
            </w:pPr>
            <w:r>
              <w:rPr>
                <w:rFonts w:eastAsiaTheme="minorEastAsia"/>
                <w:kern w:val="0"/>
                <w:szCs w:val="21"/>
              </w:rPr>
              <w:t>6.46</w:t>
            </w:r>
          </w:p>
        </w:tc>
      </w:tr>
      <w:tr w:rsidR="004E6A7D">
        <w:tc>
          <w:tcPr>
            <w:tcW w:w="817" w:type="dxa"/>
            <w:vAlign w:val="center"/>
          </w:tcPr>
          <w:p w:rsidR="004E6A7D" w:rsidRDefault="00434FEB">
            <w:pPr>
              <w:jc w:val="center"/>
            </w:pPr>
            <w:r>
              <w:rPr>
                <w:rFonts w:eastAsiaTheme="minorEastAsia"/>
                <w:kern w:val="0"/>
                <w:szCs w:val="21"/>
              </w:rPr>
              <w:t>2</w:t>
            </w:r>
          </w:p>
        </w:tc>
        <w:tc>
          <w:tcPr>
            <w:tcW w:w="1276" w:type="dxa"/>
            <w:vAlign w:val="center"/>
          </w:tcPr>
          <w:p w:rsidR="004E6A7D" w:rsidRDefault="00434FEB">
            <w:pPr>
              <w:jc w:val="center"/>
            </w:pPr>
            <w:r>
              <w:rPr>
                <w:rFonts w:eastAsiaTheme="minorEastAsia"/>
                <w:kern w:val="0"/>
                <w:szCs w:val="21"/>
              </w:rPr>
              <w:t>300750</w:t>
            </w:r>
          </w:p>
        </w:tc>
        <w:tc>
          <w:tcPr>
            <w:tcW w:w="1701" w:type="dxa"/>
            <w:vAlign w:val="center"/>
          </w:tcPr>
          <w:p w:rsidR="004E6A7D" w:rsidRDefault="00434FEB">
            <w:pPr>
              <w:jc w:val="center"/>
            </w:pPr>
            <w:r>
              <w:rPr>
                <w:rFonts w:eastAsiaTheme="minorEastAsia"/>
                <w:kern w:val="0"/>
                <w:szCs w:val="21"/>
              </w:rPr>
              <w:t>宁德时代</w:t>
            </w:r>
          </w:p>
        </w:tc>
        <w:tc>
          <w:tcPr>
            <w:tcW w:w="1276" w:type="dxa"/>
            <w:vAlign w:val="center"/>
          </w:tcPr>
          <w:p w:rsidR="004E6A7D" w:rsidRDefault="00434FEB">
            <w:pPr>
              <w:jc w:val="right"/>
            </w:pPr>
            <w:r>
              <w:rPr>
                <w:rFonts w:eastAsiaTheme="minorEastAsia"/>
                <w:kern w:val="0"/>
                <w:szCs w:val="21"/>
              </w:rPr>
              <w:t>179,397.00</w:t>
            </w:r>
          </w:p>
        </w:tc>
        <w:tc>
          <w:tcPr>
            <w:tcW w:w="1842" w:type="dxa"/>
            <w:vAlign w:val="center"/>
          </w:tcPr>
          <w:p w:rsidR="004E6A7D" w:rsidRDefault="00434FEB">
            <w:pPr>
              <w:jc w:val="right"/>
            </w:pPr>
            <w:r>
              <w:rPr>
                <w:rFonts w:eastAsiaTheme="minorEastAsia"/>
                <w:kern w:val="0"/>
                <w:szCs w:val="21"/>
              </w:rPr>
              <w:t>72,844,151.85</w:t>
            </w:r>
          </w:p>
        </w:tc>
        <w:tc>
          <w:tcPr>
            <w:tcW w:w="1616" w:type="dxa"/>
            <w:vAlign w:val="center"/>
          </w:tcPr>
          <w:p w:rsidR="004E6A7D" w:rsidRDefault="00434FEB">
            <w:pPr>
              <w:jc w:val="right"/>
            </w:pPr>
            <w:r>
              <w:rPr>
                <w:rFonts w:eastAsiaTheme="minorEastAsia"/>
                <w:kern w:val="0"/>
                <w:szCs w:val="21"/>
              </w:rPr>
              <w:t>5.90</w:t>
            </w:r>
          </w:p>
        </w:tc>
      </w:tr>
      <w:tr w:rsidR="004E6A7D">
        <w:tc>
          <w:tcPr>
            <w:tcW w:w="817" w:type="dxa"/>
            <w:vAlign w:val="center"/>
          </w:tcPr>
          <w:p w:rsidR="004E6A7D" w:rsidRDefault="00434FEB">
            <w:pPr>
              <w:jc w:val="center"/>
            </w:pPr>
            <w:r>
              <w:rPr>
                <w:rFonts w:eastAsiaTheme="minorEastAsia"/>
                <w:kern w:val="0"/>
                <w:szCs w:val="21"/>
              </w:rPr>
              <w:t>3</w:t>
            </w:r>
          </w:p>
        </w:tc>
        <w:tc>
          <w:tcPr>
            <w:tcW w:w="1276" w:type="dxa"/>
            <w:vAlign w:val="center"/>
          </w:tcPr>
          <w:p w:rsidR="004E6A7D" w:rsidRDefault="00434FEB">
            <w:pPr>
              <w:jc w:val="center"/>
            </w:pPr>
            <w:r>
              <w:rPr>
                <w:rFonts w:eastAsiaTheme="minorEastAsia"/>
                <w:kern w:val="0"/>
                <w:szCs w:val="21"/>
              </w:rPr>
              <w:t>603799</w:t>
            </w:r>
          </w:p>
        </w:tc>
        <w:tc>
          <w:tcPr>
            <w:tcW w:w="1701" w:type="dxa"/>
            <w:vAlign w:val="center"/>
          </w:tcPr>
          <w:p w:rsidR="004E6A7D" w:rsidRDefault="00434FEB">
            <w:pPr>
              <w:jc w:val="center"/>
            </w:pPr>
            <w:r>
              <w:rPr>
                <w:rFonts w:eastAsiaTheme="minorEastAsia"/>
                <w:kern w:val="0"/>
                <w:szCs w:val="21"/>
              </w:rPr>
              <w:t>华友钴业</w:t>
            </w:r>
          </w:p>
        </w:tc>
        <w:tc>
          <w:tcPr>
            <w:tcW w:w="1276" w:type="dxa"/>
            <w:vAlign w:val="center"/>
          </w:tcPr>
          <w:p w:rsidR="004E6A7D" w:rsidRDefault="00434FEB">
            <w:pPr>
              <w:jc w:val="right"/>
            </w:pPr>
            <w:r>
              <w:rPr>
                <w:rFonts w:eastAsiaTheme="minorEastAsia"/>
                <w:kern w:val="0"/>
                <w:szCs w:val="21"/>
              </w:rPr>
              <w:t>1,152,824.00</w:t>
            </w:r>
          </w:p>
        </w:tc>
        <w:tc>
          <w:tcPr>
            <w:tcW w:w="1842" w:type="dxa"/>
            <w:vAlign w:val="center"/>
          </w:tcPr>
          <w:p w:rsidR="004E6A7D" w:rsidRDefault="00434FEB">
            <w:pPr>
              <w:jc w:val="right"/>
            </w:pPr>
            <w:r>
              <w:rPr>
                <w:rFonts w:eastAsiaTheme="minorEastAsia"/>
                <w:kern w:val="0"/>
                <w:szCs w:val="21"/>
              </w:rPr>
              <w:t>63,405,320.00</w:t>
            </w:r>
          </w:p>
        </w:tc>
        <w:tc>
          <w:tcPr>
            <w:tcW w:w="1616" w:type="dxa"/>
            <w:vAlign w:val="center"/>
          </w:tcPr>
          <w:p w:rsidR="004E6A7D" w:rsidRDefault="00434FEB">
            <w:pPr>
              <w:jc w:val="right"/>
            </w:pPr>
            <w:r>
              <w:rPr>
                <w:rFonts w:eastAsiaTheme="minorEastAsia"/>
                <w:kern w:val="0"/>
                <w:szCs w:val="21"/>
              </w:rPr>
              <w:t>5.14</w:t>
            </w:r>
          </w:p>
        </w:tc>
      </w:tr>
      <w:tr w:rsidR="004E6A7D">
        <w:tc>
          <w:tcPr>
            <w:tcW w:w="817" w:type="dxa"/>
            <w:vAlign w:val="center"/>
          </w:tcPr>
          <w:p w:rsidR="004E6A7D" w:rsidRDefault="00434FEB">
            <w:pPr>
              <w:jc w:val="center"/>
            </w:pPr>
            <w:r>
              <w:rPr>
                <w:rFonts w:eastAsiaTheme="minorEastAsia"/>
                <w:kern w:val="0"/>
                <w:szCs w:val="21"/>
              </w:rPr>
              <w:t>4</w:t>
            </w:r>
          </w:p>
        </w:tc>
        <w:tc>
          <w:tcPr>
            <w:tcW w:w="1276" w:type="dxa"/>
            <w:vAlign w:val="center"/>
          </w:tcPr>
          <w:p w:rsidR="004E6A7D" w:rsidRDefault="00434FEB">
            <w:pPr>
              <w:jc w:val="center"/>
            </w:pPr>
            <w:r>
              <w:rPr>
                <w:rFonts w:eastAsiaTheme="minorEastAsia"/>
                <w:kern w:val="0"/>
                <w:szCs w:val="21"/>
              </w:rPr>
              <w:t>300014</w:t>
            </w:r>
          </w:p>
        </w:tc>
        <w:tc>
          <w:tcPr>
            <w:tcW w:w="1701" w:type="dxa"/>
            <w:vAlign w:val="center"/>
          </w:tcPr>
          <w:p w:rsidR="004E6A7D" w:rsidRDefault="00434FEB">
            <w:pPr>
              <w:jc w:val="center"/>
            </w:pPr>
            <w:r>
              <w:rPr>
                <w:rFonts w:eastAsiaTheme="minorEastAsia"/>
                <w:kern w:val="0"/>
                <w:szCs w:val="21"/>
              </w:rPr>
              <w:t>亿纬锂能</w:t>
            </w:r>
          </w:p>
        </w:tc>
        <w:tc>
          <w:tcPr>
            <w:tcW w:w="1276" w:type="dxa"/>
            <w:vAlign w:val="center"/>
          </w:tcPr>
          <w:p w:rsidR="004E6A7D" w:rsidRDefault="00434FEB">
            <w:pPr>
              <w:jc w:val="right"/>
            </w:pPr>
            <w:r>
              <w:rPr>
                <w:rFonts w:eastAsiaTheme="minorEastAsia"/>
                <w:kern w:val="0"/>
                <w:szCs w:val="21"/>
              </w:rPr>
              <w:t>574,343.00</w:t>
            </w:r>
          </w:p>
        </w:tc>
        <w:tc>
          <w:tcPr>
            <w:tcW w:w="1842" w:type="dxa"/>
            <w:vAlign w:val="center"/>
          </w:tcPr>
          <w:p w:rsidR="004E6A7D" w:rsidRDefault="00434FEB">
            <w:pPr>
              <w:jc w:val="right"/>
            </w:pPr>
            <w:r>
              <w:rPr>
                <w:rFonts w:eastAsiaTheme="minorEastAsia"/>
                <w:kern w:val="0"/>
                <w:szCs w:val="21"/>
              </w:rPr>
              <w:t>40,031,707.10</w:t>
            </w:r>
          </w:p>
        </w:tc>
        <w:tc>
          <w:tcPr>
            <w:tcW w:w="1616" w:type="dxa"/>
            <w:vAlign w:val="center"/>
          </w:tcPr>
          <w:p w:rsidR="004E6A7D" w:rsidRDefault="00434FEB">
            <w:pPr>
              <w:jc w:val="right"/>
            </w:pPr>
            <w:r>
              <w:rPr>
                <w:rFonts w:eastAsiaTheme="minorEastAsia"/>
                <w:kern w:val="0"/>
                <w:szCs w:val="21"/>
              </w:rPr>
              <w:t>3.24</w:t>
            </w:r>
          </w:p>
        </w:tc>
      </w:tr>
      <w:tr w:rsidR="004E6A7D">
        <w:tc>
          <w:tcPr>
            <w:tcW w:w="817" w:type="dxa"/>
            <w:vAlign w:val="center"/>
          </w:tcPr>
          <w:p w:rsidR="004E6A7D" w:rsidRDefault="00434FEB">
            <w:pPr>
              <w:jc w:val="center"/>
            </w:pPr>
            <w:r>
              <w:rPr>
                <w:rFonts w:eastAsiaTheme="minorEastAsia"/>
                <w:kern w:val="0"/>
                <w:szCs w:val="21"/>
              </w:rPr>
              <w:t>5</w:t>
            </w:r>
          </w:p>
        </w:tc>
        <w:tc>
          <w:tcPr>
            <w:tcW w:w="1276" w:type="dxa"/>
            <w:vAlign w:val="center"/>
          </w:tcPr>
          <w:p w:rsidR="004E6A7D" w:rsidRDefault="00434FEB">
            <w:pPr>
              <w:jc w:val="center"/>
            </w:pPr>
            <w:r>
              <w:rPr>
                <w:rFonts w:eastAsiaTheme="minorEastAsia"/>
                <w:kern w:val="0"/>
                <w:szCs w:val="21"/>
              </w:rPr>
              <w:t>001311</w:t>
            </w:r>
          </w:p>
        </w:tc>
        <w:tc>
          <w:tcPr>
            <w:tcW w:w="1701" w:type="dxa"/>
            <w:vAlign w:val="center"/>
          </w:tcPr>
          <w:p w:rsidR="004E6A7D" w:rsidRDefault="00434FEB">
            <w:pPr>
              <w:jc w:val="center"/>
            </w:pPr>
            <w:r>
              <w:rPr>
                <w:rFonts w:eastAsiaTheme="minorEastAsia"/>
                <w:kern w:val="0"/>
                <w:szCs w:val="21"/>
              </w:rPr>
              <w:t>多利科技</w:t>
            </w:r>
          </w:p>
        </w:tc>
        <w:tc>
          <w:tcPr>
            <w:tcW w:w="1276" w:type="dxa"/>
            <w:vAlign w:val="center"/>
          </w:tcPr>
          <w:p w:rsidR="004E6A7D" w:rsidRDefault="00434FEB">
            <w:pPr>
              <w:jc w:val="right"/>
            </w:pPr>
            <w:r>
              <w:rPr>
                <w:rFonts w:eastAsiaTheme="minorEastAsia"/>
                <w:kern w:val="0"/>
                <w:szCs w:val="21"/>
              </w:rPr>
              <w:t>420,062.00</w:t>
            </w:r>
          </w:p>
        </w:tc>
        <w:tc>
          <w:tcPr>
            <w:tcW w:w="1842" w:type="dxa"/>
            <w:vAlign w:val="center"/>
          </w:tcPr>
          <w:p w:rsidR="004E6A7D" w:rsidRDefault="00434FEB">
            <w:pPr>
              <w:jc w:val="right"/>
            </w:pPr>
            <w:r>
              <w:rPr>
                <w:rFonts w:eastAsiaTheme="minorEastAsia"/>
                <w:kern w:val="0"/>
                <w:szCs w:val="21"/>
              </w:rPr>
              <w:t>39,683,257.14</w:t>
            </w:r>
          </w:p>
        </w:tc>
        <w:tc>
          <w:tcPr>
            <w:tcW w:w="1616" w:type="dxa"/>
            <w:vAlign w:val="center"/>
          </w:tcPr>
          <w:p w:rsidR="004E6A7D" w:rsidRDefault="00434FEB">
            <w:pPr>
              <w:jc w:val="right"/>
            </w:pPr>
            <w:r>
              <w:rPr>
                <w:rFonts w:eastAsiaTheme="minorEastAsia"/>
                <w:kern w:val="0"/>
                <w:szCs w:val="21"/>
              </w:rPr>
              <w:t>3.22</w:t>
            </w:r>
          </w:p>
        </w:tc>
      </w:tr>
      <w:tr w:rsidR="004E6A7D">
        <w:tc>
          <w:tcPr>
            <w:tcW w:w="817" w:type="dxa"/>
            <w:vAlign w:val="center"/>
          </w:tcPr>
          <w:p w:rsidR="004E6A7D" w:rsidRDefault="00434FEB">
            <w:pPr>
              <w:jc w:val="center"/>
            </w:pPr>
            <w:r>
              <w:rPr>
                <w:rFonts w:eastAsiaTheme="minorEastAsia"/>
                <w:kern w:val="0"/>
                <w:szCs w:val="21"/>
              </w:rPr>
              <w:t>6</w:t>
            </w:r>
          </w:p>
        </w:tc>
        <w:tc>
          <w:tcPr>
            <w:tcW w:w="1276" w:type="dxa"/>
            <w:vAlign w:val="center"/>
          </w:tcPr>
          <w:p w:rsidR="004E6A7D" w:rsidRDefault="00434FEB">
            <w:pPr>
              <w:jc w:val="center"/>
            </w:pPr>
            <w:r>
              <w:rPr>
                <w:rFonts w:eastAsiaTheme="minorEastAsia"/>
                <w:kern w:val="0"/>
                <w:szCs w:val="21"/>
              </w:rPr>
              <w:t>600933</w:t>
            </w:r>
          </w:p>
        </w:tc>
        <w:tc>
          <w:tcPr>
            <w:tcW w:w="1701" w:type="dxa"/>
            <w:vAlign w:val="center"/>
          </w:tcPr>
          <w:p w:rsidR="004E6A7D" w:rsidRDefault="00434FEB">
            <w:pPr>
              <w:jc w:val="center"/>
            </w:pPr>
            <w:r>
              <w:rPr>
                <w:rFonts w:eastAsiaTheme="minorEastAsia"/>
                <w:kern w:val="0"/>
                <w:szCs w:val="21"/>
              </w:rPr>
              <w:t>爱柯迪</w:t>
            </w:r>
          </w:p>
        </w:tc>
        <w:tc>
          <w:tcPr>
            <w:tcW w:w="1276" w:type="dxa"/>
            <w:vAlign w:val="center"/>
          </w:tcPr>
          <w:p w:rsidR="004E6A7D" w:rsidRDefault="00434FEB">
            <w:pPr>
              <w:jc w:val="right"/>
            </w:pPr>
            <w:r>
              <w:rPr>
                <w:rFonts w:eastAsiaTheme="minorEastAsia"/>
                <w:kern w:val="0"/>
                <w:szCs w:val="21"/>
              </w:rPr>
              <w:t>1,596,400.00</w:t>
            </w:r>
          </w:p>
        </w:tc>
        <w:tc>
          <w:tcPr>
            <w:tcW w:w="1842" w:type="dxa"/>
            <w:vAlign w:val="center"/>
          </w:tcPr>
          <w:p w:rsidR="004E6A7D" w:rsidRDefault="00434FEB">
            <w:pPr>
              <w:jc w:val="right"/>
            </w:pPr>
            <w:r>
              <w:rPr>
                <w:rFonts w:eastAsiaTheme="minorEastAsia"/>
                <w:kern w:val="0"/>
                <w:szCs w:val="21"/>
              </w:rPr>
              <w:t>38,600,952.00</w:t>
            </w:r>
          </w:p>
        </w:tc>
        <w:tc>
          <w:tcPr>
            <w:tcW w:w="1616" w:type="dxa"/>
            <w:vAlign w:val="center"/>
          </w:tcPr>
          <w:p w:rsidR="004E6A7D" w:rsidRDefault="00434FEB">
            <w:pPr>
              <w:jc w:val="right"/>
            </w:pPr>
            <w:r>
              <w:rPr>
                <w:rFonts w:eastAsiaTheme="minorEastAsia"/>
                <w:kern w:val="0"/>
                <w:szCs w:val="21"/>
              </w:rPr>
              <w:t>3.13</w:t>
            </w:r>
          </w:p>
        </w:tc>
      </w:tr>
      <w:tr w:rsidR="004E6A7D">
        <w:tc>
          <w:tcPr>
            <w:tcW w:w="817" w:type="dxa"/>
            <w:vAlign w:val="center"/>
          </w:tcPr>
          <w:p w:rsidR="004E6A7D" w:rsidRDefault="00434FEB">
            <w:pPr>
              <w:jc w:val="center"/>
            </w:pPr>
            <w:r>
              <w:rPr>
                <w:rFonts w:eastAsiaTheme="minorEastAsia"/>
                <w:kern w:val="0"/>
                <w:szCs w:val="21"/>
              </w:rPr>
              <w:t>7</w:t>
            </w:r>
          </w:p>
        </w:tc>
        <w:tc>
          <w:tcPr>
            <w:tcW w:w="1276" w:type="dxa"/>
            <w:vAlign w:val="center"/>
          </w:tcPr>
          <w:p w:rsidR="004E6A7D" w:rsidRDefault="00434FEB">
            <w:pPr>
              <w:jc w:val="center"/>
            </w:pPr>
            <w:r>
              <w:rPr>
                <w:rFonts w:eastAsiaTheme="minorEastAsia"/>
                <w:kern w:val="0"/>
                <w:szCs w:val="21"/>
              </w:rPr>
              <w:t>603179</w:t>
            </w:r>
          </w:p>
        </w:tc>
        <w:tc>
          <w:tcPr>
            <w:tcW w:w="1701" w:type="dxa"/>
            <w:vAlign w:val="center"/>
          </w:tcPr>
          <w:p w:rsidR="004E6A7D" w:rsidRDefault="00434FEB">
            <w:pPr>
              <w:jc w:val="center"/>
            </w:pPr>
            <w:r>
              <w:rPr>
                <w:rFonts w:eastAsiaTheme="minorEastAsia"/>
                <w:kern w:val="0"/>
                <w:szCs w:val="21"/>
              </w:rPr>
              <w:t>新泉股份</w:t>
            </w:r>
          </w:p>
        </w:tc>
        <w:tc>
          <w:tcPr>
            <w:tcW w:w="1276" w:type="dxa"/>
            <w:vAlign w:val="center"/>
          </w:tcPr>
          <w:p w:rsidR="004E6A7D" w:rsidRDefault="00434FEB">
            <w:pPr>
              <w:jc w:val="right"/>
            </w:pPr>
            <w:r>
              <w:rPr>
                <w:rFonts w:eastAsiaTheme="minorEastAsia"/>
                <w:kern w:val="0"/>
                <w:szCs w:val="21"/>
              </w:rPr>
              <w:t>874,222.00</w:t>
            </w:r>
          </w:p>
        </w:tc>
        <w:tc>
          <w:tcPr>
            <w:tcW w:w="1842" w:type="dxa"/>
            <w:vAlign w:val="center"/>
          </w:tcPr>
          <w:p w:rsidR="004E6A7D" w:rsidRDefault="00434FEB">
            <w:pPr>
              <w:jc w:val="right"/>
            </w:pPr>
            <w:r>
              <w:rPr>
                <w:rFonts w:eastAsiaTheme="minorEastAsia"/>
                <w:kern w:val="0"/>
                <w:szCs w:val="21"/>
              </w:rPr>
              <w:t>38,028,657.00</w:t>
            </w:r>
          </w:p>
        </w:tc>
        <w:tc>
          <w:tcPr>
            <w:tcW w:w="1616" w:type="dxa"/>
            <w:vAlign w:val="center"/>
          </w:tcPr>
          <w:p w:rsidR="004E6A7D" w:rsidRDefault="00434FEB">
            <w:pPr>
              <w:jc w:val="right"/>
            </w:pPr>
            <w:r>
              <w:rPr>
                <w:rFonts w:eastAsiaTheme="minorEastAsia"/>
                <w:kern w:val="0"/>
                <w:szCs w:val="21"/>
              </w:rPr>
              <w:t>3.08</w:t>
            </w:r>
          </w:p>
        </w:tc>
      </w:tr>
      <w:tr w:rsidR="004E6A7D">
        <w:tc>
          <w:tcPr>
            <w:tcW w:w="817" w:type="dxa"/>
            <w:vAlign w:val="center"/>
          </w:tcPr>
          <w:p w:rsidR="004E6A7D" w:rsidRDefault="00434FEB">
            <w:pPr>
              <w:jc w:val="center"/>
            </w:pPr>
            <w:r>
              <w:rPr>
                <w:rFonts w:eastAsiaTheme="minorEastAsia"/>
                <w:kern w:val="0"/>
                <w:szCs w:val="21"/>
              </w:rPr>
              <w:t>8</w:t>
            </w:r>
          </w:p>
        </w:tc>
        <w:tc>
          <w:tcPr>
            <w:tcW w:w="1276" w:type="dxa"/>
            <w:vAlign w:val="center"/>
          </w:tcPr>
          <w:p w:rsidR="004E6A7D" w:rsidRDefault="00434FEB">
            <w:pPr>
              <w:jc w:val="center"/>
            </w:pPr>
            <w:r>
              <w:rPr>
                <w:rFonts w:eastAsiaTheme="minorEastAsia"/>
                <w:kern w:val="0"/>
                <w:szCs w:val="21"/>
              </w:rPr>
              <w:t>002472</w:t>
            </w:r>
          </w:p>
        </w:tc>
        <w:tc>
          <w:tcPr>
            <w:tcW w:w="1701" w:type="dxa"/>
            <w:vAlign w:val="center"/>
          </w:tcPr>
          <w:p w:rsidR="004E6A7D" w:rsidRDefault="00434FEB">
            <w:pPr>
              <w:jc w:val="center"/>
            </w:pPr>
            <w:r>
              <w:rPr>
                <w:rFonts w:eastAsiaTheme="minorEastAsia"/>
                <w:kern w:val="0"/>
                <w:szCs w:val="21"/>
              </w:rPr>
              <w:t>双环传动</w:t>
            </w:r>
          </w:p>
        </w:tc>
        <w:tc>
          <w:tcPr>
            <w:tcW w:w="1276" w:type="dxa"/>
            <w:vAlign w:val="center"/>
          </w:tcPr>
          <w:p w:rsidR="004E6A7D" w:rsidRDefault="00434FEB">
            <w:pPr>
              <w:jc w:val="right"/>
            </w:pPr>
            <w:r>
              <w:rPr>
                <w:rFonts w:eastAsiaTheme="minorEastAsia"/>
                <w:kern w:val="0"/>
                <w:szCs w:val="21"/>
              </w:rPr>
              <w:t>1,434,184.0</w:t>
            </w:r>
            <w:r>
              <w:rPr>
                <w:rFonts w:eastAsiaTheme="minorEastAsia"/>
                <w:kern w:val="0"/>
                <w:szCs w:val="21"/>
              </w:rPr>
              <w:lastRenderedPageBreak/>
              <w:t>0</w:t>
            </w:r>
          </w:p>
        </w:tc>
        <w:tc>
          <w:tcPr>
            <w:tcW w:w="1842" w:type="dxa"/>
            <w:vAlign w:val="center"/>
          </w:tcPr>
          <w:p w:rsidR="004E6A7D" w:rsidRDefault="00434FEB">
            <w:pPr>
              <w:jc w:val="right"/>
            </w:pPr>
            <w:r>
              <w:rPr>
                <w:rFonts w:eastAsiaTheme="minorEastAsia"/>
                <w:kern w:val="0"/>
                <w:szCs w:val="21"/>
              </w:rPr>
              <w:lastRenderedPageBreak/>
              <w:t>37,876,799.44</w:t>
            </w:r>
          </w:p>
        </w:tc>
        <w:tc>
          <w:tcPr>
            <w:tcW w:w="1616" w:type="dxa"/>
            <w:vAlign w:val="center"/>
          </w:tcPr>
          <w:p w:rsidR="004E6A7D" w:rsidRDefault="00434FEB">
            <w:pPr>
              <w:jc w:val="right"/>
            </w:pPr>
            <w:r>
              <w:rPr>
                <w:rFonts w:eastAsiaTheme="minorEastAsia"/>
                <w:kern w:val="0"/>
                <w:szCs w:val="21"/>
              </w:rPr>
              <w:t>3.07</w:t>
            </w:r>
          </w:p>
        </w:tc>
      </w:tr>
      <w:tr w:rsidR="004E6A7D">
        <w:tc>
          <w:tcPr>
            <w:tcW w:w="817" w:type="dxa"/>
            <w:vAlign w:val="center"/>
          </w:tcPr>
          <w:p w:rsidR="004E6A7D" w:rsidRDefault="00434FEB">
            <w:pPr>
              <w:jc w:val="center"/>
            </w:pPr>
            <w:r>
              <w:rPr>
                <w:rFonts w:eastAsiaTheme="minorEastAsia"/>
                <w:kern w:val="0"/>
                <w:szCs w:val="21"/>
              </w:rPr>
              <w:t>9</w:t>
            </w:r>
          </w:p>
        </w:tc>
        <w:tc>
          <w:tcPr>
            <w:tcW w:w="1276" w:type="dxa"/>
            <w:vAlign w:val="center"/>
          </w:tcPr>
          <w:p w:rsidR="004E6A7D" w:rsidRDefault="00434FEB">
            <w:pPr>
              <w:jc w:val="center"/>
            </w:pPr>
            <w:r>
              <w:rPr>
                <w:rFonts w:eastAsiaTheme="minorEastAsia"/>
                <w:kern w:val="0"/>
                <w:szCs w:val="21"/>
              </w:rPr>
              <w:t>002850</w:t>
            </w:r>
          </w:p>
        </w:tc>
        <w:tc>
          <w:tcPr>
            <w:tcW w:w="1701" w:type="dxa"/>
            <w:vAlign w:val="center"/>
          </w:tcPr>
          <w:p w:rsidR="004E6A7D" w:rsidRDefault="00434FEB">
            <w:pPr>
              <w:jc w:val="center"/>
            </w:pPr>
            <w:r>
              <w:rPr>
                <w:rFonts w:eastAsiaTheme="minorEastAsia"/>
                <w:kern w:val="0"/>
                <w:szCs w:val="21"/>
              </w:rPr>
              <w:t>科达利</w:t>
            </w:r>
          </w:p>
        </w:tc>
        <w:tc>
          <w:tcPr>
            <w:tcW w:w="1276" w:type="dxa"/>
            <w:vAlign w:val="center"/>
          </w:tcPr>
          <w:p w:rsidR="004E6A7D" w:rsidRDefault="00434FEB">
            <w:pPr>
              <w:jc w:val="right"/>
            </w:pPr>
            <w:r>
              <w:rPr>
                <w:rFonts w:eastAsiaTheme="minorEastAsia"/>
                <w:kern w:val="0"/>
                <w:szCs w:val="21"/>
              </w:rPr>
              <w:t>285,249.00</w:t>
            </w:r>
          </w:p>
        </w:tc>
        <w:tc>
          <w:tcPr>
            <w:tcW w:w="1842" w:type="dxa"/>
            <w:vAlign w:val="center"/>
          </w:tcPr>
          <w:p w:rsidR="004E6A7D" w:rsidRDefault="00434FEB">
            <w:pPr>
              <w:jc w:val="right"/>
            </w:pPr>
            <w:r>
              <w:rPr>
                <w:rFonts w:eastAsiaTheme="minorEastAsia"/>
                <w:kern w:val="0"/>
                <w:szCs w:val="21"/>
              </w:rPr>
              <w:t>36,879,843.21</w:t>
            </w:r>
          </w:p>
        </w:tc>
        <w:tc>
          <w:tcPr>
            <w:tcW w:w="1616" w:type="dxa"/>
            <w:vAlign w:val="center"/>
          </w:tcPr>
          <w:p w:rsidR="004E6A7D" w:rsidRDefault="00434FEB">
            <w:pPr>
              <w:jc w:val="right"/>
            </w:pPr>
            <w:r>
              <w:rPr>
                <w:rFonts w:eastAsiaTheme="minorEastAsia"/>
                <w:kern w:val="0"/>
                <w:szCs w:val="21"/>
              </w:rPr>
              <w:t>2.99</w:t>
            </w:r>
          </w:p>
        </w:tc>
      </w:tr>
      <w:tr w:rsidR="004E6A7D">
        <w:tc>
          <w:tcPr>
            <w:tcW w:w="817" w:type="dxa"/>
            <w:vAlign w:val="center"/>
          </w:tcPr>
          <w:p w:rsidR="004E6A7D" w:rsidRDefault="00434FEB">
            <w:pPr>
              <w:jc w:val="center"/>
            </w:pPr>
            <w:r>
              <w:rPr>
                <w:rFonts w:eastAsiaTheme="minorEastAsia"/>
                <w:kern w:val="0"/>
                <w:szCs w:val="21"/>
              </w:rPr>
              <w:t>10</w:t>
            </w:r>
          </w:p>
        </w:tc>
        <w:tc>
          <w:tcPr>
            <w:tcW w:w="1276" w:type="dxa"/>
            <w:vAlign w:val="center"/>
          </w:tcPr>
          <w:p w:rsidR="004E6A7D" w:rsidRDefault="00434FEB">
            <w:pPr>
              <w:jc w:val="center"/>
            </w:pPr>
            <w:r>
              <w:rPr>
                <w:rFonts w:eastAsiaTheme="minorEastAsia"/>
                <w:kern w:val="0"/>
                <w:szCs w:val="21"/>
              </w:rPr>
              <w:t>300496</w:t>
            </w:r>
          </w:p>
        </w:tc>
        <w:tc>
          <w:tcPr>
            <w:tcW w:w="1701" w:type="dxa"/>
            <w:vAlign w:val="center"/>
          </w:tcPr>
          <w:p w:rsidR="004E6A7D" w:rsidRDefault="00434FEB">
            <w:pPr>
              <w:jc w:val="center"/>
            </w:pPr>
            <w:r>
              <w:rPr>
                <w:rFonts w:eastAsiaTheme="minorEastAsia"/>
                <w:kern w:val="0"/>
                <w:szCs w:val="21"/>
              </w:rPr>
              <w:t>中科创达</w:t>
            </w:r>
          </w:p>
        </w:tc>
        <w:tc>
          <w:tcPr>
            <w:tcW w:w="1276" w:type="dxa"/>
            <w:vAlign w:val="center"/>
          </w:tcPr>
          <w:p w:rsidR="004E6A7D" w:rsidRDefault="00434FEB">
            <w:pPr>
              <w:jc w:val="right"/>
            </w:pPr>
            <w:r>
              <w:rPr>
                <w:rFonts w:eastAsiaTheme="minorEastAsia"/>
                <w:kern w:val="0"/>
                <w:szCs w:val="21"/>
              </w:rPr>
              <w:t>333,900.00</w:t>
            </w:r>
          </w:p>
        </w:tc>
        <w:tc>
          <w:tcPr>
            <w:tcW w:w="1842" w:type="dxa"/>
            <w:vAlign w:val="center"/>
          </w:tcPr>
          <w:p w:rsidR="004E6A7D" w:rsidRDefault="00434FEB">
            <w:pPr>
              <w:jc w:val="right"/>
            </w:pPr>
            <w:r>
              <w:rPr>
                <w:rFonts w:eastAsiaTheme="minorEastAsia"/>
                <w:kern w:val="0"/>
                <w:szCs w:val="21"/>
              </w:rPr>
              <w:t>36,178,065.00</w:t>
            </w:r>
          </w:p>
        </w:tc>
        <w:tc>
          <w:tcPr>
            <w:tcW w:w="1616" w:type="dxa"/>
            <w:vAlign w:val="center"/>
          </w:tcPr>
          <w:p w:rsidR="004E6A7D" w:rsidRDefault="00434FEB">
            <w:pPr>
              <w:jc w:val="right"/>
            </w:pPr>
            <w:r>
              <w:rPr>
                <w:rFonts w:eastAsiaTheme="minorEastAsia"/>
                <w:kern w:val="0"/>
                <w:szCs w:val="21"/>
              </w:rPr>
              <w:t>2.93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261,402.03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17,473,373.05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2,911,366.04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20,646,141.12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摩根动力精选混合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455,194,302.17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56,000,343.93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48,207,099.31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26,203,982.27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53,430,556.11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11,977,859.17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449,970,845.37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70,226,467.03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4E6A7D">
        <w:tc>
          <w:tcPr>
            <w:tcW w:w="993" w:type="dxa"/>
            <w:vMerge w:val="restart"/>
            <w:vAlign w:val="center"/>
          </w:tcPr>
          <w:p w:rsidR="004E6A7D" w:rsidRDefault="00434FEB">
            <w:r>
              <w:rPr>
                <w:bCs/>
                <w:color w:val="000000"/>
                <w:kern w:val="0"/>
                <w:szCs w:val="21"/>
              </w:rPr>
              <w:t>机构</w:t>
            </w:r>
          </w:p>
        </w:tc>
        <w:tc>
          <w:tcPr>
            <w:tcW w:w="992" w:type="dxa"/>
            <w:vAlign w:val="center"/>
          </w:tcPr>
          <w:p w:rsidR="004E6A7D" w:rsidRDefault="00434FEB">
            <w:pPr>
              <w:jc w:val="center"/>
            </w:pPr>
            <w:r>
              <w:rPr>
                <w:color w:val="000000"/>
                <w:kern w:val="0"/>
                <w:szCs w:val="21"/>
              </w:rPr>
              <w:t>1</w:t>
            </w:r>
          </w:p>
        </w:tc>
        <w:tc>
          <w:tcPr>
            <w:tcW w:w="1843" w:type="dxa"/>
            <w:vAlign w:val="center"/>
          </w:tcPr>
          <w:p w:rsidR="004E6A7D" w:rsidRDefault="00434FEB">
            <w:pPr>
              <w:jc w:val="center"/>
            </w:pPr>
            <w:r>
              <w:rPr>
                <w:color w:val="000000"/>
                <w:kern w:val="0"/>
                <w:szCs w:val="21"/>
              </w:rPr>
              <w:t>20230101-20230331</w:t>
            </w:r>
          </w:p>
        </w:tc>
        <w:tc>
          <w:tcPr>
            <w:tcW w:w="851" w:type="dxa"/>
            <w:vAlign w:val="center"/>
          </w:tcPr>
          <w:p w:rsidR="004E6A7D" w:rsidRDefault="00434FEB">
            <w:pPr>
              <w:jc w:val="center"/>
            </w:pPr>
            <w:r>
              <w:rPr>
                <w:color w:val="000000"/>
                <w:kern w:val="0"/>
                <w:szCs w:val="21"/>
              </w:rPr>
              <w:t>107,546,694.31</w:t>
            </w:r>
          </w:p>
        </w:tc>
        <w:tc>
          <w:tcPr>
            <w:tcW w:w="850" w:type="dxa"/>
            <w:vAlign w:val="center"/>
          </w:tcPr>
          <w:p w:rsidR="004E6A7D" w:rsidRDefault="00434FEB">
            <w:pPr>
              <w:jc w:val="center"/>
            </w:pPr>
            <w:r>
              <w:rPr>
                <w:color w:val="000000"/>
                <w:kern w:val="0"/>
                <w:szCs w:val="21"/>
              </w:rPr>
              <w:t>0.00</w:t>
            </w:r>
          </w:p>
        </w:tc>
        <w:tc>
          <w:tcPr>
            <w:tcW w:w="1134" w:type="dxa"/>
            <w:vAlign w:val="center"/>
          </w:tcPr>
          <w:p w:rsidR="004E6A7D" w:rsidRDefault="00434FEB">
            <w:pPr>
              <w:jc w:val="center"/>
            </w:pPr>
            <w:r>
              <w:rPr>
                <w:color w:val="000000"/>
                <w:kern w:val="0"/>
                <w:szCs w:val="21"/>
              </w:rPr>
              <w:t>0.00</w:t>
            </w:r>
          </w:p>
        </w:tc>
        <w:tc>
          <w:tcPr>
            <w:tcW w:w="1419" w:type="dxa"/>
            <w:vAlign w:val="center"/>
          </w:tcPr>
          <w:p w:rsidR="004E6A7D" w:rsidRDefault="00434FEB">
            <w:pPr>
              <w:jc w:val="center"/>
            </w:pPr>
            <w:r>
              <w:rPr>
                <w:color w:val="000000"/>
                <w:kern w:val="0"/>
                <w:szCs w:val="21"/>
              </w:rPr>
              <w:t>107,546,694.31</w:t>
            </w:r>
          </w:p>
        </w:tc>
        <w:tc>
          <w:tcPr>
            <w:tcW w:w="1130" w:type="dxa"/>
            <w:vAlign w:val="center"/>
          </w:tcPr>
          <w:p w:rsidR="004E6A7D" w:rsidRDefault="00434FEB">
            <w:pPr>
              <w:jc w:val="center"/>
            </w:pPr>
            <w:r>
              <w:rPr>
                <w:color w:val="000000"/>
                <w:kern w:val="0"/>
                <w:szCs w:val="21"/>
              </w:rPr>
              <w:t>20.67%</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（一）中国证监会准予本基金募集注册的文件</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（二）摩根动力精选混合型证券投资基金基金合同</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（三）摩根动力精选混合型证券投资基金托管协议</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（四）法律意见书</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（五）基金管理人业务资格批件、营业执照</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（六）基金托管人业务资格批件、营业执照</w:t>
      </w:r>
    </w:p>
    <w:p w:rsidR="004E6A7D" w:rsidRDefault="00434FEB">
      <w:pPr>
        <w:spacing w:line="360" w:lineRule="auto"/>
        <w:ind w:firstLineChars="200" w:firstLine="420"/>
        <w:rPr>
          <w:rFonts w:eastAsiaTheme="minorEastAsia"/>
          <w:color w:val="000000" w:themeColor="text1"/>
          <w:szCs w:val="21"/>
        </w:rPr>
      </w:pPr>
      <w:r>
        <w:rPr>
          <w:rFonts w:eastAsiaTheme="minorEastAsia"/>
          <w:color w:val="000000" w:themeColor="text1"/>
          <w:szCs w:val="21"/>
        </w:rPr>
        <w:t>（七）摩根基金管理（中国）有限公司开放式基金业务规则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（八）中国证监会要求的其他文件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34FEB">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34FEB">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34FEB">
      <w:rPr>
        <w:rStyle w:val="af6"/>
        <w:noProof/>
      </w:rPr>
      <w:t>6</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摩根动力精选混合型证券投资基金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34FEB"/>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A7D"/>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0DE6A1-22B8-49DB-80BA-5E2FD98C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1203</Words>
  <Characters>6858</Characters>
  <Application>Microsoft Office Word</Application>
  <DocSecurity>0</DocSecurity>
  <Lines>57</Lines>
  <Paragraphs>16</Paragraphs>
  <ScaleCrop>false</ScaleCrop>
  <Company>TRT. Ltd. Co.</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2023-04-20T05:30:00Z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