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上投摩根动力精选混合型证券投资基金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上投摩根动力精选混合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006250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426,288,032.46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本基金采用定量及定性研究方法，自下而上精选具有较高增长潜力的公司，</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在有效控制风险的前提下，力争实现基金资产的长期增值。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954508" w:rsidRDefault="005E1C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954508" w:rsidRDefault="005E1C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rsidR="00954508" w:rsidRDefault="005E1C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954508" w:rsidRDefault="005E1C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充分发挥基金管理人的研究优势，深入分析中国经济持续发展的动力，包括产业结构升级、新兴产业发展、消费升级、一带一路区域联动等因素，挖掘个股的投资价值，自下而上精选具有较高增长潜力的公司构建投资组合，并在实际投资过程中进行调整优化。</w:t>
            </w:r>
          </w:p>
          <w:p w:rsidR="00954508" w:rsidRDefault="005E1C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954508" w:rsidRDefault="005E1C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w:t>
            </w:r>
            <w:r>
              <w:rPr>
                <w:rFonts w:eastAsiaTheme="minorEastAsia"/>
                <w:color w:val="000000" w:themeColor="text1"/>
                <w:kern w:val="0"/>
                <w:szCs w:val="21"/>
              </w:rPr>
              <w:t>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006250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013137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410,831,729.26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15,456,303.20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-25,007,808.39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-914,215.09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-242,078,751.35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-7,914,022.54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-0.5876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-0.5558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1,195,746,429.19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44,872,521.66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2.9032</w:t>
            </w:r>
          </w:p>
        </w:tc>
      </w:tr>
    </w:tbl>
    <w:p w:rsidR="00954508" w:rsidRDefault="005E1C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54508" w:rsidRDefault="005E1C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2021 </w:t>
      </w:r>
      <w:r w:rsidRPr="00B27A29">
        <w:rPr>
          <w:rFonts w:eastAsiaTheme="minorEastAsia"/>
          <w:color w:val="000000" w:themeColor="text1"/>
          <w:szCs w:val="21"/>
        </w:rPr>
        <w:t>年</w:t>
      </w:r>
      <w:r w:rsidRPr="00B27A29">
        <w:rPr>
          <w:rFonts w:eastAsiaTheme="minorEastAsia"/>
          <w:color w:val="000000" w:themeColor="text1"/>
          <w:szCs w:val="21"/>
        </w:rPr>
        <w:t xml:space="preserve"> 7 </w:t>
      </w:r>
      <w:r w:rsidRPr="00B27A29">
        <w:rPr>
          <w:rFonts w:eastAsiaTheme="minorEastAsia"/>
          <w:color w:val="000000" w:themeColor="text1"/>
          <w:szCs w:val="21"/>
        </w:rPr>
        <w:t>月</w:t>
      </w:r>
      <w:r w:rsidRPr="00B27A29">
        <w:rPr>
          <w:rFonts w:eastAsiaTheme="minorEastAsia"/>
          <w:color w:val="000000" w:themeColor="text1"/>
          <w:szCs w:val="21"/>
        </w:rPr>
        <w:t xml:space="preserve"> 30 </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上投摩根动力精选混合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54508">
        <w:tc>
          <w:tcPr>
            <w:tcW w:w="1290" w:type="dxa"/>
            <w:vAlign w:val="center"/>
          </w:tcPr>
          <w:p w:rsidR="00954508" w:rsidRDefault="005E1C3C">
            <w:pPr>
              <w:jc w:val="left"/>
            </w:pPr>
            <w:r>
              <w:rPr>
                <w:rFonts w:eastAsiaTheme="minorEastAsia"/>
                <w:color w:val="000000" w:themeColor="text1"/>
                <w:szCs w:val="21"/>
              </w:rPr>
              <w:t>过去三个月</w:t>
            </w:r>
          </w:p>
        </w:tc>
        <w:tc>
          <w:tcPr>
            <w:tcW w:w="1291" w:type="dxa"/>
            <w:vAlign w:val="center"/>
          </w:tcPr>
          <w:p w:rsidR="00954508" w:rsidRDefault="005E1C3C">
            <w:pPr>
              <w:jc w:val="right"/>
            </w:pPr>
            <w:r>
              <w:rPr>
                <w:rFonts w:eastAsiaTheme="minorEastAsia"/>
                <w:color w:val="000000" w:themeColor="text1"/>
                <w:szCs w:val="21"/>
              </w:rPr>
              <w:t>-16.68%</w:t>
            </w:r>
          </w:p>
        </w:tc>
        <w:tc>
          <w:tcPr>
            <w:tcW w:w="1291" w:type="dxa"/>
            <w:vAlign w:val="center"/>
          </w:tcPr>
          <w:p w:rsidR="00954508" w:rsidRDefault="005E1C3C">
            <w:pPr>
              <w:jc w:val="right"/>
            </w:pPr>
            <w:r>
              <w:rPr>
                <w:rFonts w:eastAsiaTheme="minorEastAsia"/>
                <w:color w:val="000000" w:themeColor="text1"/>
                <w:szCs w:val="21"/>
              </w:rPr>
              <w:t>2.53%</w:t>
            </w:r>
          </w:p>
        </w:tc>
        <w:tc>
          <w:tcPr>
            <w:tcW w:w="1291" w:type="dxa"/>
            <w:vAlign w:val="center"/>
          </w:tcPr>
          <w:p w:rsidR="00954508" w:rsidRDefault="005E1C3C">
            <w:pPr>
              <w:jc w:val="right"/>
            </w:pPr>
            <w:r>
              <w:rPr>
                <w:rFonts w:eastAsiaTheme="minorEastAsia"/>
                <w:color w:val="000000" w:themeColor="text1"/>
                <w:szCs w:val="21"/>
              </w:rPr>
              <w:t>-11.59%</w:t>
            </w:r>
          </w:p>
        </w:tc>
        <w:tc>
          <w:tcPr>
            <w:tcW w:w="1291" w:type="dxa"/>
            <w:vAlign w:val="center"/>
          </w:tcPr>
          <w:p w:rsidR="00954508" w:rsidRDefault="005E1C3C">
            <w:pPr>
              <w:jc w:val="right"/>
            </w:pPr>
            <w:r>
              <w:rPr>
                <w:rFonts w:eastAsiaTheme="minorEastAsia"/>
                <w:color w:val="000000" w:themeColor="text1"/>
                <w:szCs w:val="21"/>
              </w:rPr>
              <w:t>1.16%</w:t>
            </w:r>
          </w:p>
        </w:tc>
        <w:tc>
          <w:tcPr>
            <w:tcW w:w="1291" w:type="dxa"/>
            <w:vAlign w:val="center"/>
          </w:tcPr>
          <w:p w:rsidR="00954508" w:rsidRDefault="005E1C3C">
            <w:pPr>
              <w:jc w:val="right"/>
            </w:pPr>
            <w:r>
              <w:rPr>
                <w:rFonts w:eastAsiaTheme="minorEastAsia"/>
                <w:color w:val="000000" w:themeColor="text1"/>
                <w:szCs w:val="21"/>
              </w:rPr>
              <w:t>-5.09%</w:t>
            </w:r>
          </w:p>
        </w:tc>
        <w:tc>
          <w:tcPr>
            <w:tcW w:w="1291" w:type="dxa"/>
            <w:vAlign w:val="center"/>
          </w:tcPr>
          <w:p w:rsidR="00954508" w:rsidRDefault="005E1C3C">
            <w:pPr>
              <w:jc w:val="right"/>
            </w:pPr>
            <w:r>
              <w:rPr>
                <w:rFonts w:eastAsiaTheme="minorEastAsia"/>
                <w:color w:val="000000" w:themeColor="text1"/>
                <w:szCs w:val="21"/>
              </w:rPr>
              <w:t>1.37%</w:t>
            </w:r>
          </w:p>
        </w:tc>
      </w:tr>
      <w:tr w:rsidR="00954508">
        <w:tc>
          <w:tcPr>
            <w:tcW w:w="1290" w:type="dxa"/>
            <w:vAlign w:val="center"/>
          </w:tcPr>
          <w:p w:rsidR="00954508" w:rsidRDefault="005E1C3C">
            <w:pPr>
              <w:jc w:val="left"/>
            </w:pPr>
            <w:r>
              <w:rPr>
                <w:rFonts w:eastAsiaTheme="minorEastAsia"/>
                <w:color w:val="000000" w:themeColor="text1"/>
                <w:szCs w:val="21"/>
              </w:rPr>
              <w:t>过去六个月</w:t>
            </w:r>
          </w:p>
        </w:tc>
        <w:tc>
          <w:tcPr>
            <w:tcW w:w="1291" w:type="dxa"/>
            <w:vAlign w:val="center"/>
          </w:tcPr>
          <w:p w:rsidR="00954508" w:rsidRDefault="005E1C3C">
            <w:pPr>
              <w:jc w:val="right"/>
            </w:pPr>
            <w:r>
              <w:rPr>
                <w:rFonts w:eastAsiaTheme="minorEastAsia"/>
                <w:color w:val="000000" w:themeColor="text1"/>
                <w:szCs w:val="21"/>
              </w:rPr>
              <w:t>-19.84%</w:t>
            </w:r>
          </w:p>
        </w:tc>
        <w:tc>
          <w:tcPr>
            <w:tcW w:w="1291" w:type="dxa"/>
            <w:vAlign w:val="center"/>
          </w:tcPr>
          <w:p w:rsidR="00954508" w:rsidRDefault="005E1C3C">
            <w:pPr>
              <w:jc w:val="right"/>
            </w:pPr>
            <w:r>
              <w:rPr>
                <w:rFonts w:eastAsiaTheme="minorEastAsia"/>
                <w:color w:val="000000" w:themeColor="text1"/>
                <w:szCs w:val="21"/>
              </w:rPr>
              <w:t>2.29%</w:t>
            </w:r>
          </w:p>
        </w:tc>
        <w:tc>
          <w:tcPr>
            <w:tcW w:w="1291" w:type="dxa"/>
            <w:vAlign w:val="center"/>
          </w:tcPr>
          <w:p w:rsidR="00954508" w:rsidRDefault="005E1C3C">
            <w:pPr>
              <w:jc w:val="right"/>
            </w:pPr>
            <w:r>
              <w:rPr>
                <w:rFonts w:eastAsiaTheme="minorEastAsia"/>
                <w:color w:val="000000" w:themeColor="text1"/>
                <w:szCs w:val="21"/>
              </w:rPr>
              <w:t>-10.06%</w:t>
            </w:r>
          </w:p>
        </w:tc>
        <w:tc>
          <w:tcPr>
            <w:tcW w:w="1291" w:type="dxa"/>
            <w:vAlign w:val="center"/>
          </w:tcPr>
          <w:p w:rsidR="00954508" w:rsidRDefault="005E1C3C">
            <w:pPr>
              <w:jc w:val="right"/>
            </w:pPr>
            <w:r>
              <w:rPr>
                <w:rFonts w:eastAsiaTheme="minorEastAsia"/>
                <w:color w:val="000000" w:themeColor="text1"/>
                <w:szCs w:val="21"/>
              </w:rPr>
              <w:t>0.91%</w:t>
            </w:r>
          </w:p>
        </w:tc>
        <w:tc>
          <w:tcPr>
            <w:tcW w:w="1291" w:type="dxa"/>
            <w:vAlign w:val="center"/>
          </w:tcPr>
          <w:p w:rsidR="00954508" w:rsidRDefault="005E1C3C">
            <w:pPr>
              <w:jc w:val="right"/>
            </w:pPr>
            <w:r>
              <w:rPr>
                <w:rFonts w:eastAsiaTheme="minorEastAsia"/>
                <w:color w:val="000000" w:themeColor="text1"/>
                <w:szCs w:val="21"/>
              </w:rPr>
              <w:t>-9.78%</w:t>
            </w:r>
          </w:p>
        </w:tc>
        <w:tc>
          <w:tcPr>
            <w:tcW w:w="1291" w:type="dxa"/>
            <w:vAlign w:val="center"/>
          </w:tcPr>
          <w:p w:rsidR="00954508" w:rsidRDefault="005E1C3C">
            <w:pPr>
              <w:jc w:val="right"/>
            </w:pPr>
            <w:r>
              <w:rPr>
                <w:rFonts w:eastAsiaTheme="minorEastAsia"/>
                <w:color w:val="000000" w:themeColor="text1"/>
                <w:szCs w:val="21"/>
              </w:rPr>
              <w:t>1.38%</w:t>
            </w:r>
          </w:p>
        </w:tc>
      </w:tr>
      <w:tr w:rsidR="00954508">
        <w:tc>
          <w:tcPr>
            <w:tcW w:w="1290" w:type="dxa"/>
            <w:vAlign w:val="center"/>
          </w:tcPr>
          <w:p w:rsidR="00954508" w:rsidRDefault="005E1C3C">
            <w:pPr>
              <w:jc w:val="left"/>
            </w:pPr>
            <w:r>
              <w:rPr>
                <w:rFonts w:eastAsiaTheme="minorEastAsia"/>
                <w:color w:val="000000" w:themeColor="text1"/>
                <w:szCs w:val="21"/>
              </w:rPr>
              <w:t>过去一年</w:t>
            </w:r>
          </w:p>
        </w:tc>
        <w:tc>
          <w:tcPr>
            <w:tcW w:w="1291" w:type="dxa"/>
            <w:vAlign w:val="center"/>
          </w:tcPr>
          <w:p w:rsidR="00954508" w:rsidRDefault="005E1C3C">
            <w:pPr>
              <w:jc w:val="right"/>
            </w:pPr>
            <w:r>
              <w:rPr>
                <w:rFonts w:eastAsiaTheme="minorEastAsia"/>
                <w:color w:val="000000" w:themeColor="text1"/>
                <w:szCs w:val="21"/>
              </w:rPr>
              <w:t>32.52%</w:t>
            </w:r>
          </w:p>
        </w:tc>
        <w:tc>
          <w:tcPr>
            <w:tcW w:w="1291" w:type="dxa"/>
            <w:vAlign w:val="center"/>
          </w:tcPr>
          <w:p w:rsidR="00954508" w:rsidRDefault="005E1C3C">
            <w:pPr>
              <w:jc w:val="right"/>
            </w:pPr>
            <w:r>
              <w:rPr>
                <w:rFonts w:eastAsiaTheme="minorEastAsia"/>
                <w:color w:val="000000" w:themeColor="text1"/>
                <w:szCs w:val="21"/>
              </w:rPr>
              <w:t>2.48%</w:t>
            </w:r>
          </w:p>
        </w:tc>
        <w:tc>
          <w:tcPr>
            <w:tcW w:w="1291" w:type="dxa"/>
            <w:vAlign w:val="center"/>
          </w:tcPr>
          <w:p w:rsidR="00954508" w:rsidRDefault="005E1C3C">
            <w:pPr>
              <w:jc w:val="right"/>
            </w:pPr>
            <w:r>
              <w:rPr>
                <w:rFonts w:eastAsiaTheme="minorEastAsia"/>
                <w:color w:val="000000" w:themeColor="text1"/>
                <w:szCs w:val="21"/>
              </w:rPr>
              <w:t>-9.63%</w:t>
            </w:r>
          </w:p>
        </w:tc>
        <w:tc>
          <w:tcPr>
            <w:tcW w:w="1291" w:type="dxa"/>
            <w:vAlign w:val="center"/>
          </w:tcPr>
          <w:p w:rsidR="00954508" w:rsidRDefault="005E1C3C">
            <w:pPr>
              <w:jc w:val="right"/>
            </w:pPr>
            <w:r>
              <w:rPr>
                <w:rFonts w:eastAsiaTheme="minorEastAsia"/>
                <w:color w:val="000000" w:themeColor="text1"/>
                <w:szCs w:val="21"/>
              </w:rPr>
              <w:t>0.86%</w:t>
            </w:r>
          </w:p>
        </w:tc>
        <w:tc>
          <w:tcPr>
            <w:tcW w:w="1291" w:type="dxa"/>
            <w:vAlign w:val="center"/>
          </w:tcPr>
          <w:p w:rsidR="00954508" w:rsidRDefault="005E1C3C">
            <w:pPr>
              <w:jc w:val="right"/>
            </w:pPr>
            <w:r>
              <w:rPr>
                <w:rFonts w:eastAsiaTheme="minorEastAsia"/>
                <w:color w:val="000000" w:themeColor="text1"/>
                <w:szCs w:val="21"/>
              </w:rPr>
              <w:t>42.15%</w:t>
            </w:r>
          </w:p>
        </w:tc>
        <w:tc>
          <w:tcPr>
            <w:tcW w:w="1291" w:type="dxa"/>
            <w:vAlign w:val="center"/>
          </w:tcPr>
          <w:p w:rsidR="00954508" w:rsidRDefault="005E1C3C">
            <w:pPr>
              <w:jc w:val="right"/>
            </w:pPr>
            <w:r>
              <w:rPr>
                <w:rFonts w:eastAsiaTheme="minorEastAsia"/>
                <w:color w:val="000000" w:themeColor="text1"/>
                <w:szCs w:val="21"/>
              </w:rPr>
              <w:t>1.62%</w:t>
            </w:r>
          </w:p>
        </w:tc>
      </w:tr>
      <w:tr w:rsidR="00954508">
        <w:tc>
          <w:tcPr>
            <w:tcW w:w="1290" w:type="dxa"/>
            <w:vAlign w:val="center"/>
          </w:tcPr>
          <w:p w:rsidR="00954508" w:rsidRDefault="005E1C3C">
            <w:pPr>
              <w:jc w:val="left"/>
            </w:pPr>
            <w:r>
              <w:rPr>
                <w:rFonts w:eastAsiaTheme="minorEastAsia"/>
                <w:color w:val="000000" w:themeColor="text1"/>
                <w:szCs w:val="21"/>
              </w:rPr>
              <w:t>过去三年</w:t>
            </w:r>
          </w:p>
        </w:tc>
        <w:tc>
          <w:tcPr>
            <w:tcW w:w="1291" w:type="dxa"/>
            <w:vAlign w:val="center"/>
          </w:tcPr>
          <w:p w:rsidR="00954508" w:rsidRDefault="005E1C3C">
            <w:pPr>
              <w:jc w:val="right"/>
            </w:pPr>
            <w:r>
              <w:rPr>
                <w:rFonts w:eastAsiaTheme="minorEastAsia"/>
                <w:color w:val="000000" w:themeColor="text1"/>
                <w:szCs w:val="21"/>
              </w:rPr>
              <w:t>191.67%</w:t>
            </w:r>
          </w:p>
        </w:tc>
        <w:tc>
          <w:tcPr>
            <w:tcW w:w="1291" w:type="dxa"/>
            <w:vAlign w:val="center"/>
          </w:tcPr>
          <w:p w:rsidR="00954508" w:rsidRDefault="005E1C3C">
            <w:pPr>
              <w:jc w:val="right"/>
            </w:pPr>
            <w:r>
              <w:rPr>
                <w:rFonts w:eastAsiaTheme="minorEastAsia"/>
                <w:color w:val="000000" w:themeColor="text1"/>
                <w:szCs w:val="21"/>
              </w:rPr>
              <w:t>2.14%</w:t>
            </w:r>
          </w:p>
        </w:tc>
        <w:tc>
          <w:tcPr>
            <w:tcW w:w="1291" w:type="dxa"/>
            <w:vAlign w:val="center"/>
          </w:tcPr>
          <w:p w:rsidR="00954508" w:rsidRDefault="005E1C3C">
            <w:pPr>
              <w:jc w:val="right"/>
            </w:pPr>
            <w:r>
              <w:rPr>
                <w:rFonts w:eastAsiaTheme="minorEastAsia"/>
                <w:color w:val="000000" w:themeColor="text1"/>
                <w:szCs w:val="21"/>
              </w:rPr>
              <w:t>8.66%</w:t>
            </w:r>
          </w:p>
        </w:tc>
        <w:tc>
          <w:tcPr>
            <w:tcW w:w="1291" w:type="dxa"/>
            <w:vAlign w:val="center"/>
          </w:tcPr>
          <w:p w:rsidR="00954508" w:rsidRDefault="005E1C3C">
            <w:pPr>
              <w:jc w:val="right"/>
            </w:pPr>
            <w:r>
              <w:rPr>
                <w:rFonts w:eastAsiaTheme="minorEastAsia"/>
                <w:color w:val="000000" w:themeColor="text1"/>
                <w:szCs w:val="21"/>
              </w:rPr>
              <w:t>1.00%</w:t>
            </w:r>
          </w:p>
        </w:tc>
        <w:tc>
          <w:tcPr>
            <w:tcW w:w="1291" w:type="dxa"/>
            <w:vAlign w:val="center"/>
          </w:tcPr>
          <w:p w:rsidR="00954508" w:rsidRDefault="005E1C3C">
            <w:pPr>
              <w:jc w:val="right"/>
            </w:pPr>
            <w:r>
              <w:rPr>
                <w:rFonts w:eastAsiaTheme="minorEastAsia"/>
                <w:color w:val="000000" w:themeColor="text1"/>
                <w:szCs w:val="21"/>
              </w:rPr>
              <w:t>183.01%</w:t>
            </w:r>
          </w:p>
        </w:tc>
        <w:tc>
          <w:tcPr>
            <w:tcW w:w="1291" w:type="dxa"/>
            <w:vAlign w:val="center"/>
          </w:tcPr>
          <w:p w:rsidR="00954508" w:rsidRDefault="005E1C3C">
            <w:pPr>
              <w:jc w:val="right"/>
            </w:pPr>
            <w:r>
              <w:rPr>
                <w:rFonts w:eastAsiaTheme="minorEastAsia"/>
                <w:color w:val="000000" w:themeColor="text1"/>
                <w:szCs w:val="21"/>
              </w:rPr>
              <w:t>1.14%</w:t>
            </w:r>
          </w:p>
        </w:tc>
      </w:tr>
      <w:tr w:rsidR="00954508">
        <w:tc>
          <w:tcPr>
            <w:tcW w:w="1290" w:type="dxa"/>
            <w:vAlign w:val="center"/>
          </w:tcPr>
          <w:p w:rsidR="00954508" w:rsidRDefault="005E1C3C">
            <w:pPr>
              <w:jc w:val="left"/>
            </w:pPr>
            <w:r>
              <w:rPr>
                <w:rFonts w:eastAsiaTheme="minorEastAsia"/>
                <w:color w:val="000000" w:themeColor="text1"/>
                <w:szCs w:val="21"/>
              </w:rPr>
              <w:t>过去五年</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r>
      <w:tr w:rsidR="00954508">
        <w:tc>
          <w:tcPr>
            <w:tcW w:w="1290" w:type="dxa"/>
            <w:vAlign w:val="center"/>
          </w:tcPr>
          <w:p w:rsidR="00954508" w:rsidRDefault="005E1C3C">
            <w:pPr>
              <w:jc w:val="left"/>
            </w:pPr>
            <w:r>
              <w:rPr>
                <w:rFonts w:eastAsiaTheme="minorEastAsia"/>
                <w:color w:val="000000" w:themeColor="text1"/>
                <w:szCs w:val="21"/>
              </w:rPr>
              <w:t>自基金合同生效起至今</w:t>
            </w:r>
          </w:p>
        </w:tc>
        <w:tc>
          <w:tcPr>
            <w:tcW w:w="1291" w:type="dxa"/>
            <w:vAlign w:val="center"/>
          </w:tcPr>
          <w:p w:rsidR="00954508" w:rsidRDefault="005E1C3C">
            <w:pPr>
              <w:jc w:val="right"/>
            </w:pPr>
            <w:r>
              <w:rPr>
                <w:rFonts w:eastAsiaTheme="minorEastAsia"/>
                <w:color w:val="000000" w:themeColor="text1"/>
                <w:szCs w:val="21"/>
              </w:rPr>
              <w:t>191.06%</w:t>
            </w:r>
          </w:p>
        </w:tc>
        <w:tc>
          <w:tcPr>
            <w:tcW w:w="1291" w:type="dxa"/>
            <w:vAlign w:val="center"/>
          </w:tcPr>
          <w:p w:rsidR="00954508" w:rsidRDefault="005E1C3C">
            <w:pPr>
              <w:jc w:val="right"/>
            </w:pPr>
            <w:r>
              <w:rPr>
                <w:rFonts w:eastAsiaTheme="minorEastAsia"/>
                <w:color w:val="000000" w:themeColor="text1"/>
                <w:szCs w:val="21"/>
              </w:rPr>
              <w:t>2.09%</w:t>
            </w:r>
          </w:p>
        </w:tc>
        <w:tc>
          <w:tcPr>
            <w:tcW w:w="1291" w:type="dxa"/>
            <w:vAlign w:val="center"/>
          </w:tcPr>
          <w:p w:rsidR="00954508" w:rsidRDefault="005E1C3C">
            <w:pPr>
              <w:jc w:val="right"/>
            </w:pPr>
            <w:r>
              <w:rPr>
                <w:rFonts w:eastAsiaTheme="minorEastAsia"/>
                <w:color w:val="000000" w:themeColor="text1"/>
                <w:szCs w:val="21"/>
              </w:rPr>
              <w:t>29.25%</w:t>
            </w:r>
          </w:p>
        </w:tc>
        <w:tc>
          <w:tcPr>
            <w:tcW w:w="1291" w:type="dxa"/>
            <w:vAlign w:val="center"/>
          </w:tcPr>
          <w:p w:rsidR="00954508" w:rsidRDefault="005E1C3C">
            <w:pPr>
              <w:jc w:val="right"/>
            </w:pPr>
            <w:r>
              <w:rPr>
                <w:rFonts w:eastAsiaTheme="minorEastAsia"/>
                <w:color w:val="000000" w:themeColor="text1"/>
                <w:szCs w:val="21"/>
              </w:rPr>
              <w:t>1.03%</w:t>
            </w:r>
          </w:p>
        </w:tc>
        <w:tc>
          <w:tcPr>
            <w:tcW w:w="1291" w:type="dxa"/>
            <w:vAlign w:val="center"/>
          </w:tcPr>
          <w:p w:rsidR="00954508" w:rsidRDefault="005E1C3C">
            <w:pPr>
              <w:jc w:val="right"/>
            </w:pPr>
            <w:r>
              <w:rPr>
                <w:rFonts w:eastAsiaTheme="minorEastAsia"/>
                <w:color w:val="000000" w:themeColor="text1"/>
                <w:szCs w:val="21"/>
              </w:rPr>
              <w:t>161.81%</w:t>
            </w:r>
          </w:p>
        </w:tc>
        <w:tc>
          <w:tcPr>
            <w:tcW w:w="1291" w:type="dxa"/>
            <w:vAlign w:val="center"/>
          </w:tcPr>
          <w:p w:rsidR="00954508" w:rsidRDefault="005E1C3C">
            <w:pPr>
              <w:jc w:val="right"/>
            </w:pPr>
            <w:r>
              <w:rPr>
                <w:rFonts w:eastAsiaTheme="minorEastAsia"/>
                <w:color w:val="000000" w:themeColor="text1"/>
                <w:szCs w:val="21"/>
              </w:rPr>
              <w:t>1.06%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上投摩根动力精选混合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54508">
        <w:tc>
          <w:tcPr>
            <w:tcW w:w="1290" w:type="dxa"/>
            <w:vAlign w:val="center"/>
          </w:tcPr>
          <w:p w:rsidR="00954508" w:rsidRDefault="005E1C3C">
            <w:pPr>
              <w:jc w:val="left"/>
            </w:pPr>
            <w:r>
              <w:rPr>
                <w:rFonts w:eastAsiaTheme="minorEastAsia"/>
                <w:color w:val="000000" w:themeColor="text1"/>
                <w:szCs w:val="21"/>
              </w:rPr>
              <w:t>过去三个月</w:t>
            </w:r>
          </w:p>
        </w:tc>
        <w:tc>
          <w:tcPr>
            <w:tcW w:w="1291" w:type="dxa"/>
            <w:vAlign w:val="center"/>
          </w:tcPr>
          <w:p w:rsidR="00954508" w:rsidRDefault="005E1C3C">
            <w:pPr>
              <w:jc w:val="right"/>
            </w:pPr>
            <w:r>
              <w:rPr>
                <w:rFonts w:eastAsiaTheme="minorEastAsia"/>
                <w:color w:val="000000" w:themeColor="text1"/>
                <w:szCs w:val="21"/>
              </w:rPr>
              <w:t>-16.76%</w:t>
            </w:r>
          </w:p>
        </w:tc>
        <w:tc>
          <w:tcPr>
            <w:tcW w:w="1291" w:type="dxa"/>
            <w:vAlign w:val="center"/>
          </w:tcPr>
          <w:p w:rsidR="00954508" w:rsidRDefault="005E1C3C">
            <w:pPr>
              <w:jc w:val="right"/>
            </w:pPr>
            <w:r>
              <w:rPr>
                <w:rFonts w:eastAsiaTheme="minorEastAsia"/>
                <w:color w:val="000000" w:themeColor="text1"/>
                <w:szCs w:val="21"/>
              </w:rPr>
              <w:t>2.53%</w:t>
            </w:r>
          </w:p>
        </w:tc>
        <w:tc>
          <w:tcPr>
            <w:tcW w:w="1291" w:type="dxa"/>
            <w:vAlign w:val="center"/>
          </w:tcPr>
          <w:p w:rsidR="00954508" w:rsidRDefault="005E1C3C">
            <w:pPr>
              <w:jc w:val="right"/>
            </w:pPr>
            <w:r>
              <w:rPr>
                <w:rFonts w:eastAsiaTheme="minorEastAsia"/>
                <w:color w:val="000000" w:themeColor="text1"/>
                <w:szCs w:val="21"/>
              </w:rPr>
              <w:t>-11.59%</w:t>
            </w:r>
          </w:p>
        </w:tc>
        <w:tc>
          <w:tcPr>
            <w:tcW w:w="1291" w:type="dxa"/>
            <w:vAlign w:val="center"/>
          </w:tcPr>
          <w:p w:rsidR="00954508" w:rsidRDefault="005E1C3C">
            <w:pPr>
              <w:jc w:val="right"/>
            </w:pPr>
            <w:r>
              <w:rPr>
                <w:rFonts w:eastAsiaTheme="minorEastAsia"/>
                <w:color w:val="000000" w:themeColor="text1"/>
                <w:szCs w:val="21"/>
              </w:rPr>
              <w:t>1.16%</w:t>
            </w:r>
          </w:p>
        </w:tc>
        <w:tc>
          <w:tcPr>
            <w:tcW w:w="1291" w:type="dxa"/>
            <w:vAlign w:val="center"/>
          </w:tcPr>
          <w:p w:rsidR="00954508" w:rsidRDefault="005E1C3C">
            <w:pPr>
              <w:jc w:val="right"/>
            </w:pPr>
            <w:r>
              <w:rPr>
                <w:rFonts w:eastAsiaTheme="minorEastAsia"/>
                <w:color w:val="000000" w:themeColor="text1"/>
                <w:szCs w:val="21"/>
              </w:rPr>
              <w:t>-5.17%</w:t>
            </w:r>
          </w:p>
        </w:tc>
        <w:tc>
          <w:tcPr>
            <w:tcW w:w="1291" w:type="dxa"/>
            <w:vAlign w:val="center"/>
          </w:tcPr>
          <w:p w:rsidR="00954508" w:rsidRDefault="005E1C3C">
            <w:pPr>
              <w:jc w:val="right"/>
            </w:pPr>
            <w:r>
              <w:rPr>
                <w:rFonts w:eastAsiaTheme="minorEastAsia"/>
                <w:color w:val="000000" w:themeColor="text1"/>
                <w:szCs w:val="21"/>
              </w:rPr>
              <w:t>1.37%</w:t>
            </w:r>
          </w:p>
        </w:tc>
      </w:tr>
      <w:tr w:rsidR="00954508">
        <w:tc>
          <w:tcPr>
            <w:tcW w:w="1290" w:type="dxa"/>
            <w:vAlign w:val="center"/>
          </w:tcPr>
          <w:p w:rsidR="00954508" w:rsidRDefault="005E1C3C">
            <w:pPr>
              <w:jc w:val="left"/>
            </w:pPr>
            <w:r>
              <w:rPr>
                <w:rFonts w:eastAsiaTheme="minorEastAsia"/>
                <w:color w:val="000000" w:themeColor="text1"/>
                <w:szCs w:val="21"/>
              </w:rPr>
              <w:lastRenderedPageBreak/>
              <w:t>过去六个月</w:t>
            </w:r>
          </w:p>
        </w:tc>
        <w:tc>
          <w:tcPr>
            <w:tcW w:w="1291" w:type="dxa"/>
            <w:vAlign w:val="center"/>
          </w:tcPr>
          <w:p w:rsidR="00954508" w:rsidRDefault="005E1C3C">
            <w:pPr>
              <w:jc w:val="right"/>
            </w:pPr>
            <w:r>
              <w:rPr>
                <w:rFonts w:eastAsiaTheme="minorEastAsia"/>
                <w:color w:val="000000" w:themeColor="text1"/>
                <w:szCs w:val="21"/>
              </w:rPr>
              <w:t>-20.00%</w:t>
            </w:r>
          </w:p>
        </w:tc>
        <w:tc>
          <w:tcPr>
            <w:tcW w:w="1291" w:type="dxa"/>
            <w:vAlign w:val="center"/>
          </w:tcPr>
          <w:p w:rsidR="00954508" w:rsidRDefault="005E1C3C">
            <w:pPr>
              <w:jc w:val="right"/>
            </w:pPr>
            <w:r>
              <w:rPr>
                <w:rFonts w:eastAsiaTheme="minorEastAsia"/>
                <w:color w:val="000000" w:themeColor="text1"/>
                <w:szCs w:val="21"/>
              </w:rPr>
              <w:t>2.29%</w:t>
            </w:r>
          </w:p>
        </w:tc>
        <w:tc>
          <w:tcPr>
            <w:tcW w:w="1291" w:type="dxa"/>
            <w:vAlign w:val="center"/>
          </w:tcPr>
          <w:p w:rsidR="00954508" w:rsidRDefault="005E1C3C">
            <w:pPr>
              <w:jc w:val="right"/>
            </w:pPr>
            <w:r>
              <w:rPr>
                <w:rFonts w:eastAsiaTheme="minorEastAsia"/>
                <w:color w:val="000000" w:themeColor="text1"/>
                <w:szCs w:val="21"/>
              </w:rPr>
              <w:t>-10.06%</w:t>
            </w:r>
          </w:p>
        </w:tc>
        <w:tc>
          <w:tcPr>
            <w:tcW w:w="1291" w:type="dxa"/>
            <w:vAlign w:val="center"/>
          </w:tcPr>
          <w:p w:rsidR="00954508" w:rsidRDefault="005E1C3C">
            <w:pPr>
              <w:jc w:val="right"/>
            </w:pPr>
            <w:r>
              <w:rPr>
                <w:rFonts w:eastAsiaTheme="minorEastAsia"/>
                <w:color w:val="000000" w:themeColor="text1"/>
                <w:szCs w:val="21"/>
              </w:rPr>
              <w:t>0.91%</w:t>
            </w:r>
          </w:p>
        </w:tc>
        <w:tc>
          <w:tcPr>
            <w:tcW w:w="1291" w:type="dxa"/>
            <w:vAlign w:val="center"/>
          </w:tcPr>
          <w:p w:rsidR="00954508" w:rsidRDefault="005E1C3C">
            <w:pPr>
              <w:jc w:val="right"/>
            </w:pPr>
            <w:r>
              <w:rPr>
                <w:rFonts w:eastAsiaTheme="minorEastAsia"/>
                <w:color w:val="000000" w:themeColor="text1"/>
                <w:szCs w:val="21"/>
              </w:rPr>
              <w:t>-9.94%</w:t>
            </w:r>
          </w:p>
        </w:tc>
        <w:tc>
          <w:tcPr>
            <w:tcW w:w="1291" w:type="dxa"/>
            <w:vAlign w:val="center"/>
          </w:tcPr>
          <w:p w:rsidR="00954508" w:rsidRDefault="005E1C3C">
            <w:pPr>
              <w:jc w:val="right"/>
            </w:pPr>
            <w:r>
              <w:rPr>
                <w:rFonts w:eastAsiaTheme="minorEastAsia"/>
                <w:color w:val="000000" w:themeColor="text1"/>
                <w:szCs w:val="21"/>
              </w:rPr>
              <w:t>1.38%</w:t>
            </w:r>
          </w:p>
        </w:tc>
      </w:tr>
      <w:tr w:rsidR="00954508">
        <w:tc>
          <w:tcPr>
            <w:tcW w:w="1290" w:type="dxa"/>
            <w:vAlign w:val="center"/>
          </w:tcPr>
          <w:p w:rsidR="00954508" w:rsidRDefault="005E1C3C">
            <w:pPr>
              <w:jc w:val="left"/>
            </w:pPr>
            <w:r>
              <w:rPr>
                <w:rFonts w:eastAsiaTheme="minorEastAsia"/>
                <w:color w:val="000000" w:themeColor="text1"/>
                <w:szCs w:val="21"/>
              </w:rPr>
              <w:t>过去一年</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r>
      <w:tr w:rsidR="00954508">
        <w:tc>
          <w:tcPr>
            <w:tcW w:w="1290" w:type="dxa"/>
            <w:vAlign w:val="center"/>
          </w:tcPr>
          <w:p w:rsidR="00954508" w:rsidRDefault="005E1C3C">
            <w:pPr>
              <w:jc w:val="left"/>
            </w:pPr>
            <w:r>
              <w:rPr>
                <w:rFonts w:eastAsiaTheme="minorEastAsia"/>
                <w:color w:val="000000" w:themeColor="text1"/>
                <w:szCs w:val="21"/>
              </w:rPr>
              <w:t>过去三年</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r>
      <w:tr w:rsidR="00954508">
        <w:tc>
          <w:tcPr>
            <w:tcW w:w="1290" w:type="dxa"/>
            <w:vAlign w:val="center"/>
          </w:tcPr>
          <w:p w:rsidR="00954508" w:rsidRDefault="005E1C3C">
            <w:pPr>
              <w:jc w:val="left"/>
            </w:pPr>
            <w:r>
              <w:rPr>
                <w:rFonts w:eastAsiaTheme="minorEastAsia"/>
                <w:color w:val="000000" w:themeColor="text1"/>
                <w:szCs w:val="21"/>
              </w:rPr>
              <w:t>过去五年</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c>
          <w:tcPr>
            <w:tcW w:w="1291" w:type="dxa"/>
            <w:vAlign w:val="center"/>
          </w:tcPr>
          <w:p w:rsidR="00954508" w:rsidRDefault="005E1C3C">
            <w:pPr>
              <w:jc w:val="right"/>
            </w:pPr>
            <w:r>
              <w:rPr>
                <w:rFonts w:eastAsiaTheme="minorEastAsia"/>
                <w:color w:val="000000" w:themeColor="text1"/>
                <w:szCs w:val="21"/>
              </w:rPr>
              <w:t>-</w:t>
            </w:r>
          </w:p>
        </w:tc>
      </w:tr>
      <w:tr w:rsidR="00954508">
        <w:tc>
          <w:tcPr>
            <w:tcW w:w="1290" w:type="dxa"/>
            <w:vAlign w:val="center"/>
          </w:tcPr>
          <w:p w:rsidR="00954508" w:rsidRDefault="005E1C3C">
            <w:pPr>
              <w:jc w:val="left"/>
            </w:pPr>
            <w:r>
              <w:rPr>
                <w:rFonts w:eastAsiaTheme="minorEastAsia"/>
                <w:color w:val="000000" w:themeColor="text1"/>
                <w:szCs w:val="21"/>
              </w:rPr>
              <w:t>自基金合同生效起至今</w:t>
            </w:r>
          </w:p>
        </w:tc>
        <w:tc>
          <w:tcPr>
            <w:tcW w:w="1291" w:type="dxa"/>
            <w:vAlign w:val="center"/>
          </w:tcPr>
          <w:p w:rsidR="00954508" w:rsidRDefault="005E1C3C">
            <w:pPr>
              <w:jc w:val="right"/>
            </w:pPr>
            <w:r>
              <w:rPr>
                <w:rFonts w:eastAsiaTheme="minorEastAsia"/>
                <w:color w:val="000000" w:themeColor="text1"/>
                <w:szCs w:val="21"/>
              </w:rPr>
              <w:t>-15.56%</w:t>
            </w:r>
          </w:p>
        </w:tc>
        <w:tc>
          <w:tcPr>
            <w:tcW w:w="1291" w:type="dxa"/>
            <w:vAlign w:val="center"/>
          </w:tcPr>
          <w:p w:rsidR="00954508" w:rsidRDefault="005E1C3C">
            <w:pPr>
              <w:jc w:val="right"/>
            </w:pPr>
            <w:r>
              <w:rPr>
                <w:rFonts w:eastAsiaTheme="minorEastAsia"/>
                <w:color w:val="000000" w:themeColor="text1"/>
                <w:szCs w:val="21"/>
              </w:rPr>
              <w:t>2.45%</w:t>
            </w:r>
          </w:p>
        </w:tc>
        <w:tc>
          <w:tcPr>
            <w:tcW w:w="1291" w:type="dxa"/>
            <w:vAlign w:val="center"/>
          </w:tcPr>
          <w:p w:rsidR="00954508" w:rsidRDefault="005E1C3C">
            <w:pPr>
              <w:jc w:val="right"/>
            </w:pPr>
            <w:r>
              <w:rPr>
                <w:rFonts w:eastAsiaTheme="minorEastAsia"/>
                <w:color w:val="000000" w:themeColor="text1"/>
                <w:szCs w:val="21"/>
              </w:rPr>
              <w:t>-8.64%</w:t>
            </w:r>
          </w:p>
        </w:tc>
        <w:tc>
          <w:tcPr>
            <w:tcW w:w="1291" w:type="dxa"/>
            <w:vAlign w:val="center"/>
          </w:tcPr>
          <w:p w:rsidR="00954508" w:rsidRDefault="005E1C3C">
            <w:pPr>
              <w:jc w:val="right"/>
            </w:pPr>
            <w:r>
              <w:rPr>
                <w:rFonts w:eastAsiaTheme="minorEastAsia"/>
                <w:color w:val="000000" w:themeColor="text1"/>
                <w:szCs w:val="21"/>
              </w:rPr>
              <w:t>0.88%</w:t>
            </w:r>
          </w:p>
        </w:tc>
        <w:tc>
          <w:tcPr>
            <w:tcW w:w="1291" w:type="dxa"/>
            <w:vAlign w:val="center"/>
          </w:tcPr>
          <w:p w:rsidR="00954508" w:rsidRDefault="005E1C3C">
            <w:pPr>
              <w:jc w:val="right"/>
            </w:pPr>
            <w:r>
              <w:rPr>
                <w:rFonts w:eastAsiaTheme="minorEastAsia"/>
                <w:color w:val="000000" w:themeColor="text1"/>
                <w:szCs w:val="21"/>
              </w:rPr>
              <w:t>-6.92%</w:t>
            </w:r>
          </w:p>
        </w:tc>
        <w:tc>
          <w:tcPr>
            <w:tcW w:w="1291" w:type="dxa"/>
            <w:vAlign w:val="center"/>
          </w:tcPr>
          <w:p w:rsidR="00954508" w:rsidRDefault="005E1C3C">
            <w:pPr>
              <w:jc w:val="right"/>
            </w:pPr>
            <w:r>
              <w:rPr>
                <w:rFonts w:eastAsiaTheme="minorEastAsia"/>
                <w:color w:val="000000" w:themeColor="text1"/>
                <w:szCs w:val="21"/>
              </w:rPr>
              <w:t>1.57%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上投摩根动力精选混合型证券投资基金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．上投摩根动力精选混合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．上投摩根动力精选混合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日，图示的时间段为本类份额生效日至本报告期末。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54508">
        <w:tc>
          <w:tcPr>
            <w:tcW w:w="952" w:type="dxa"/>
            <w:vAlign w:val="center"/>
          </w:tcPr>
          <w:p w:rsidR="00954508" w:rsidRDefault="005E1C3C">
            <w:pPr>
              <w:jc w:val="center"/>
            </w:pPr>
            <w:r>
              <w:rPr>
                <w:rFonts w:eastAsiaTheme="minorEastAsia"/>
                <w:color w:val="000000" w:themeColor="text1"/>
                <w:szCs w:val="21"/>
              </w:rPr>
              <w:t>郭晨</w:t>
            </w:r>
          </w:p>
        </w:tc>
        <w:tc>
          <w:tcPr>
            <w:tcW w:w="930" w:type="dxa"/>
            <w:vAlign w:val="center"/>
          </w:tcPr>
          <w:p w:rsidR="00954508" w:rsidRDefault="005E1C3C">
            <w:pPr>
              <w:jc w:val="center"/>
            </w:pPr>
            <w:r>
              <w:rPr>
                <w:rFonts w:eastAsiaTheme="minorEastAsia"/>
                <w:color w:val="000000" w:themeColor="text1"/>
                <w:szCs w:val="21"/>
              </w:rPr>
              <w:t>本基金基金经理</w:t>
            </w:r>
          </w:p>
        </w:tc>
        <w:tc>
          <w:tcPr>
            <w:tcW w:w="1210" w:type="dxa"/>
            <w:vAlign w:val="center"/>
          </w:tcPr>
          <w:p w:rsidR="00954508" w:rsidRDefault="005E1C3C">
            <w:pPr>
              <w:jc w:val="center"/>
            </w:pPr>
            <w:r>
              <w:rPr>
                <w:rFonts w:eastAsiaTheme="minorEastAsia"/>
                <w:color w:val="000000" w:themeColor="text1"/>
                <w:szCs w:val="21"/>
              </w:rPr>
              <w:t>2021-10-29</w:t>
            </w:r>
          </w:p>
        </w:tc>
        <w:tc>
          <w:tcPr>
            <w:tcW w:w="1309" w:type="dxa"/>
            <w:vAlign w:val="center"/>
          </w:tcPr>
          <w:p w:rsidR="00954508" w:rsidRDefault="005E1C3C">
            <w:pPr>
              <w:jc w:val="center"/>
            </w:pPr>
            <w:r>
              <w:rPr>
                <w:rFonts w:eastAsiaTheme="minorEastAsia"/>
                <w:color w:val="000000" w:themeColor="text1"/>
                <w:szCs w:val="21"/>
              </w:rPr>
              <w:t>-</w:t>
            </w:r>
          </w:p>
        </w:tc>
        <w:tc>
          <w:tcPr>
            <w:tcW w:w="1254" w:type="dxa"/>
            <w:vAlign w:val="center"/>
          </w:tcPr>
          <w:p w:rsidR="00954508" w:rsidRDefault="005E1C3C">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954508" w:rsidRDefault="005E1C3C">
            <w:r>
              <w:rPr>
                <w:rFonts w:eastAsiaTheme="minorEastAsia"/>
                <w:color w:val="000000" w:themeColor="text1"/>
                <w:szCs w:val="21"/>
              </w:rPr>
              <w:t>郭晨先生，自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月在平安资产管理有限公司担任分析师；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月在东吴基金管理有限公司担任研究员；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月在华富基金管理有限公司先后担任基金经理助理、基金经理。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月起加入上投摩根基金管理有限公司并担任基金经理、国内权益投资部动力组组长兼资深基金经理，自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w:t>
            </w:r>
            <w:r>
              <w:rPr>
                <w:rFonts w:eastAsiaTheme="minorEastAsia"/>
                <w:color w:val="000000" w:themeColor="text1"/>
                <w:szCs w:val="21"/>
              </w:rPr>
              <w:lastRenderedPageBreak/>
              <w:t>担任上投摩根中小盘混合型证券投资基金基金经理，自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月起同时担任上投摩根智慧互联股票型证券投资基金基金经理，自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月起同时担任上投摩根新兴服务股票</w:t>
            </w:r>
            <w:r>
              <w:rPr>
                <w:rFonts w:eastAsiaTheme="minorEastAsia"/>
                <w:color w:val="000000" w:themeColor="text1"/>
                <w:szCs w:val="21"/>
              </w:rPr>
              <w:t>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月起同时担任上投摩根创新商业模式灵活配置混合型证券投资基金基金经理，自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月起同时担任上投摩根优势成长混合型证券投资基金基金经理，自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月起同时担任上投摩根动力精选混合型证券投资基金基金经理。</w:t>
            </w:r>
          </w:p>
        </w:tc>
      </w:tr>
    </w:tbl>
    <w:p w:rsidR="00954508" w:rsidRDefault="005E1C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动力精选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w:t>
      </w:r>
      <w:r>
        <w:rPr>
          <w:rFonts w:eastAsiaTheme="minorEastAsia"/>
          <w:color w:val="000000" w:themeColor="text1"/>
          <w:szCs w:val="21"/>
        </w:rPr>
        <w:t>、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w:t>
      </w:r>
      <w:r>
        <w:rPr>
          <w:rFonts w:eastAsiaTheme="minorEastAsia"/>
          <w:color w:val="000000" w:themeColor="text1"/>
          <w:szCs w:val="21"/>
        </w:rPr>
        <w:t>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2022</w:t>
      </w:r>
      <w:r>
        <w:rPr>
          <w:rFonts w:eastAsiaTheme="minorEastAsia"/>
          <w:color w:val="000000" w:themeColor="text1"/>
          <w:szCs w:val="21"/>
        </w:rPr>
        <w:t>年一季度沪深</w:t>
      </w:r>
      <w:r>
        <w:rPr>
          <w:rFonts w:eastAsiaTheme="minorEastAsia"/>
          <w:color w:val="000000" w:themeColor="text1"/>
          <w:szCs w:val="21"/>
        </w:rPr>
        <w:t xml:space="preserve"> 300 </w:t>
      </w:r>
      <w:r>
        <w:rPr>
          <w:rFonts w:eastAsiaTheme="minorEastAsia"/>
          <w:color w:val="000000" w:themeColor="text1"/>
          <w:szCs w:val="21"/>
        </w:rPr>
        <w:t>指数下跌</w:t>
      </w:r>
      <w:r>
        <w:rPr>
          <w:rFonts w:eastAsiaTheme="minorEastAsia"/>
          <w:color w:val="000000" w:themeColor="text1"/>
          <w:szCs w:val="21"/>
        </w:rPr>
        <w:t>14.53%</w:t>
      </w:r>
      <w:r>
        <w:rPr>
          <w:rFonts w:eastAsiaTheme="minorEastAsia"/>
          <w:color w:val="000000" w:themeColor="text1"/>
          <w:szCs w:val="21"/>
        </w:rPr>
        <w:t>，市场处于单边下跌的状态，是近些年来表现最差的季度之一。一季度国际局势和国内经济基本面都出现了一些问题，俄乌战争出乎意料的爆发，导致大宗商品价格暴涨，下游制造业成本压力加大，国际局势的混乱导致全球产业链恢复更加迟缓。中美博弈继续，市场担心中概股从美国大规模退市，导致海外中概股和香港市场大跌。国内疫情出现反复，深圳、上海、吉林等省市均出现了较大规模的疫情，国内经济雪上加霜。</w:t>
      </w:r>
      <w:r>
        <w:rPr>
          <w:rFonts w:eastAsiaTheme="minorEastAsia"/>
          <w:color w:val="000000" w:themeColor="text1"/>
          <w:szCs w:val="21"/>
        </w:rPr>
        <w:t>2</w:t>
      </w:r>
      <w:r>
        <w:rPr>
          <w:rFonts w:eastAsiaTheme="minorEastAsia"/>
          <w:color w:val="000000" w:themeColor="text1"/>
          <w:szCs w:val="21"/>
        </w:rPr>
        <w:t>月以来没有出现降准降息的货币政策，市场担忧今年</w:t>
      </w:r>
      <w:r>
        <w:rPr>
          <w:rFonts w:eastAsiaTheme="minorEastAsia"/>
          <w:color w:val="000000" w:themeColor="text1"/>
          <w:szCs w:val="21"/>
        </w:rPr>
        <w:t>5.5%</w:t>
      </w:r>
      <w:r>
        <w:rPr>
          <w:rFonts w:eastAsiaTheme="minorEastAsia"/>
          <w:color w:val="000000" w:themeColor="text1"/>
          <w:szCs w:val="21"/>
        </w:rPr>
        <w:t>的经济增速目标能否实现，宏观经济可能出现滞涨局面。另外，一季度</w:t>
      </w:r>
      <w:r>
        <w:rPr>
          <w:rFonts w:eastAsiaTheme="minorEastAsia"/>
          <w:color w:val="000000" w:themeColor="text1"/>
          <w:szCs w:val="21"/>
        </w:rPr>
        <w:t>基金销售达到冰点，机构没有增量资金的支持。在这种不确定性大幅增加的环境下，市场风险偏好急剧下降，机构重仓的成长股和消费股都出现大幅回调，如半导体、</w:t>
      </w:r>
      <w:r>
        <w:rPr>
          <w:rFonts w:eastAsiaTheme="minorEastAsia"/>
          <w:color w:val="000000" w:themeColor="text1"/>
          <w:szCs w:val="21"/>
        </w:rPr>
        <w:t>CXO</w:t>
      </w:r>
      <w:r>
        <w:rPr>
          <w:rFonts w:eastAsiaTheme="minorEastAsia"/>
          <w:color w:val="000000" w:themeColor="text1"/>
          <w:szCs w:val="21"/>
        </w:rPr>
        <w:t>、食品饮料、军工等，而机构持仓较少的主题性行业相对表现较好，比如以周期和房地产为代表的稳增长行业，以检测试剂、疫苗、新冠药物为代表的防疫股。</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新能源汽车行业继续保持高景气度，上游原材料价格大幅上涨，中下游成本有抬升压力，整车环节出现涨价，但从目前跟踪情况看，消费者对涨价的承受力很强，新能源车销量并没有受到太大影响，这表明新能源车已经是大势所趋，其性能、</w:t>
      </w:r>
      <w:r>
        <w:rPr>
          <w:rFonts w:eastAsiaTheme="minorEastAsia"/>
          <w:color w:val="000000" w:themeColor="text1"/>
          <w:szCs w:val="21"/>
        </w:rPr>
        <w:t>驾乘感受、智能化水平都得到了消费者的充分认可。本基金关注高景气度的新能源行业，一季度受到市场整体系统性压力，业绩出现了一定的回撤。本基金将始终坚持价值投资思路，坚持配置新能源行业中优质的细分产业链，选择优质龙头公司长期投资。</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我们并不悲观。目前国内外出现的一些突发事件，大多是对经济的短期影响，或者市场已经有了充分的预期。俄乌战争目前看来进一步扩大范围的可能性不大，双方已经开始和谈，和平的曙光已经出现。大宗商品价格大多已经见顶回落，需求不支持大宗商品持续上涨，战争等刺激因素缓解之后，大概率回归供需</w:t>
      </w:r>
      <w:r>
        <w:rPr>
          <w:rFonts w:eastAsiaTheme="minorEastAsia"/>
          <w:color w:val="000000" w:themeColor="text1"/>
          <w:szCs w:val="21"/>
        </w:rPr>
        <w:t>基本面。国内房地产已经出现了放松的迹象，未来财</w:t>
      </w:r>
      <w:r>
        <w:rPr>
          <w:rFonts w:eastAsiaTheme="minorEastAsia"/>
          <w:color w:val="000000" w:themeColor="text1"/>
          <w:szCs w:val="21"/>
        </w:rPr>
        <w:lastRenderedPageBreak/>
        <w:t>政货币政策有望出台更多稳增长措施。疫情防治已经出现向好局面，深圳基本恢复正常生产生活，上海也开始执行严格的防控措施，逐渐恢复正常也不会太远。</w:t>
      </w:r>
      <w:r>
        <w:rPr>
          <w:rFonts w:eastAsiaTheme="minorEastAsia"/>
          <w:color w:val="000000" w:themeColor="text1"/>
          <w:szCs w:val="21"/>
        </w:rPr>
        <w:t>A</w:t>
      </w:r>
      <w:r>
        <w:rPr>
          <w:rFonts w:eastAsiaTheme="minorEastAsia"/>
          <w:color w:val="000000" w:themeColor="text1"/>
          <w:szCs w:val="21"/>
        </w:rPr>
        <w:t>股、港股、海外中概股近期的调整，使得估值处于合理甚至低估的水平，长期看，目前是一个非常难得的底部区间。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站在今天这个时点，新能源车行业在未来十年或有十倍的成长空间，行业的景气度没有发生变化，后面依然会有很多机会，调整之后应精选优质标的逢低布局。二季度新能源车销量大概率保持高速增长，进一步拉动整个产业链需求。上游原材料价格上涨势头有望减缓，下游成本可控。从头部动力电池厂商的排产规划看，锂电上游资源和下游整车及零部件预计仍将保持高景气度，中游材料大多也处于紧平衡之中。经过前期调整之后，新能源汽车产业链相关个股估值已经回到合理水平，相关个股的业绩增速预计将会继续高增长，我们将深入研究产业，挖掘估值和业绩相对匹配的个股，力争为基金持有人创造持续超额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本报告期上投摩根动力精选混合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:-16.68%</w:t>
      </w:r>
      <w:r>
        <w:rPr>
          <w:rFonts w:eastAsiaTheme="minorEastAsia"/>
          <w:color w:val="000000" w:themeColor="text1"/>
          <w:szCs w:val="21"/>
        </w:rPr>
        <w:t>，同期业绩比较基准收益率为</w:t>
      </w:r>
      <w:r>
        <w:rPr>
          <w:rFonts w:eastAsiaTheme="minorEastAsia"/>
          <w:color w:val="000000" w:themeColor="text1"/>
          <w:szCs w:val="21"/>
        </w:rPr>
        <w:t>:-11.59%,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:-16.76%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:-11.59%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1,134,746,435.25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90.91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1,134,746,435.25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90.91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6,299,018.66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6,299,018.66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105,127,148.29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2,090,696.79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1,248,263,298.99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26,587,540.00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1,088,954,281.35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87.78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18,901,778.00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260,570.80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34,661.90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1,134,746,435.25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91.47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54508">
        <w:tc>
          <w:tcPr>
            <w:tcW w:w="817" w:type="dxa"/>
            <w:vAlign w:val="center"/>
          </w:tcPr>
          <w:p w:rsidR="00954508" w:rsidRDefault="005E1C3C">
            <w:pPr>
              <w:jc w:val="center"/>
            </w:pPr>
            <w:r>
              <w:rPr>
                <w:rFonts w:eastAsiaTheme="minorEastAsia"/>
                <w:kern w:val="0"/>
                <w:szCs w:val="21"/>
              </w:rPr>
              <w:t>1</w:t>
            </w:r>
          </w:p>
        </w:tc>
        <w:tc>
          <w:tcPr>
            <w:tcW w:w="1276" w:type="dxa"/>
            <w:vAlign w:val="center"/>
          </w:tcPr>
          <w:p w:rsidR="00954508" w:rsidRDefault="005E1C3C">
            <w:pPr>
              <w:jc w:val="center"/>
            </w:pPr>
            <w:r>
              <w:rPr>
                <w:rFonts w:eastAsiaTheme="minorEastAsia"/>
                <w:kern w:val="0"/>
                <w:szCs w:val="21"/>
              </w:rPr>
              <w:t>300750</w:t>
            </w:r>
          </w:p>
        </w:tc>
        <w:tc>
          <w:tcPr>
            <w:tcW w:w="1701" w:type="dxa"/>
            <w:vAlign w:val="center"/>
          </w:tcPr>
          <w:p w:rsidR="00954508" w:rsidRDefault="005E1C3C">
            <w:pPr>
              <w:jc w:val="center"/>
            </w:pPr>
            <w:r>
              <w:rPr>
                <w:rFonts w:eastAsiaTheme="minorEastAsia"/>
                <w:kern w:val="0"/>
                <w:szCs w:val="21"/>
              </w:rPr>
              <w:t>宁德时代</w:t>
            </w:r>
          </w:p>
        </w:tc>
        <w:tc>
          <w:tcPr>
            <w:tcW w:w="1276" w:type="dxa"/>
            <w:vAlign w:val="center"/>
          </w:tcPr>
          <w:p w:rsidR="00954508" w:rsidRDefault="005E1C3C">
            <w:pPr>
              <w:jc w:val="right"/>
            </w:pPr>
            <w:r>
              <w:rPr>
                <w:rFonts w:eastAsiaTheme="minorEastAsia"/>
                <w:kern w:val="0"/>
                <w:szCs w:val="21"/>
              </w:rPr>
              <w:t>215,960.00</w:t>
            </w:r>
          </w:p>
        </w:tc>
        <w:tc>
          <w:tcPr>
            <w:tcW w:w="1842" w:type="dxa"/>
            <w:vAlign w:val="center"/>
          </w:tcPr>
          <w:p w:rsidR="00954508" w:rsidRDefault="005E1C3C">
            <w:pPr>
              <w:jc w:val="right"/>
            </w:pPr>
            <w:r>
              <w:rPr>
                <w:rFonts w:eastAsiaTheme="minorEastAsia"/>
                <w:kern w:val="0"/>
                <w:szCs w:val="21"/>
              </w:rPr>
              <w:t>110,636,308.00</w:t>
            </w:r>
          </w:p>
        </w:tc>
        <w:tc>
          <w:tcPr>
            <w:tcW w:w="1616" w:type="dxa"/>
            <w:vAlign w:val="center"/>
          </w:tcPr>
          <w:p w:rsidR="00954508" w:rsidRDefault="005E1C3C">
            <w:pPr>
              <w:jc w:val="right"/>
            </w:pPr>
            <w:r>
              <w:rPr>
                <w:rFonts w:eastAsiaTheme="minorEastAsia"/>
                <w:kern w:val="0"/>
                <w:szCs w:val="21"/>
              </w:rPr>
              <w:t>8.92</w:t>
            </w:r>
          </w:p>
        </w:tc>
      </w:tr>
      <w:tr w:rsidR="00954508">
        <w:tc>
          <w:tcPr>
            <w:tcW w:w="817" w:type="dxa"/>
            <w:vAlign w:val="center"/>
          </w:tcPr>
          <w:p w:rsidR="00954508" w:rsidRDefault="005E1C3C">
            <w:pPr>
              <w:jc w:val="center"/>
            </w:pPr>
            <w:r>
              <w:rPr>
                <w:rFonts w:eastAsiaTheme="minorEastAsia"/>
                <w:kern w:val="0"/>
                <w:szCs w:val="21"/>
              </w:rPr>
              <w:t>2</w:t>
            </w:r>
          </w:p>
        </w:tc>
        <w:tc>
          <w:tcPr>
            <w:tcW w:w="1276" w:type="dxa"/>
            <w:vAlign w:val="center"/>
          </w:tcPr>
          <w:p w:rsidR="00954508" w:rsidRDefault="005E1C3C">
            <w:pPr>
              <w:jc w:val="center"/>
            </w:pPr>
            <w:r>
              <w:rPr>
                <w:rFonts w:eastAsiaTheme="minorEastAsia"/>
                <w:kern w:val="0"/>
                <w:szCs w:val="21"/>
              </w:rPr>
              <w:t>603799</w:t>
            </w:r>
          </w:p>
        </w:tc>
        <w:tc>
          <w:tcPr>
            <w:tcW w:w="1701" w:type="dxa"/>
            <w:vAlign w:val="center"/>
          </w:tcPr>
          <w:p w:rsidR="00954508" w:rsidRDefault="005E1C3C">
            <w:pPr>
              <w:jc w:val="center"/>
            </w:pPr>
            <w:r>
              <w:rPr>
                <w:rFonts w:eastAsiaTheme="minorEastAsia"/>
                <w:kern w:val="0"/>
                <w:szCs w:val="21"/>
              </w:rPr>
              <w:t>华友钴业</w:t>
            </w:r>
          </w:p>
        </w:tc>
        <w:tc>
          <w:tcPr>
            <w:tcW w:w="1276" w:type="dxa"/>
            <w:vAlign w:val="center"/>
          </w:tcPr>
          <w:p w:rsidR="00954508" w:rsidRDefault="005E1C3C">
            <w:pPr>
              <w:jc w:val="right"/>
            </w:pPr>
            <w:r>
              <w:rPr>
                <w:rFonts w:eastAsiaTheme="minorEastAsia"/>
                <w:kern w:val="0"/>
                <w:szCs w:val="21"/>
              </w:rPr>
              <w:t>835,065.00</w:t>
            </w:r>
          </w:p>
        </w:tc>
        <w:tc>
          <w:tcPr>
            <w:tcW w:w="1842" w:type="dxa"/>
            <w:vAlign w:val="center"/>
          </w:tcPr>
          <w:p w:rsidR="00954508" w:rsidRDefault="005E1C3C">
            <w:pPr>
              <w:jc w:val="right"/>
            </w:pPr>
            <w:r>
              <w:rPr>
                <w:rFonts w:eastAsiaTheme="minorEastAsia"/>
                <w:kern w:val="0"/>
                <w:szCs w:val="21"/>
              </w:rPr>
              <w:t>81,669,357.00</w:t>
            </w:r>
          </w:p>
        </w:tc>
        <w:tc>
          <w:tcPr>
            <w:tcW w:w="1616" w:type="dxa"/>
            <w:vAlign w:val="center"/>
          </w:tcPr>
          <w:p w:rsidR="00954508" w:rsidRDefault="005E1C3C">
            <w:pPr>
              <w:jc w:val="right"/>
            </w:pPr>
            <w:r>
              <w:rPr>
                <w:rFonts w:eastAsiaTheme="minorEastAsia"/>
                <w:kern w:val="0"/>
                <w:szCs w:val="21"/>
              </w:rPr>
              <w:t>6.58</w:t>
            </w:r>
          </w:p>
        </w:tc>
      </w:tr>
      <w:tr w:rsidR="00954508">
        <w:tc>
          <w:tcPr>
            <w:tcW w:w="817" w:type="dxa"/>
            <w:vAlign w:val="center"/>
          </w:tcPr>
          <w:p w:rsidR="00954508" w:rsidRDefault="005E1C3C">
            <w:pPr>
              <w:jc w:val="center"/>
            </w:pPr>
            <w:r>
              <w:rPr>
                <w:rFonts w:eastAsiaTheme="minorEastAsia"/>
                <w:kern w:val="0"/>
                <w:szCs w:val="21"/>
              </w:rPr>
              <w:t>3</w:t>
            </w:r>
          </w:p>
        </w:tc>
        <w:tc>
          <w:tcPr>
            <w:tcW w:w="1276" w:type="dxa"/>
            <w:vAlign w:val="center"/>
          </w:tcPr>
          <w:p w:rsidR="00954508" w:rsidRDefault="005E1C3C">
            <w:pPr>
              <w:jc w:val="center"/>
            </w:pPr>
            <w:r>
              <w:rPr>
                <w:rFonts w:eastAsiaTheme="minorEastAsia"/>
                <w:kern w:val="0"/>
                <w:szCs w:val="21"/>
              </w:rPr>
              <w:t>002709</w:t>
            </w:r>
          </w:p>
        </w:tc>
        <w:tc>
          <w:tcPr>
            <w:tcW w:w="1701" w:type="dxa"/>
            <w:vAlign w:val="center"/>
          </w:tcPr>
          <w:p w:rsidR="00954508" w:rsidRDefault="005E1C3C">
            <w:pPr>
              <w:jc w:val="center"/>
            </w:pPr>
            <w:r>
              <w:rPr>
                <w:rFonts w:eastAsiaTheme="minorEastAsia"/>
                <w:kern w:val="0"/>
                <w:szCs w:val="21"/>
              </w:rPr>
              <w:t>天赐材料</w:t>
            </w:r>
          </w:p>
        </w:tc>
        <w:tc>
          <w:tcPr>
            <w:tcW w:w="1276" w:type="dxa"/>
            <w:vAlign w:val="center"/>
          </w:tcPr>
          <w:p w:rsidR="00954508" w:rsidRDefault="005E1C3C">
            <w:pPr>
              <w:jc w:val="right"/>
            </w:pPr>
            <w:r>
              <w:rPr>
                <w:rFonts w:eastAsiaTheme="minorEastAsia"/>
                <w:kern w:val="0"/>
                <w:szCs w:val="21"/>
              </w:rPr>
              <w:t>827,555.00</w:t>
            </w:r>
          </w:p>
        </w:tc>
        <w:tc>
          <w:tcPr>
            <w:tcW w:w="1842" w:type="dxa"/>
            <w:vAlign w:val="center"/>
          </w:tcPr>
          <w:p w:rsidR="00954508" w:rsidRDefault="005E1C3C">
            <w:pPr>
              <w:jc w:val="right"/>
            </w:pPr>
            <w:r>
              <w:rPr>
                <w:rFonts w:eastAsiaTheme="minorEastAsia"/>
                <w:kern w:val="0"/>
                <w:szCs w:val="21"/>
              </w:rPr>
              <w:t>77,790,170.00</w:t>
            </w:r>
          </w:p>
        </w:tc>
        <w:tc>
          <w:tcPr>
            <w:tcW w:w="1616" w:type="dxa"/>
            <w:vAlign w:val="center"/>
          </w:tcPr>
          <w:p w:rsidR="00954508" w:rsidRDefault="005E1C3C">
            <w:pPr>
              <w:jc w:val="right"/>
            </w:pPr>
            <w:r>
              <w:rPr>
                <w:rFonts w:eastAsiaTheme="minorEastAsia"/>
                <w:kern w:val="0"/>
                <w:szCs w:val="21"/>
              </w:rPr>
              <w:t>6.27</w:t>
            </w:r>
          </w:p>
        </w:tc>
      </w:tr>
      <w:tr w:rsidR="00954508">
        <w:tc>
          <w:tcPr>
            <w:tcW w:w="817" w:type="dxa"/>
            <w:vAlign w:val="center"/>
          </w:tcPr>
          <w:p w:rsidR="00954508" w:rsidRDefault="005E1C3C">
            <w:pPr>
              <w:jc w:val="center"/>
            </w:pPr>
            <w:r>
              <w:rPr>
                <w:rFonts w:eastAsiaTheme="minorEastAsia"/>
                <w:kern w:val="0"/>
                <w:szCs w:val="21"/>
              </w:rPr>
              <w:t>4</w:t>
            </w:r>
          </w:p>
        </w:tc>
        <w:tc>
          <w:tcPr>
            <w:tcW w:w="1276" w:type="dxa"/>
            <w:vAlign w:val="center"/>
          </w:tcPr>
          <w:p w:rsidR="00954508" w:rsidRDefault="005E1C3C">
            <w:pPr>
              <w:jc w:val="center"/>
            </w:pPr>
            <w:r>
              <w:rPr>
                <w:rFonts w:eastAsiaTheme="minorEastAsia"/>
                <w:kern w:val="0"/>
                <w:szCs w:val="21"/>
              </w:rPr>
              <w:t>300769</w:t>
            </w:r>
          </w:p>
        </w:tc>
        <w:tc>
          <w:tcPr>
            <w:tcW w:w="1701" w:type="dxa"/>
            <w:vAlign w:val="center"/>
          </w:tcPr>
          <w:p w:rsidR="00954508" w:rsidRDefault="005E1C3C">
            <w:pPr>
              <w:jc w:val="center"/>
            </w:pPr>
            <w:r>
              <w:rPr>
                <w:rFonts w:eastAsiaTheme="minorEastAsia"/>
                <w:kern w:val="0"/>
                <w:szCs w:val="21"/>
              </w:rPr>
              <w:t>德方纳米</w:t>
            </w:r>
          </w:p>
        </w:tc>
        <w:tc>
          <w:tcPr>
            <w:tcW w:w="1276" w:type="dxa"/>
            <w:vAlign w:val="center"/>
          </w:tcPr>
          <w:p w:rsidR="00954508" w:rsidRDefault="005E1C3C">
            <w:pPr>
              <w:jc w:val="right"/>
            </w:pPr>
            <w:r>
              <w:rPr>
                <w:rFonts w:eastAsiaTheme="minorEastAsia"/>
                <w:kern w:val="0"/>
                <w:szCs w:val="21"/>
              </w:rPr>
              <w:t>136,547.00</w:t>
            </w:r>
          </w:p>
        </w:tc>
        <w:tc>
          <w:tcPr>
            <w:tcW w:w="1842" w:type="dxa"/>
            <w:vAlign w:val="center"/>
          </w:tcPr>
          <w:p w:rsidR="00954508" w:rsidRDefault="005E1C3C">
            <w:pPr>
              <w:jc w:val="right"/>
            </w:pPr>
            <w:r>
              <w:rPr>
                <w:rFonts w:eastAsiaTheme="minorEastAsia"/>
                <w:kern w:val="0"/>
                <w:szCs w:val="21"/>
              </w:rPr>
              <w:t>77,654,278.90</w:t>
            </w:r>
          </w:p>
        </w:tc>
        <w:tc>
          <w:tcPr>
            <w:tcW w:w="1616" w:type="dxa"/>
            <w:vAlign w:val="center"/>
          </w:tcPr>
          <w:p w:rsidR="00954508" w:rsidRDefault="005E1C3C">
            <w:pPr>
              <w:jc w:val="right"/>
            </w:pPr>
            <w:r>
              <w:rPr>
                <w:rFonts w:eastAsiaTheme="minorEastAsia"/>
                <w:kern w:val="0"/>
                <w:szCs w:val="21"/>
              </w:rPr>
              <w:t>6.26</w:t>
            </w:r>
          </w:p>
        </w:tc>
      </w:tr>
      <w:tr w:rsidR="00954508">
        <w:tc>
          <w:tcPr>
            <w:tcW w:w="817" w:type="dxa"/>
            <w:vAlign w:val="center"/>
          </w:tcPr>
          <w:p w:rsidR="00954508" w:rsidRDefault="005E1C3C">
            <w:pPr>
              <w:jc w:val="center"/>
            </w:pPr>
            <w:r>
              <w:rPr>
                <w:rFonts w:eastAsiaTheme="minorEastAsia"/>
                <w:kern w:val="0"/>
                <w:szCs w:val="21"/>
              </w:rPr>
              <w:t>5</w:t>
            </w:r>
          </w:p>
        </w:tc>
        <w:tc>
          <w:tcPr>
            <w:tcW w:w="1276" w:type="dxa"/>
            <w:vAlign w:val="center"/>
          </w:tcPr>
          <w:p w:rsidR="00954508" w:rsidRDefault="005E1C3C">
            <w:pPr>
              <w:jc w:val="center"/>
            </w:pPr>
            <w:r>
              <w:rPr>
                <w:rFonts w:eastAsiaTheme="minorEastAsia"/>
                <w:kern w:val="0"/>
                <w:szCs w:val="21"/>
              </w:rPr>
              <w:t>603659</w:t>
            </w:r>
          </w:p>
        </w:tc>
        <w:tc>
          <w:tcPr>
            <w:tcW w:w="1701" w:type="dxa"/>
            <w:vAlign w:val="center"/>
          </w:tcPr>
          <w:p w:rsidR="00954508" w:rsidRDefault="005E1C3C">
            <w:pPr>
              <w:jc w:val="center"/>
            </w:pPr>
            <w:r>
              <w:rPr>
                <w:rFonts w:eastAsiaTheme="minorEastAsia"/>
                <w:kern w:val="0"/>
                <w:szCs w:val="21"/>
              </w:rPr>
              <w:t>璞泰来</w:t>
            </w:r>
          </w:p>
        </w:tc>
        <w:tc>
          <w:tcPr>
            <w:tcW w:w="1276" w:type="dxa"/>
            <w:vAlign w:val="center"/>
          </w:tcPr>
          <w:p w:rsidR="00954508" w:rsidRDefault="005E1C3C">
            <w:pPr>
              <w:jc w:val="right"/>
            </w:pPr>
            <w:r>
              <w:rPr>
                <w:rFonts w:eastAsiaTheme="minorEastAsia"/>
                <w:kern w:val="0"/>
                <w:szCs w:val="21"/>
              </w:rPr>
              <w:t>552,530.00</w:t>
            </w:r>
          </w:p>
        </w:tc>
        <w:tc>
          <w:tcPr>
            <w:tcW w:w="1842" w:type="dxa"/>
            <w:vAlign w:val="center"/>
          </w:tcPr>
          <w:p w:rsidR="00954508" w:rsidRDefault="005E1C3C">
            <w:pPr>
              <w:jc w:val="right"/>
            </w:pPr>
            <w:r>
              <w:rPr>
                <w:rFonts w:eastAsiaTheme="minorEastAsia"/>
                <w:kern w:val="0"/>
                <w:szCs w:val="21"/>
              </w:rPr>
              <w:t>77,652,566.20</w:t>
            </w:r>
          </w:p>
        </w:tc>
        <w:tc>
          <w:tcPr>
            <w:tcW w:w="1616" w:type="dxa"/>
            <w:vAlign w:val="center"/>
          </w:tcPr>
          <w:p w:rsidR="00954508" w:rsidRDefault="005E1C3C">
            <w:pPr>
              <w:jc w:val="right"/>
            </w:pPr>
            <w:r>
              <w:rPr>
                <w:rFonts w:eastAsiaTheme="minorEastAsia"/>
                <w:kern w:val="0"/>
                <w:szCs w:val="21"/>
              </w:rPr>
              <w:t>6.26</w:t>
            </w:r>
          </w:p>
        </w:tc>
      </w:tr>
      <w:tr w:rsidR="00954508">
        <w:tc>
          <w:tcPr>
            <w:tcW w:w="817" w:type="dxa"/>
            <w:vAlign w:val="center"/>
          </w:tcPr>
          <w:p w:rsidR="00954508" w:rsidRDefault="005E1C3C">
            <w:pPr>
              <w:jc w:val="center"/>
            </w:pPr>
            <w:r>
              <w:rPr>
                <w:rFonts w:eastAsiaTheme="minorEastAsia"/>
                <w:kern w:val="0"/>
                <w:szCs w:val="21"/>
              </w:rPr>
              <w:t>6</w:t>
            </w:r>
          </w:p>
        </w:tc>
        <w:tc>
          <w:tcPr>
            <w:tcW w:w="1276" w:type="dxa"/>
            <w:vAlign w:val="center"/>
          </w:tcPr>
          <w:p w:rsidR="00954508" w:rsidRDefault="005E1C3C">
            <w:pPr>
              <w:jc w:val="center"/>
            </w:pPr>
            <w:r>
              <w:rPr>
                <w:rFonts w:eastAsiaTheme="minorEastAsia"/>
                <w:kern w:val="0"/>
                <w:szCs w:val="21"/>
              </w:rPr>
              <w:t>002594</w:t>
            </w:r>
          </w:p>
        </w:tc>
        <w:tc>
          <w:tcPr>
            <w:tcW w:w="1701" w:type="dxa"/>
            <w:vAlign w:val="center"/>
          </w:tcPr>
          <w:p w:rsidR="00954508" w:rsidRDefault="005E1C3C">
            <w:pPr>
              <w:jc w:val="center"/>
            </w:pPr>
            <w:r>
              <w:rPr>
                <w:rFonts w:eastAsiaTheme="minorEastAsia"/>
                <w:kern w:val="0"/>
                <w:szCs w:val="21"/>
              </w:rPr>
              <w:t>比亚迪</w:t>
            </w:r>
          </w:p>
        </w:tc>
        <w:tc>
          <w:tcPr>
            <w:tcW w:w="1276" w:type="dxa"/>
            <w:vAlign w:val="center"/>
          </w:tcPr>
          <w:p w:rsidR="00954508" w:rsidRDefault="005E1C3C">
            <w:pPr>
              <w:jc w:val="right"/>
            </w:pPr>
            <w:r>
              <w:rPr>
                <w:rFonts w:eastAsiaTheme="minorEastAsia"/>
                <w:kern w:val="0"/>
                <w:szCs w:val="21"/>
              </w:rPr>
              <w:t>328,124.00</w:t>
            </w:r>
          </w:p>
        </w:tc>
        <w:tc>
          <w:tcPr>
            <w:tcW w:w="1842" w:type="dxa"/>
            <w:vAlign w:val="center"/>
          </w:tcPr>
          <w:p w:rsidR="00954508" w:rsidRDefault="005E1C3C">
            <w:pPr>
              <w:jc w:val="right"/>
            </w:pPr>
            <w:r>
              <w:rPr>
                <w:rFonts w:eastAsiaTheme="minorEastAsia"/>
                <w:kern w:val="0"/>
                <w:szCs w:val="21"/>
              </w:rPr>
              <w:t>75,402,895.20</w:t>
            </w:r>
          </w:p>
        </w:tc>
        <w:tc>
          <w:tcPr>
            <w:tcW w:w="1616" w:type="dxa"/>
            <w:vAlign w:val="center"/>
          </w:tcPr>
          <w:p w:rsidR="00954508" w:rsidRDefault="005E1C3C">
            <w:pPr>
              <w:jc w:val="right"/>
            </w:pPr>
            <w:r>
              <w:rPr>
                <w:rFonts w:eastAsiaTheme="minorEastAsia"/>
                <w:kern w:val="0"/>
                <w:szCs w:val="21"/>
              </w:rPr>
              <w:t>6.08</w:t>
            </w:r>
          </w:p>
        </w:tc>
      </w:tr>
      <w:tr w:rsidR="00954508">
        <w:tc>
          <w:tcPr>
            <w:tcW w:w="817" w:type="dxa"/>
            <w:vAlign w:val="center"/>
          </w:tcPr>
          <w:p w:rsidR="00954508" w:rsidRDefault="005E1C3C">
            <w:pPr>
              <w:jc w:val="center"/>
            </w:pPr>
            <w:r>
              <w:rPr>
                <w:rFonts w:eastAsiaTheme="minorEastAsia"/>
                <w:kern w:val="0"/>
                <w:szCs w:val="21"/>
              </w:rPr>
              <w:t>7</w:t>
            </w:r>
          </w:p>
        </w:tc>
        <w:tc>
          <w:tcPr>
            <w:tcW w:w="1276" w:type="dxa"/>
            <w:vAlign w:val="center"/>
          </w:tcPr>
          <w:p w:rsidR="00954508" w:rsidRDefault="005E1C3C">
            <w:pPr>
              <w:jc w:val="center"/>
            </w:pPr>
            <w:r>
              <w:rPr>
                <w:rFonts w:eastAsiaTheme="minorEastAsia"/>
                <w:kern w:val="0"/>
                <w:szCs w:val="21"/>
              </w:rPr>
              <w:t>300014</w:t>
            </w:r>
          </w:p>
        </w:tc>
        <w:tc>
          <w:tcPr>
            <w:tcW w:w="1701" w:type="dxa"/>
            <w:vAlign w:val="center"/>
          </w:tcPr>
          <w:p w:rsidR="00954508" w:rsidRDefault="005E1C3C">
            <w:pPr>
              <w:jc w:val="center"/>
            </w:pPr>
            <w:r>
              <w:rPr>
                <w:rFonts w:eastAsiaTheme="minorEastAsia"/>
                <w:kern w:val="0"/>
                <w:szCs w:val="21"/>
              </w:rPr>
              <w:t>亿纬锂能</w:t>
            </w:r>
          </w:p>
        </w:tc>
        <w:tc>
          <w:tcPr>
            <w:tcW w:w="1276" w:type="dxa"/>
            <w:vAlign w:val="center"/>
          </w:tcPr>
          <w:p w:rsidR="00954508" w:rsidRDefault="005E1C3C">
            <w:pPr>
              <w:jc w:val="right"/>
            </w:pPr>
            <w:r>
              <w:rPr>
                <w:rFonts w:eastAsiaTheme="minorEastAsia"/>
                <w:kern w:val="0"/>
                <w:szCs w:val="21"/>
              </w:rPr>
              <w:t>907,389.00</w:t>
            </w:r>
          </w:p>
        </w:tc>
        <w:tc>
          <w:tcPr>
            <w:tcW w:w="1842" w:type="dxa"/>
            <w:vAlign w:val="center"/>
          </w:tcPr>
          <w:p w:rsidR="00954508" w:rsidRDefault="005E1C3C">
            <w:pPr>
              <w:jc w:val="right"/>
            </w:pPr>
            <w:r>
              <w:rPr>
                <w:rFonts w:eastAsiaTheme="minorEastAsia"/>
                <w:kern w:val="0"/>
                <w:szCs w:val="21"/>
              </w:rPr>
              <w:t>73,199,070.63</w:t>
            </w:r>
          </w:p>
        </w:tc>
        <w:tc>
          <w:tcPr>
            <w:tcW w:w="1616" w:type="dxa"/>
            <w:vAlign w:val="center"/>
          </w:tcPr>
          <w:p w:rsidR="00954508" w:rsidRDefault="005E1C3C">
            <w:pPr>
              <w:jc w:val="right"/>
            </w:pPr>
            <w:r>
              <w:rPr>
                <w:rFonts w:eastAsiaTheme="minorEastAsia"/>
                <w:kern w:val="0"/>
                <w:szCs w:val="21"/>
              </w:rPr>
              <w:t>5.90</w:t>
            </w:r>
          </w:p>
        </w:tc>
      </w:tr>
      <w:tr w:rsidR="00954508">
        <w:tc>
          <w:tcPr>
            <w:tcW w:w="817" w:type="dxa"/>
            <w:vAlign w:val="center"/>
          </w:tcPr>
          <w:p w:rsidR="00954508" w:rsidRDefault="005E1C3C">
            <w:pPr>
              <w:jc w:val="center"/>
            </w:pPr>
            <w:r>
              <w:rPr>
                <w:rFonts w:eastAsiaTheme="minorEastAsia"/>
                <w:kern w:val="0"/>
                <w:szCs w:val="21"/>
              </w:rPr>
              <w:t>8</w:t>
            </w:r>
          </w:p>
        </w:tc>
        <w:tc>
          <w:tcPr>
            <w:tcW w:w="1276" w:type="dxa"/>
            <w:vAlign w:val="center"/>
          </w:tcPr>
          <w:p w:rsidR="00954508" w:rsidRDefault="005E1C3C">
            <w:pPr>
              <w:jc w:val="center"/>
            </w:pPr>
            <w:r>
              <w:rPr>
                <w:rFonts w:eastAsiaTheme="minorEastAsia"/>
                <w:kern w:val="0"/>
                <w:szCs w:val="21"/>
              </w:rPr>
              <w:t>002812</w:t>
            </w:r>
          </w:p>
        </w:tc>
        <w:tc>
          <w:tcPr>
            <w:tcW w:w="1701" w:type="dxa"/>
            <w:vAlign w:val="center"/>
          </w:tcPr>
          <w:p w:rsidR="00954508" w:rsidRDefault="005E1C3C">
            <w:pPr>
              <w:jc w:val="center"/>
            </w:pPr>
            <w:r>
              <w:rPr>
                <w:rFonts w:eastAsiaTheme="minorEastAsia"/>
                <w:kern w:val="0"/>
                <w:szCs w:val="21"/>
              </w:rPr>
              <w:t>恩捷股份</w:t>
            </w:r>
          </w:p>
        </w:tc>
        <w:tc>
          <w:tcPr>
            <w:tcW w:w="1276" w:type="dxa"/>
            <w:vAlign w:val="center"/>
          </w:tcPr>
          <w:p w:rsidR="00954508" w:rsidRDefault="005E1C3C">
            <w:pPr>
              <w:jc w:val="right"/>
            </w:pPr>
            <w:r>
              <w:rPr>
                <w:rFonts w:eastAsiaTheme="minorEastAsia"/>
                <w:kern w:val="0"/>
                <w:szCs w:val="21"/>
              </w:rPr>
              <w:t>284,259.00</w:t>
            </w:r>
          </w:p>
        </w:tc>
        <w:tc>
          <w:tcPr>
            <w:tcW w:w="1842" w:type="dxa"/>
            <w:vAlign w:val="center"/>
          </w:tcPr>
          <w:p w:rsidR="00954508" w:rsidRDefault="005E1C3C">
            <w:pPr>
              <w:jc w:val="right"/>
            </w:pPr>
            <w:r>
              <w:rPr>
                <w:rFonts w:eastAsiaTheme="minorEastAsia"/>
                <w:kern w:val="0"/>
                <w:szCs w:val="21"/>
              </w:rPr>
              <w:t>62,536,980.00</w:t>
            </w:r>
          </w:p>
        </w:tc>
        <w:tc>
          <w:tcPr>
            <w:tcW w:w="1616" w:type="dxa"/>
            <w:vAlign w:val="center"/>
          </w:tcPr>
          <w:p w:rsidR="00954508" w:rsidRDefault="005E1C3C">
            <w:pPr>
              <w:jc w:val="right"/>
            </w:pPr>
            <w:r>
              <w:rPr>
                <w:rFonts w:eastAsiaTheme="minorEastAsia"/>
                <w:kern w:val="0"/>
                <w:szCs w:val="21"/>
              </w:rPr>
              <w:t>5.04</w:t>
            </w:r>
          </w:p>
        </w:tc>
      </w:tr>
      <w:tr w:rsidR="00954508">
        <w:tc>
          <w:tcPr>
            <w:tcW w:w="817" w:type="dxa"/>
            <w:vAlign w:val="center"/>
          </w:tcPr>
          <w:p w:rsidR="00954508" w:rsidRDefault="005E1C3C">
            <w:pPr>
              <w:jc w:val="center"/>
            </w:pPr>
            <w:r>
              <w:rPr>
                <w:rFonts w:eastAsiaTheme="minorEastAsia"/>
                <w:kern w:val="0"/>
                <w:szCs w:val="21"/>
              </w:rPr>
              <w:t>9</w:t>
            </w:r>
          </w:p>
        </w:tc>
        <w:tc>
          <w:tcPr>
            <w:tcW w:w="1276" w:type="dxa"/>
            <w:vAlign w:val="center"/>
          </w:tcPr>
          <w:p w:rsidR="00954508" w:rsidRDefault="005E1C3C">
            <w:pPr>
              <w:jc w:val="center"/>
            </w:pPr>
            <w:r>
              <w:rPr>
                <w:rFonts w:eastAsiaTheme="minorEastAsia"/>
                <w:kern w:val="0"/>
                <w:szCs w:val="21"/>
              </w:rPr>
              <w:t>688005</w:t>
            </w:r>
          </w:p>
        </w:tc>
        <w:tc>
          <w:tcPr>
            <w:tcW w:w="1701" w:type="dxa"/>
            <w:vAlign w:val="center"/>
          </w:tcPr>
          <w:p w:rsidR="00954508" w:rsidRDefault="005E1C3C">
            <w:pPr>
              <w:jc w:val="center"/>
            </w:pPr>
            <w:r>
              <w:rPr>
                <w:rFonts w:eastAsiaTheme="minorEastAsia"/>
                <w:kern w:val="0"/>
                <w:szCs w:val="21"/>
              </w:rPr>
              <w:t>容百科技</w:t>
            </w:r>
          </w:p>
        </w:tc>
        <w:tc>
          <w:tcPr>
            <w:tcW w:w="1276" w:type="dxa"/>
            <w:vAlign w:val="center"/>
          </w:tcPr>
          <w:p w:rsidR="00954508" w:rsidRDefault="005E1C3C">
            <w:pPr>
              <w:jc w:val="right"/>
            </w:pPr>
            <w:r>
              <w:rPr>
                <w:rFonts w:eastAsiaTheme="minorEastAsia"/>
                <w:kern w:val="0"/>
                <w:szCs w:val="21"/>
              </w:rPr>
              <w:t>300,006.00</w:t>
            </w:r>
          </w:p>
        </w:tc>
        <w:tc>
          <w:tcPr>
            <w:tcW w:w="1842" w:type="dxa"/>
            <w:vAlign w:val="center"/>
          </w:tcPr>
          <w:p w:rsidR="00954508" w:rsidRDefault="005E1C3C">
            <w:pPr>
              <w:jc w:val="right"/>
            </w:pPr>
            <w:r>
              <w:rPr>
                <w:rFonts w:eastAsiaTheme="minorEastAsia"/>
                <w:kern w:val="0"/>
                <w:szCs w:val="21"/>
              </w:rPr>
              <w:t>38,826,776.52</w:t>
            </w:r>
          </w:p>
        </w:tc>
        <w:tc>
          <w:tcPr>
            <w:tcW w:w="1616" w:type="dxa"/>
            <w:vAlign w:val="center"/>
          </w:tcPr>
          <w:p w:rsidR="00954508" w:rsidRDefault="005E1C3C">
            <w:pPr>
              <w:jc w:val="right"/>
            </w:pPr>
            <w:r>
              <w:rPr>
                <w:rFonts w:eastAsiaTheme="minorEastAsia"/>
                <w:kern w:val="0"/>
                <w:szCs w:val="21"/>
              </w:rPr>
              <w:t>3.13</w:t>
            </w:r>
          </w:p>
        </w:tc>
      </w:tr>
      <w:tr w:rsidR="00954508">
        <w:tc>
          <w:tcPr>
            <w:tcW w:w="817" w:type="dxa"/>
            <w:vAlign w:val="center"/>
          </w:tcPr>
          <w:p w:rsidR="00954508" w:rsidRDefault="005E1C3C">
            <w:pPr>
              <w:jc w:val="center"/>
            </w:pPr>
            <w:r>
              <w:rPr>
                <w:rFonts w:eastAsiaTheme="minorEastAsia"/>
                <w:kern w:val="0"/>
                <w:szCs w:val="21"/>
              </w:rPr>
              <w:t>10</w:t>
            </w:r>
          </w:p>
        </w:tc>
        <w:tc>
          <w:tcPr>
            <w:tcW w:w="1276" w:type="dxa"/>
            <w:vAlign w:val="center"/>
          </w:tcPr>
          <w:p w:rsidR="00954508" w:rsidRDefault="005E1C3C">
            <w:pPr>
              <w:jc w:val="center"/>
            </w:pPr>
            <w:r>
              <w:rPr>
                <w:rFonts w:eastAsiaTheme="minorEastAsia"/>
                <w:kern w:val="0"/>
                <w:szCs w:val="21"/>
              </w:rPr>
              <w:t>300073</w:t>
            </w:r>
          </w:p>
        </w:tc>
        <w:tc>
          <w:tcPr>
            <w:tcW w:w="1701" w:type="dxa"/>
            <w:vAlign w:val="center"/>
          </w:tcPr>
          <w:p w:rsidR="00954508" w:rsidRDefault="005E1C3C">
            <w:pPr>
              <w:jc w:val="center"/>
            </w:pPr>
            <w:r>
              <w:rPr>
                <w:rFonts w:eastAsiaTheme="minorEastAsia"/>
                <w:kern w:val="0"/>
                <w:szCs w:val="21"/>
              </w:rPr>
              <w:t>当升科技</w:t>
            </w:r>
          </w:p>
        </w:tc>
        <w:tc>
          <w:tcPr>
            <w:tcW w:w="1276" w:type="dxa"/>
            <w:vAlign w:val="center"/>
          </w:tcPr>
          <w:p w:rsidR="00954508" w:rsidRDefault="005E1C3C">
            <w:pPr>
              <w:jc w:val="right"/>
            </w:pPr>
            <w:r>
              <w:rPr>
                <w:rFonts w:eastAsiaTheme="minorEastAsia"/>
                <w:kern w:val="0"/>
                <w:szCs w:val="21"/>
              </w:rPr>
              <w:t>484,956.00</w:t>
            </w:r>
          </w:p>
        </w:tc>
        <w:tc>
          <w:tcPr>
            <w:tcW w:w="1842" w:type="dxa"/>
            <w:vAlign w:val="center"/>
          </w:tcPr>
          <w:p w:rsidR="00954508" w:rsidRDefault="005E1C3C">
            <w:pPr>
              <w:jc w:val="right"/>
            </w:pPr>
            <w:r>
              <w:rPr>
                <w:rFonts w:eastAsiaTheme="minorEastAsia"/>
                <w:kern w:val="0"/>
                <w:szCs w:val="21"/>
              </w:rPr>
              <w:t>36,468,691.20</w:t>
            </w:r>
          </w:p>
        </w:tc>
        <w:tc>
          <w:tcPr>
            <w:tcW w:w="1616" w:type="dxa"/>
            <w:vAlign w:val="center"/>
          </w:tcPr>
          <w:p w:rsidR="00954508" w:rsidRDefault="005E1C3C">
            <w:pPr>
              <w:jc w:val="right"/>
            </w:pPr>
            <w:r>
              <w:rPr>
                <w:rFonts w:eastAsiaTheme="minorEastAsia"/>
                <w:kern w:val="0"/>
                <w:szCs w:val="21"/>
              </w:rPr>
              <w:t>2.94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6,299,018.66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6,299,018.66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954508">
        <w:tc>
          <w:tcPr>
            <w:tcW w:w="1504" w:type="dxa"/>
            <w:vAlign w:val="center"/>
          </w:tcPr>
          <w:p w:rsidR="00954508" w:rsidRDefault="005E1C3C">
            <w:pPr>
              <w:jc w:val="center"/>
            </w:pPr>
            <w:r>
              <w:rPr>
                <w:rFonts w:eastAsiaTheme="minorEastAsia"/>
                <w:color w:val="000000" w:themeColor="text1"/>
                <w:szCs w:val="21"/>
              </w:rPr>
              <w:t>1</w:t>
            </w:r>
          </w:p>
        </w:tc>
        <w:tc>
          <w:tcPr>
            <w:tcW w:w="1504" w:type="dxa"/>
            <w:vAlign w:val="center"/>
          </w:tcPr>
          <w:p w:rsidR="00954508" w:rsidRDefault="005E1C3C">
            <w:pPr>
              <w:jc w:val="center"/>
            </w:pPr>
            <w:r>
              <w:rPr>
                <w:rFonts w:eastAsiaTheme="minorEastAsia"/>
                <w:color w:val="000000" w:themeColor="text1"/>
                <w:szCs w:val="21"/>
              </w:rPr>
              <w:t>113641</w:t>
            </w:r>
          </w:p>
        </w:tc>
        <w:tc>
          <w:tcPr>
            <w:tcW w:w="1504" w:type="dxa"/>
            <w:vAlign w:val="center"/>
          </w:tcPr>
          <w:p w:rsidR="00954508" w:rsidRDefault="005E1C3C">
            <w:pPr>
              <w:jc w:val="center"/>
            </w:pPr>
            <w:r>
              <w:rPr>
                <w:rFonts w:eastAsiaTheme="minorEastAsia"/>
                <w:color w:val="000000" w:themeColor="text1"/>
                <w:szCs w:val="21"/>
              </w:rPr>
              <w:t>华友转债</w:t>
            </w:r>
          </w:p>
        </w:tc>
        <w:tc>
          <w:tcPr>
            <w:tcW w:w="1503" w:type="dxa"/>
            <w:vAlign w:val="center"/>
          </w:tcPr>
          <w:p w:rsidR="00954508" w:rsidRDefault="005E1C3C">
            <w:pPr>
              <w:jc w:val="right"/>
            </w:pPr>
            <w:r>
              <w:rPr>
                <w:rFonts w:eastAsiaTheme="minorEastAsia"/>
                <w:color w:val="000000" w:themeColor="text1"/>
                <w:szCs w:val="21"/>
              </w:rPr>
              <w:t>51,960</w:t>
            </w:r>
          </w:p>
        </w:tc>
        <w:tc>
          <w:tcPr>
            <w:tcW w:w="1503" w:type="dxa"/>
            <w:vAlign w:val="center"/>
          </w:tcPr>
          <w:p w:rsidR="00954508" w:rsidRDefault="005E1C3C">
            <w:pPr>
              <w:jc w:val="right"/>
            </w:pPr>
            <w:r>
              <w:rPr>
                <w:rFonts w:eastAsiaTheme="minorEastAsia"/>
                <w:color w:val="000000" w:themeColor="text1"/>
                <w:szCs w:val="21"/>
              </w:rPr>
              <w:t>6,259,401.97</w:t>
            </w:r>
          </w:p>
        </w:tc>
        <w:tc>
          <w:tcPr>
            <w:tcW w:w="1503" w:type="dxa"/>
            <w:vAlign w:val="center"/>
          </w:tcPr>
          <w:p w:rsidR="00954508" w:rsidRDefault="005E1C3C">
            <w:pPr>
              <w:jc w:val="right"/>
            </w:pPr>
            <w:r>
              <w:rPr>
                <w:rFonts w:eastAsiaTheme="minorEastAsia"/>
                <w:color w:val="000000" w:themeColor="text1"/>
                <w:szCs w:val="21"/>
              </w:rPr>
              <w:t>0.50</w:t>
            </w:r>
          </w:p>
        </w:tc>
      </w:tr>
      <w:tr w:rsidR="00954508">
        <w:tc>
          <w:tcPr>
            <w:tcW w:w="1504" w:type="dxa"/>
            <w:vAlign w:val="center"/>
          </w:tcPr>
          <w:p w:rsidR="00954508" w:rsidRDefault="005E1C3C">
            <w:pPr>
              <w:jc w:val="center"/>
            </w:pPr>
            <w:r>
              <w:rPr>
                <w:rFonts w:eastAsiaTheme="minorEastAsia"/>
                <w:color w:val="000000" w:themeColor="text1"/>
                <w:szCs w:val="21"/>
              </w:rPr>
              <w:t>2</w:t>
            </w:r>
          </w:p>
        </w:tc>
        <w:tc>
          <w:tcPr>
            <w:tcW w:w="1504" w:type="dxa"/>
            <w:vAlign w:val="center"/>
          </w:tcPr>
          <w:p w:rsidR="00954508" w:rsidRDefault="005E1C3C">
            <w:pPr>
              <w:jc w:val="center"/>
            </w:pPr>
            <w:r>
              <w:rPr>
                <w:rFonts w:eastAsiaTheme="minorEastAsia"/>
                <w:color w:val="000000" w:themeColor="text1"/>
                <w:szCs w:val="21"/>
              </w:rPr>
              <w:t>110085</w:t>
            </w:r>
          </w:p>
        </w:tc>
        <w:tc>
          <w:tcPr>
            <w:tcW w:w="1504" w:type="dxa"/>
            <w:vAlign w:val="center"/>
          </w:tcPr>
          <w:p w:rsidR="00954508" w:rsidRDefault="005E1C3C">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503" w:type="dxa"/>
            <w:vAlign w:val="center"/>
          </w:tcPr>
          <w:p w:rsidR="00954508" w:rsidRDefault="005E1C3C">
            <w:pPr>
              <w:jc w:val="right"/>
            </w:pPr>
            <w:r>
              <w:rPr>
                <w:rFonts w:eastAsiaTheme="minorEastAsia"/>
                <w:color w:val="000000" w:themeColor="text1"/>
                <w:szCs w:val="21"/>
              </w:rPr>
              <w:t>310</w:t>
            </w:r>
          </w:p>
        </w:tc>
        <w:tc>
          <w:tcPr>
            <w:tcW w:w="1503" w:type="dxa"/>
            <w:vAlign w:val="center"/>
          </w:tcPr>
          <w:p w:rsidR="00954508" w:rsidRDefault="005E1C3C">
            <w:pPr>
              <w:jc w:val="right"/>
            </w:pPr>
            <w:r>
              <w:rPr>
                <w:rFonts w:eastAsiaTheme="minorEastAsia"/>
                <w:color w:val="000000" w:themeColor="text1"/>
                <w:szCs w:val="21"/>
              </w:rPr>
              <w:t>39,616.69</w:t>
            </w:r>
          </w:p>
        </w:tc>
        <w:tc>
          <w:tcPr>
            <w:tcW w:w="1503" w:type="dxa"/>
            <w:vAlign w:val="center"/>
          </w:tcPr>
          <w:p w:rsidR="00954508" w:rsidRDefault="005E1C3C">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560,954.89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1,528,000.78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1,741.12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2,090,696.79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上投摩根动力精选混合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416,706,890.58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11,111,874.37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75,219,687.53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12,947,870.25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81,094,848.85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8,603,441.42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410,831,729.26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15,456,303.20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、中国证监会准予上投摩根动力精选混合型证券投资基金注册的文件；</w:t>
      </w:r>
      <w:r>
        <w:rPr>
          <w:rFonts w:eastAsiaTheme="minorEastAsia"/>
          <w:color w:val="000000" w:themeColor="text1"/>
          <w:szCs w:val="21"/>
        </w:rPr>
        <w:t xml:space="preserve"> </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、《上投摩根动力精选混合型证券投资基金基金合同》；</w:t>
      </w:r>
      <w:r>
        <w:rPr>
          <w:rFonts w:eastAsiaTheme="minorEastAsia"/>
          <w:color w:val="000000" w:themeColor="text1"/>
          <w:szCs w:val="21"/>
        </w:rPr>
        <w:t xml:space="preserve"> </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、《上投摩根动力精选混合型证券投资基金托管协议》；</w:t>
      </w:r>
      <w:r>
        <w:rPr>
          <w:rFonts w:eastAsiaTheme="minorEastAsia"/>
          <w:color w:val="000000" w:themeColor="text1"/>
          <w:szCs w:val="21"/>
        </w:rPr>
        <w:t xml:space="preserve"> </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954508" w:rsidRDefault="005E1C3C">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E1C3C">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E1C3C">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E1C3C">
      <w:rPr>
        <w:rStyle w:val="af6"/>
        <w:noProof/>
      </w:rPr>
      <w:t>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上投摩根动力精选混合型证券投资基金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1C3C"/>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4508"/>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FE73B-D460-44E5-AC19-B442624A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14</Pages>
  <Words>1257</Words>
  <Characters>7170</Characters>
  <Application>Microsoft Office Word</Application>
  <DocSecurity>0</DocSecurity>
  <Lines>59</Lines>
  <Paragraphs>16</Paragraphs>
  <ScaleCrop>false</ScaleCrop>
  <Company>TRT. Ltd. Co.</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218</cp:revision>
  <cp:lastPrinted>2007-07-19T00:46:00Z</cp:lastPrinted>
  <dcterms:created xsi:type="dcterms:W3CDTF">2013-06-21T06:56:00Z</dcterms:created>
  <dcterms:modified xsi:type="dcterms:W3CDTF">2022-04-21T02:11:00Z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