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F6E5F" w:rsidRDefault="00F825F3">
      <w:pPr>
        <w:spacing w:line="360" w:lineRule="auto"/>
        <w:rPr>
          <w:rFonts w:ascii="宋体" w:hAnsi="宋体"/>
          <w:sz w:val="48"/>
        </w:rPr>
      </w:pPr>
      <w:r>
        <w:rPr>
          <w:rFonts w:ascii="宋体" w:hAnsi="宋体" w:hint="eastAsia"/>
          <w:sz w:val="48"/>
        </w:rPr>
        <w:t xml:space="preserve">　 </w:t>
      </w:r>
    </w:p>
    <w:p w:rsidR="00CF6E5F" w:rsidRDefault="00F825F3">
      <w:pPr>
        <w:spacing w:line="360" w:lineRule="auto"/>
        <w:rPr>
          <w:rFonts w:ascii="宋体" w:hAnsi="宋体"/>
          <w:sz w:val="48"/>
        </w:rPr>
      </w:pPr>
      <w:r>
        <w:rPr>
          <w:rFonts w:ascii="宋体" w:hAnsi="宋体" w:hint="eastAsia"/>
          <w:sz w:val="48"/>
        </w:rPr>
        <w:t xml:space="preserve">　 </w:t>
      </w:r>
    </w:p>
    <w:p w:rsidR="00CF6E5F" w:rsidRDefault="00F825F3">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摩根尚睿混合型基金中基金(FOF)</w:t>
      </w:r>
      <w:r>
        <w:rPr>
          <w:rFonts w:ascii="宋体" w:hAnsi="宋体" w:hint="eastAsia"/>
          <w:b/>
          <w:bCs/>
          <w:color w:val="000000" w:themeColor="text1"/>
          <w:sz w:val="48"/>
          <w:szCs w:val="30"/>
        </w:rPr>
        <w:br/>
        <w:t>2025年第1季度报告</w:t>
      </w:r>
    </w:p>
    <w:p w:rsidR="00CF6E5F" w:rsidRDefault="00F825F3">
      <w:pPr>
        <w:spacing w:line="360" w:lineRule="auto"/>
        <w:jc w:val="center"/>
        <w:rPr>
          <w:rFonts w:ascii="宋体" w:hAnsi="宋体"/>
          <w:sz w:val="28"/>
          <w:szCs w:val="30"/>
        </w:rPr>
      </w:pPr>
      <w:r>
        <w:rPr>
          <w:rFonts w:ascii="宋体" w:hAnsi="宋体" w:hint="eastAsia"/>
          <w:sz w:val="28"/>
          <w:szCs w:val="30"/>
        </w:rPr>
        <w:t xml:space="preserve">　 </w:t>
      </w:r>
    </w:p>
    <w:p w:rsidR="00CF6E5F" w:rsidRDefault="00F825F3">
      <w:pPr>
        <w:spacing w:line="360" w:lineRule="auto"/>
        <w:jc w:val="center"/>
      </w:pPr>
      <w:r>
        <w:rPr>
          <w:rFonts w:ascii="宋体" w:hAnsi="宋体" w:hint="eastAsia"/>
          <w:b/>
          <w:bCs/>
          <w:sz w:val="28"/>
          <w:szCs w:val="30"/>
        </w:rPr>
        <w:t>2025年3月31日</w:t>
      </w:r>
    </w:p>
    <w:p w:rsidR="00CF6E5F" w:rsidRDefault="00F825F3">
      <w:pPr>
        <w:spacing w:line="360" w:lineRule="auto"/>
        <w:jc w:val="center"/>
        <w:rPr>
          <w:rFonts w:ascii="宋体" w:hAnsi="宋体"/>
          <w:sz w:val="28"/>
          <w:szCs w:val="30"/>
        </w:rPr>
      </w:pPr>
      <w:r>
        <w:rPr>
          <w:rFonts w:ascii="宋体" w:hAnsi="宋体" w:hint="eastAsia"/>
          <w:sz w:val="28"/>
          <w:szCs w:val="30"/>
        </w:rPr>
        <w:t xml:space="preserve">　 </w:t>
      </w:r>
    </w:p>
    <w:p w:rsidR="00CF6E5F" w:rsidRDefault="00F825F3">
      <w:pPr>
        <w:spacing w:line="360" w:lineRule="auto"/>
        <w:jc w:val="center"/>
        <w:rPr>
          <w:rFonts w:ascii="宋体" w:hAnsi="宋体"/>
          <w:sz w:val="28"/>
          <w:szCs w:val="30"/>
        </w:rPr>
      </w:pPr>
      <w:r>
        <w:rPr>
          <w:rFonts w:ascii="宋体" w:hAnsi="宋体" w:hint="eastAsia"/>
          <w:sz w:val="28"/>
          <w:szCs w:val="30"/>
        </w:rPr>
        <w:t xml:space="preserve">　 </w:t>
      </w:r>
      <w:bookmarkStart w:id="7" w:name="_GoBack"/>
      <w:bookmarkEnd w:id="7"/>
    </w:p>
    <w:p w:rsidR="00CF6E5F" w:rsidRDefault="00F825F3">
      <w:pPr>
        <w:spacing w:line="360" w:lineRule="auto"/>
        <w:jc w:val="center"/>
        <w:rPr>
          <w:rFonts w:ascii="宋体" w:hAnsi="宋体"/>
          <w:sz w:val="28"/>
          <w:szCs w:val="30"/>
        </w:rPr>
      </w:pPr>
      <w:r>
        <w:rPr>
          <w:rFonts w:ascii="宋体" w:hAnsi="宋体" w:hint="eastAsia"/>
          <w:sz w:val="28"/>
          <w:szCs w:val="30"/>
        </w:rPr>
        <w:t xml:space="preserve">　 </w:t>
      </w:r>
    </w:p>
    <w:p w:rsidR="00CF6E5F" w:rsidRDefault="00F825F3">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CF6E5F" w:rsidRDefault="00F825F3">
      <w:pPr>
        <w:spacing w:line="360" w:lineRule="auto"/>
        <w:jc w:val="center"/>
        <w:rPr>
          <w:rFonts w:ascii="宋体" w:hAnsi="宋体"/>
          <w:sz w:val="28"/>
          <w:szCs w:val="30"/>
        </w:rPr>
      </w:pPr>
      <w:r>
        <w:rPr>
          <w:rFonts w:ascii="宋体" w:hAnsi="宋体" w:hint="eastAsia"/>
          <w:sz w:val="28"/>
          <w:szCs w:val="30"/>
        </w:rPr>
        <w:t xml:space="preserve">　 </w:t>
      </w:r>
    </w:p>
    <w:p w:rsidR="00CF6E5F" w:rsidRDefault="00F825F3">
      <w:pPr>
        <w:spacing w:line="360" w:lineRule="auto"/>
        <w:jc w:val="center"/>
        <w:rPr>
          <w:rFonts w:ascii="宋体" w:hAnsi="宋体"/>
          <w:sz w:val="28"/>
          <w:szCs w:val="30"/>
        </w:rPr>
      </w:pPr>
      <w:r>
        <w:rPr>
          <w:rFonts w:ascii="宋体" w:hAnsi="宋体" w:hint="eastAsia"/>
          <w:sz w:val="28"/>
          <w:szCs w:val="30"/>
        </w:rPr>
        <w:t xml:space="preserve">　 </w:t>
      </w:r>
    </w:p>
    <w:p w:rsidR="00CF6E5F" w:rsidRDefault="00F825F3">
      <w:pPr>
        <w:spacing w:line="360" w:lineRule="auto"/>
        <w:jc w:val="center"/>
        <w:rPr>
          <w:rFonts w:ascii="宋体" w:hAnsi="宋体"/>
          <w:sz w:val="28"/>
          <w:szCs w:val="30"/>
        </w:rPr>
      </w:pPr>
      <w:r>
        <w:rPr>
          <w:rFonts w:ascii="宋体" w:hAnsi="宋体" w:hint="eastAsia"/>
          <w:sz w:val="28"/>
          <w:szCs w:val="30"/>
        </w:rPr>
        <w:t xml:space="preserve">　 </w:t>
      </w:r>
    </w:p>
    <w:p w:rsidR="00CF6E5F" w:rsidRDefault="00F825F3">
      <w:pPr>
        <w:spacing w:line="360" w:lineRule="auto"/>
        <w:jc w:val="center"/>
        <w:rPr>
          <w:rFonts w:ascii="宋体" w:hAnsi="宋体"/>
          <w:sz w:val="28"/>
          <w:szCs w:val="30"/>
        </w:rPr>
      </w:pPr>
      <w:r>
        <w:rPr>
          <w:rFonts w:ascii="宋体" w:hAnsi="宋体" w:hint="eastAsia"/>
          <w:sz w:val="28"/>
          <w:szCs w:val="30"/>
        </w:rPr>
        <w:t xml:space="preserve">　 </w:t>
      </w:r>
    </w:p>
    <w:p w:rsidR="00CF6E5F" w:rsidRDefault="00F825F3">
      <w:pPr>
        <w:spacing w:line="360" w:lineRule="auto"/>
        <w:jc w:val="center"/>
        <w:rPr>
          <w:rFonts w:ascii="宋体" w:hAnsi="宋体"/>
          <w:sz w:val="28"/>
          <w:szCs w:val="30"/>
        </w:rPr>
      </w:pPr>
      <w:r>
        <w:rPr>
          <w:rFonts w:ascii="宋体" w:hAnsi="宋体" w:hint="eastAsia"/>
          <w:sz w:val="28"/>
          <w:szCs w:val="30"/>
        </w:rPr>
        <w:t xml:space="preserve">　 </w:t>
      </w:r>
    </w:p>
    <w:p w:rsidR="00CF6E5F" w:rsidRDefault="00F825F3">
      <w:pPr>
        <w:spacing w:line="360" w:lineRule="auto"/>
        <w:jc w:val="center"/>
        <w:rPr>
          <w:rFonts w:ascii="宋体" w:hAnsi="宋体"/>
          <w:sz w:val="28"/>
          <w:szCs w:val="30"/>
        </w:rPr>
      </w:pPr>
      <w:r>
        <w:rPr>
          <w:rFonts w:ascii="宋体" w:hAnsi="宋体" w:hint="eastAsia"/>
          <w:sz w:val="28"/>
          <w:szCs w:val="30"/>
        </w:rPr>
        <w:t xml:space="preserve">　 </w:t>
      </w:r>
    </w:p>
    <w:p w:rsidR="00CF6E5F" w:rsidRDefault="00F825F3">
      <w:pPr>
        <w:spacing w:line="360" w:lineRule="auto"/>
        <w:jc w:val="center"/>
        <w:rPr>
          <w:rFonts w:ascii="宋体" w:hAnsi="宋体"/>
          <w:sz w:val="28"/>
          <w:szCs w:val="30"/>
        </w:rPr>
      </w:pPr>
      <w:r>
        <w:rPr>
          <w:rFonts w:ascii="宋体" w:hAnsi="宋体" w:hint="eastAsia"/>
          <w:sz w:val="28"/>
          <w:szCs w:val="30"/>
        </w:rPr>
        <w:t xml:space="preserve">　 </w:t>
      </w:r>
    </w:p>
    <w:p w:rsidR="00CF6E5F" w:rsidRDefault="00F825F3">
      <w:pPr>
        <w:spacing w:line="360" w:lineRule="auto"/>
        <w:ind w:firstLineChars="800" w:firstLine="2249"/>
        <w:jc w:val="left"/>
      </w:pPr>
      <w:r>
        <w:rPr>
          <w:rFonts w:ascii="宋体" w:hAnsi="宋体" w:hint="eastAsia"/>
          <w:b/>
          <w:bCs/>
          <w:sz w:val="28"/>
          <w:szCs w:val="30"/>
        </w:rPr>
        <w:t>基金管理人：摩根基金管理（中国）有限公司</w:t>
      </w:r>
    </w:p>
    <w:p w:rsidR="00CF6E5F" w:rsidRDefault="00F825F3">
      <w:pPr>
        <w:spacing w:line="360" w:lineRule="auto"/>
        <w:ind w:firstLineChars="800" w:firstLine="2249"/>
        <w:jc w:val="left"/>
      </w:pPr>
      <w:r>
        <w:rPr>
          <w:rFonts w:ascii="宋体" w:hAnsi="宋体" w:hint="eastAsia"/>
          <w:b/>
          <w:bCs/>
          <w:sz w:val="28"/>
          <w:szCs w:val="30"/>
        </w:rPr>
        <w:t>基金托管人：中国建设银行股份有限公司</w:t>
      </w:r>
    </w:p>
    <w:p w:rsidR="00CF6E5F" w:rsidRDefault="00F825F3">
      <w:pPr>
        <w:spacing w:line="360" w:lineRule="auto"/>
        <w:ind w:firstLineChars="800" w:firstLine="2249"/>
        <w:jc w:val="left"/>
      </w:pPr>
      <w:r>
        <w:rPr>
          <w:rFonts w:ascii="宋体" w:hAnsi="宋体" w:hint="eastAsia"/>
          <w:b/>
          <w:bCs/>
          <w:sz w:val="28"/>
          <w:szCs w:val="30"/>
        </w:rPr>
        <w:t>报告送出日期：2025年4月22日</w:t>
      </w:r>
    </w:p>
    <w:p w:rsidR="00CF6E5F" w:rsidRDefault="00F825F3">
      <w:pPr>
        <w:pStyle w:val="XBRLTitle1"/>
        <w:spacing w:before="156" w:line="360" w:lineRule="auto"/>
        <w:ind w:left="425"/>
      </w:pPr>
      <w:r>
        <w:rPr>
          <w:rFonts w:hAnsi="宋体" w:cs="宋体" w:hint="eastAsia"/>
          <w:color w:val="404040"/>
          <w:kern w:val="0"/>
        </w:rPr>
        <w:br w:type="page"/>
      </w:r>
      <w:bookmarkStart w:id="8" w:name="_Toc17899952"/>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8"/>
      <w:bookmarkEnd w:id="9"/>
      <w:bookmarkEnd w:id="10"/>
      <w:bookmarkEnd w:id="11"/>
      <w:bookmarkEnd w:id="12"/>
      <w:bookmarkEnd w:id="13"/>
      <w:bookmarkEnd w:id="14"/>
      <w:proofErr w:type="spellEnd"/>
      <w:r>
        <w:rPr>
          <w:rFonts w:hAnsi="宋体" w:hint="eastAsia"/>
        </w:rPr>
        <w:t xml:space="preserve"> </w:t>
      </w:r>
    </w:p>
    <w:p w:rsidR="00CF6E5F" w:rsidRDefault="00F825F3">
      <w:pPr>
        <w:spacing w:line="360" w:lineRule="auto"/>
        <w:ind w:firstLineChars="200" w:firstLine="420"/>
      </w:pPr>
      <w:bookmarkStart w:id="18" w:name="m08QD_01"/>
      <w:bookmarkStart w:id="19" w:name="m504"/>
      <w:bookmarkStart w:id="20" w:name="_Toc438646470"/>
      <w:bookmarkStart w:id="21" w:name="m502"/>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CF6E5F" w:rsidRDefault="00F825F3">
      <w:pPr>
        <w:pStyle w:val="XBRLTitle1"/>
        <w:spacing w:before="156" w:line="360" w:lineRule="auto"/>
        <w:ind w:left="425"/>
      </w:pPr>
      <w:bookmarkStart w:id="24" w:name="_Toc17899953"/>
      <w:bookmarkStart w:id="25" w:name="_Toc512519481"/>
      <w:bookmarkStart w:id="26" w:name="_Toc481075047"/>
      <w:bookmarkStart w:id="27" w:name="_Toc438646452"/>
      <w:bookmarkStart w:id="28" w:name="_Toc490050001"/>
      <w:bookmarkStart w:id="29" w:name="_Toc513295847"/>
      <w:bookmarkStart w:id="30" w:name="_Toc513295893"/>
      <w:proofErr w:type="spellStart"/>
      <w:r>
        <w:rPr>
          <w:rFonts w:hAnsi="宋体" w:hint="eastAsia"/>
        </w:rPr>
        <w:t>基金产品概况</w:t>
      </w:r>
      <w:bookmarkEnd w:id="24"/>
      <w:bookmarkEnd w:id="25"/>
      <w:bookmarkEnd w:id="26"/>
      <w:bookmarkEnd w:id="27"/>
      <w:bookmarkEnd w:id="28"/>
      <w:bookmarkEnd w:id="29"/>
      <w:bookmarkEnd w:id="30"/>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CF6E5F">
        <w:trPr>
          <w:divId w:val="93139364"/>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CF6E5F" w:rsidRDefault="00F825F3">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szCs w:val="24"/>
                <w:lang w:eastAsia="zh-Hans"/>
              </w:rPr>
              <w:t>摩根尚睿混合(FOF)</w:t>
            </w:r>
            <w:r>
              <w:rPr>
                <w:rFonts w:ascii="宋体" w:hAnsi="宋体" w:hint="eastAsia"/>
                <w:lang w:eastAsia="zh-Hans"/>
              </w:rPr>
              <w:t xml:space="preserve"> </w:t>
            </w:r>
          </w:p>
        </w:tc>
      </w:tr>
      <w:tr w:rsidR="00CF6E5F">
        <w:trPr>
          <w:divId w:val="931393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lang w:eastAsia="zh-Hans"/>
              </w:rPr>
              <w:t>006042</w:t>
            </w:r>
          </w:p>
        </w:tc>
      </w:tr>
      <w:tr w:rsidR="00CF6E5F">
        <w:trPr>
          <w:divId w:val="931393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bookmarkStart w:id="31"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lang w:eastAsia="zh-Hans"/>
              </w:rPr>
              <w:t>契约型开放式</w:t>
            </w:r>
          </w:p>
        </w:tc>
      </w:tr>
      <w:tr w:rsidR="00CF6E5F">
        <w:trPr>
          <w:divId w:val="931393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lang w:eastAsia="zh-Hans"/>
              </w:rPr>
              <w:t>2018年8月15日</w:t>
            </w:r>
          </w:p>
        </w:tc>
      </w:tr>
      <w:tr w:rsidR="00CF6E5F">
        <w:trPr>
          <w:divId w:val="931393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lang w:eastAsia="zh-Hans"/>
              </w:rPr>
              <w:t>36,561,028.19</w:t>
            </w:r>
            <w:r>
              <w:rPr>
                <w:rFonts w:hint="eastAsia"/>
              </w:rPr>
              <w:t>份</w:t>
            </w:r>
            <w:r>
              <w:rPr>
                <w:rFonts w:ascii="宋体" w:hAnsi="宋体" w:hint="eastAsia"/>
                <w:lang w:eastAsia="zh-Hans"/>
              </w:rPr>
              <w:t xml:space="preserve"> </w:t>
            </w:r>
          </w:p>
        </w:tc>
      </w:tr>
      <w:tr w:rsidR="00CF6E5F">
        <w:trPr>
          <w:divId w:val="931393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lang w:eastAsia="zh-Hans"/>
              </w:rPr>
              <w:t>通过优选基金，并结合严格的风险控制，实现基金资产的长期稳健增值。</w:t>
            </w:r>
          </w:p>
        </w:tc>
      </w:tr>
      <w:tr w:rsidR="00CF6E5F">
        <w:trPr>
          <w:divId w:val="931393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lang w:eastAsia="zh-Hans"/>
              </w:rPr>
              <w:t>1、资产配置策略</w:t>
            </w:r>
            <w:r>
              <w:rPr>
                <w:rFonts w:ascii="宋体" w:hAnsi="宋体" w:hint="eastAsia"/>
                <w:lang w:eastAsia="zh-Hans"/>
              </w:rPr>
              <w:br/>
              <w:t>在大类资产配置上，结合产品定位、风险收益特征以及管理人的长期资本市场观点确定基金的资产配置方案。</w:t>
            </w:r>
            <w:r>
              <w:rPr>
                <w:rFonts w:ascii="宋体" w:hAnsi="宋体" w:hint="eastAsia"/>
                <w:lang w:eastAsia="zh-Hans"/>
              </w:rPr>
              <w:br/>
              <w:t>首先，管理人将根据基金业绩基准确定产品的风险收益特征。其次，根据投研团队的长期资本市场观点对各类型资产的风险收益特征进行判断。最后，结合本基金以及各资产类别的风险收益特征、现代投资组合理论，模拟得出各大类资产的长期战略配置比例。</w:t>
            </w:r>
            <w:r>
              <w:rPr>
                <w:rFonts w:ascii="宋体" w:hAnsi="宋体" w:hint="eastAsia"/>
                <w:lang w:eastAsia="zh-Hans"/>
              </w:rPr>
              <w:br/>
              <w:t>密切关注市场风险的变化以及各资产类别的风险收益的相对变化趋势，适度调整中长期战略配置比例。当资本市场发生重大变化且管理人认为将影响各类资产的预期时，根据实际情况调整资产配置比例。</w:t>
            </w:r>
            <w:r>
              <w:rPr>
                <w:rFonts w:ascii="宋体" w:hAnsi="宋体" w:hint="eastAsia"/>
                <w:lang w:eastAsia="zh-Hans"/>
              </w:rPr>
              <w:br/>
              <w:t>2、主动管理型基金投资策略</w:t>
            </w:r>
            <w:r>
              <w:rPr>
                <w:rFonts w:ascii="宋体" w:hAnsi="宋体" w:hint="eastAsia"/>
                <w:lang w:eastAsia="zh-Hans"/>
              </w:rPr>
              <w:br/>
              <w:t>综合运用定量分析和定性分析的方式，通过层层筛选，优选能持续创造超额收益的基金构建投资组合。</w:t>
            </w:r>
            <w:r>
              <w:rPr>
                <w:rFonts w:ascii="宋体" w:hAnsi="宋体" w:hint="eastAsia"/>
                <w:lang w:eastAsia="zh-Hans"/>
              </w:rPr>
              <w:br/>
              <w:t>首先，通过初步的定量指标筛选出历史业绩表现良好、规模适中、流动性较好的基金。在初步筛选的基</w:t>
            </w:r>
            <w:r>
              <w:rPr>
                <w:rFonts w:ascii="宋体" w:hAnsi="宋体" w:hint="eastAsia"/>
                <w:lang w:eastAsia="zh-Hans"/>
              </w:rPr>
              <w:lastRenderedPageBreak/>
              <w:t>础上，进一步通过尽职调查在基金管理公司层面进行考察，形成基金筛选基础池。</w:t>
            </w:r>
            <w:r>
              <w:rPr>
                <w:rFonts w:ascii="宋体" w:hAnsi="宋体" w:hint="eastAsia"/>
                <w:lang w:eastAsia="zh-Hans"/>
              </w:rPr>
              <w:br/>
              <w:t>其次，结合尽职调查结果以及公开数据，对基金经理进行深度访谈，筛选后将不同投资风格/策略的代表性基金列入未来基金构建投资组合的核心池。</w:t>
            </w:r>
            <w:r>
              <w:rPr>
                <w:rFonts w:ascii="宋体" w:hAnsi="宋体" w:hint="eastAsia"/>
                <w:lang w:eastAsia="zh-Hans"/>
              </w:rPr>
              <w:br/>
              <w:t>3、指数基金投资策略</w:t>
            </w:r>
            <w:r>
              <w:rPr>
                <w:rFonts w:ascii="宋体" w:hAnsi="宋体" w:hint="eastAsia"/>
                <w:lang w:eastAsia="zh-Hans"/>
              </w:rPr>
              <w:br/>
              <w:t>通过对国内外宏观经济、经济结构转型的方向、国家经济政策、产业政策导向的深入研究，优选中长期景气向好的指数基金进行配置。此外，基于对市场未来运行趋势和风格的预判，积极参与包括行业主题、风格或策略指数等在内的各类指数基金的投资，把握市场阶段性投资机会。</w:t>
            </w:r>
            <w:r>
              <w:rPr>
                <w:rFonts w:ascii="宋体" w:hAnsi="宋体" w:hint="eastAsia"/>
                <w:lang w:eastAsia="zh-Hans"/>
              </w:rPr>
              <w:br/>
              <w:t>4、公募REITs投资策略:本基金将综合考量宏观经济运行情况、基金资产配置策略、底层资产运营情况、流动性及估值水平等因素，精选公募REITs进行投资。</w:t>
            </w:r>
            <w:r>
              <w:rPr>
                <w:rFonts w:ascii="宋体" w:hAnsi="宋体" w:hint="eastAsia"/>
                <w:lang w:eastAsia="zh-Hans"/>
              </w:rPr>
              <w:br/>
              <w:t>5、其他投资策略:包括债券投资策略、中小企业私募债投资策略、证券公司短期公司债投资策略、资产支持证券投资策略。</w:t>
            </w:r>
          </w:p>
        </w:tc>
      </w:tr>
      <w:tr w:rsidR="00CF6E5F">
        <w:trPr>
          <w:divId w:val="931393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lang w:eastAsia="zh-Hans"/>
              </w:rPr>
              <w:t>本基金的业绩比较基准为：中证偏股型基金指数收益率*80%+中证债券型基金指数收益率*15%+活期存款利率（税后）*5%</w:t>
            </w:r>
          </w:p>
        </w:tc>
      </w:tr>
      <w:tr w:rsidR="00CF6E5F">
        <w:trPr>
          <w:divId w:val="931393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lang w:eastAsia="zh-Hans"/>
              </w:rPr>
              <w:t>本基金属于混合型基金中基金，预期风险和收益水平低于股票型基金，高于债券型和货币市场基金，属于较高风险收益水平的基金产品。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CF6E5F">
        <w:trPr>
          <w:divId w:val="931393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lang w:eastAsia="zh-Hans"/>
              </w:rPr>
              <w:t>摩根基金管理（中国）有限公司</w:t>
            </w:r>
          </w:p>
        </w:tc>
      </w:tr>
      <w:tr w:rsidR="00CF6E5F">
        <w:trPr>
          <w:divId w:val="93139364"/>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lang w:eastAsia="zh-Hans"/>
              </w:rPr>
              <w:t>中国建设银行股份有限公司</w:t>
            </w:r>
          </w:p>
        </w:tc>
      </w:tr>
      <w:tr w:rsidR="00CF6E5F">
        <w:trPr>
          <w:divId w:val="9313936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bookmarkStart w:id="32"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lang w:eastAsia="zh-Hans"/>
              </w:rPr>
              <w:t>摩根尚睿混合(FOF)A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lang w:eastAsia="zh-Hans"/>
              </w:rPr>
              <w:t>摩根尚睿混合(FOF)C</w:t>
            </w:r>
            <w:r>
              <w:rPr>
                <w:rFonts w:ascii="宋体" w:hAnsi="宋体" w:hint="eastAsia"/>
                <w:kern w:val="0"/>
                <w:sz w:val="20"/>
                <w:lang w:eastAsia="zh-Hans"/>
              </w:rPr>
              <w:t xml:space="preserve"> </w:t>
            </w:r>
          </w:p>
        </w:tc>
      </w:tr>
      <w:tr w:rsidR="00CF6E5F">
        <w:trPr>
          <w:divId w:val="9313936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lang w:eastAsia="zh-Hans"/>
              </w:rPr>
              <w:t>006042</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lang w:eastAsia="zh-Hans"/>
              </w:rPr>
              <w:t>015054</w:t>
            </w:r>
            <w:r>
              <w:rPr>
                <w:rFonts w:ascii="宋体" w:hAnsi="宋体" w:hint="eastAsia"/>
                <w:kern w:val="0"/>
                <w:sz w:val="20"/>
                <w:lang w:eastAsia="zh-Hans"/>
              </w:rPr>
              <w:t xml:space="preserve"> </w:t>
            </w:r>
          </w:p>
        </w:tc>
      </w:tr>
      <w:bookmarkEnd w:id="32"/>
      <w:bookmarkEnd w:id="31"/>
      <w:tr w:rsidR="00CF6E5F">
        <w:trPr>
          <w:divId w:val="93139364"/>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CF6E5F" w:rsidRDefault="00F825F3">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lang w:eastAsia="zh-Hans"/>
              </w:rPr>
              <w:t>32,968,858.34</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lang w:eastAsia="zh-Hans"/>
              </w:rPr>
              <w:t>3,592,169.85</w:t>
            </w:r>
            <w:r>
              <w:rPr>
                <w:rFonts w:hint="eastAsia"/>
              </w:rPr>
              <w:t>份</w:t>
            </w:r>
            <w:r>
              <w:rPr>
                <w:rFonts w:ascii="宋体" w:hAnsi="宋体" w:hint="eastAsia"/>
                <w:lang w:eastAsia="zh-Hans"/>
              </w:rPr>
              <w:t xml:space="preserve"> </w:t>
            </w:r>
          </w:p>
        </w:tc>
      </w:tr>
    </w:tbl>
    <w:p w:rsidR="00CF6E5F" w:rsidRDefault="00F825F3">
      <w:pPr>
        <w:pStyle w:val="XBRLTitle1"/>
        <w:spacing w:before="156" w:line="360" w:lineRule="auto"/>
        <w:ind w:left="425"/>
      </w:pPr>
      <w:bookmarkStart w:id="33" w:name="_Toc17899954"/>
      <w:bookmarkStart w:id="34" w:name="_Toc512519482"/>
      <w:bookmarkStart w:id="35" w:name="_Toc481075049"/>
      <w:bookmarkStart w:id="36" w:name="_Toc438646455"/>
      <w:bookmarkStart w:id="37" w:name="_Toc490050003"/>
      <w:bookmarkStart w:id="38" w:name="_Toc513295848"/>
      <w:bookmarkStart w:id="39" w:name="_Toc513295894"/>
      <w:bookmarkStart w:id="40" w:name="m401_tab"/>
      <w:bookmarkStart w:id="41" w:name="m401"/>
      <w:proofErr w:type="spellStart"/>
      <w:r>
        <w:rPr>
          <w:rFonts w:hAnsi="宋体" w:hint="eastAsia"/>
        </w:rPr>
        <w:t>主要财务指标和基金净值表现</w:t>
      </w:r>
      <w:bookmarkEnd w:id="33"/>
      <w:bookmarkEnd w:id="34"/>
      <w:bookmarkEnd w:id="35"/>
      <w:bookmarkEnd w:id="36"/>
      <w:bookmarkEnd w:id="37"/>
      <w:bookmarkEnd w:id="38"/>
      <w:bookmarkEnd w:id="39"/>
      <w:proofErr w:type="spellEnd"/>
      <w:r>
        <w:rPr>
          <w:rFonts w:hAnsi="宋体" w:hint="eastAsia"/>
        </w:rPr>
        <w:t xml:space="preserve"> </w:t>
      </w:r>
    </w:p>
    <w:p w:rsidR="00CF6E5F" w:rsidRDefault="00F825F3">
      <w:pPr>
        <w:pStyle w:val="XBRLTitle2"/>
        <w:spacing w:before="156" w:line="360" w:lineRule="auto"/>
        <w:ind w:left="454"/>
      </w:pPr>
      <w:bookmarkStart w:id="42" w:name="_Toc17899955"/>
      <w:bookmarkStart w:id="43" w:name="_Toc512519483"/>
      <w:bookmarkStart w:id="44" w:name="_Toc481075050"/>
      <w:bookmarkStart w:id="45" w:name="_Toc438646456"/>
      <w:bookmarkStart w:id="46" w:name="_Toc490050004"/>
      <w:bookmarkStart w:id="47" w:name="_Toc513295849"/>
      <w:bookmarkStart w:id="48" w:name="_Toc513295895"/>
      <w:proofErr w:type="spellStart"/>
      <w:r>
        <w:rPr>
          <w:rFonts w:hAnsi="宋体" w:hint="eastAsia"/>
        </w:rPr>
        <w:t>主要财务指标</w:t>
      </w:r>
      <w:bookmarkEnd w:id="42"/>
      <w:bookmarkEnd w:id="43"/>
      <w:bookmarkEnd w:id="44"/>
      <w:bookmarkEnd w:id="45"/>
      <w:bookmarkEnd w:id="46"/>
      <w:bookmarkEnd w:id="47"/>
      <w:bookmarkEnd w:id="48"/>
      <w:proofErr w:type="spellEnd"/>
      <w:r>
        <w:rPr>
          <w:rFonts w:hAnsi="宋体" w:hint="eastAsia"/>
        </w:rPr>
        <w:t xml:space="preserve"> </w:t>
      </w:r>
    </w:p>
    <w:p w:rsidR="00CF6E5F" w:rsidRDefault="00F825F3">
      <w:pPr>
        <w:jc w:val="right"/>
        <w:divId w:val="48255344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CF6E5F">
        <w:trPr>
          <w:divId w:val="482553441"/>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CF6E5F" w:rsidRDefault="00F825F3">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CF6E5F" w:rsidRDefault="00F825F3">
            <w:pPr>
              <w:pStyle w:val="a5"/>
              <w:jc w:val="center"/>
            </w:pPr>
            <w:r>
              <w:rPr>
                <w:rFonts w:hint="eastAsia"/>
                <w:kern w:val="2"/>
                <w:sz w:val="21"/>
                <w:szCs w:val="24"/>
                <w:lang w:eastAsia="zh-Hans"/>
              </w:rPr>
              <w:t xml:space="preserve">报告期（2025年1月1日-2025年3月31日） </w:t>
            </w:r>
          </w:p>
        </w:tc>
      </w:tr>
      <w:tr w:rsidR="00CF6E5F">
        <w:trPr>
          <w:divId w:val="48255344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E5F" w:rsidRDefault="00CF6E5F">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CF6E5F" w:rsidRDefault="00F825F3">
            <w:pPr>
              <w:jc w:val="center"/>
            </w:pPr>
            <w:r>
              <w:rPr>
                <w:rFonts w:ascii="宋体" w:hAnsi="宋体" w:hint="eastAsia"/>
                <w:szCs w:val="24"/>
                <w:lang w:eastAsia="zh-Hans"/>
              </w:rPr>
              <w:t>摩根尚睿混合(FOF)A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CF6E5F" w:rsidRDefault="00F825F3">
            <w:pPr>
              <w:jc w:val="center"/>
            </w:pPr>
            <w:r>
              <w:rPr>
                <w:rFonts w:ascii="宋体" w:hAnsi="宋体" w:hint="eastAsia"/>
                <w:szCs w:val="24"/>
                <w:lang w:eastAsia="zh-Hans"/>
              </w:rPr>
              <w:t>摩根尚睿混合(FOF)C</w:t>
            </w:r>
          </w:p>
        </w:tc>
      </w:tr>
      <w:tr w:rsidR="00CF6E5F">
        <w:trPr>
          <w:divId w:val="48255344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pStyle w:val="a5"/>
            </w:pPr>
            <w:r>
              <w:rPr>
                <w:rFonts w:hint="eastAsia"/>
                <w:kern w:val="2"/>
                <w:sz w:val="21"/>
              </w:rPr>
              <w:lastRenderedPageBreak/>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jc w:val="right"/>
            </w:pPr>
            <w:r>
              <w:rPr>
                <w:rFonts w:ascii="宋体" w:hAnsi="宋体" w:hint="eastAsia"/>
                <w:szCs w:val="24"/>
                <w:lang w:eastAsia="zh-Hans"/>
              </w:rPr>
              <w:t>-126,308.23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jc w:val="right"/>
            </w:pPr>
            <w:r>
              <w:rPr>
                <w:rFonts w:ascii="宋体" w:hAnsi="宋体" w:hint="eastAsia"/>
                <w:szCs w:val="24"/>
                <w:lang w:eastAsia="zh-Hans"/>
              </w:rPr>
              <w:t>-20,688.19</w:t>
            </w:r>
          </w:p>
        </w:tc>
      </w:tr>
      <w:tr w:rsidR="00CF6E5F">
        <w:trPr>
          <w:divId w:val="48255344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jc w:val="right"/>
            </w:pPr>
            <w:r>
              <w:rPr>
                <w:rFonts w:ascii="宋体" w:hAnsi="宋体" w:hint="eastAsia"/>
                <w:szCs w:val="24"/>
                <w:lang w:eastAsia="zh-Hans"/>
              </w:rPr>
              <w:t>1,480,922.61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jc w:val="right"/>
            </w:pPr>
            <w:r>
              <w:rPr>
                <w:rFonts w:ascii="宋体" w:hAnsi="宋体" w:hint="eastAsia"/>
                <w:szCs w:val="24"/>
                <w:lang w:eastAsia="zh-Hans"/>
              </w:rPr>
              <w:t>186,243.02</w:t>
            </w:r>
          </w:p>
        </w:tc>
      </w:tr>
      <w:tr w:rsidR="00CF6E5F">
        <w:trPr>
          <w:divId w:val="48255344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jc w:val="right"/>
            </w:pPr>
            <w:r>
              <w:rPr>
                <w:rFonts w:ascii="宋体" w:hAnsi="宋体" w:hint="eastAsia"/>
                <w:szCs w:val="24"/>
                <w:lang w:eastAsia="zh-Hans"/>
              </w:rPr>
              <w:t>0.0512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jc w:val="right"/>
            </w:pPr>
            <w:r>
              <w:rPr>
                <w:rFonts w:ascii="宋体" w:hAnsi="宋体" w:hint="eastAsia"/>
                <w:szCs w:val="24"/>
                <w:lang w:eastAsia="zh-Hans"/>
              </w:rPr>
              <w:t>0.0532</w:t>
            </w:r>
          </w:p>
        </w:tc>
      </w:tr>
      <w:tr w:rsidR="00CF6E5F">
        <w:trPr>
          <w:divId w:val="48255344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jc w:val="right"/>
            </w:pPr>
            <w:r>
              <w:rPr>
                <w:rFonts w:ascii="宋体" w:hAnsi="宋体" w:hint="eastAsia"/>
                <w:szCs w:val="24"/>
                <w:lang w:eastAsia="zh-Hans"/>
              </w:rPr>
              <w:t>41,135,173.46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jc w:val="right"/>
            </w:pPr>
            <w:r>
              <w:rPr>
                <w:rFonts w:ascii="宋体" w:hAnsi="宋体" w:hint="eastAsia"/>
                <w:szCs w:val="24"/>
                <w:lang w:eastAsia="zh-Hans"/>
              </w:rPr>
              <w:t>4,401,042.99</w:t>
            </w:r>
          </w:p>
        </w:tc>
      </w:tr>
      <w:tr w:rsidR="00CF6E5F">
        <w:trPr>
          <w:divId w:val="48255344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jc w:val="right"/>
            </w:pPr>
            <w:r>
              <w:rPr>
                <w:rFonts w:ascii="宋体" w:hAnsi="宋体" w:hint="eastAsia"/>
                <w:szCs w:val="24"/>
                <w:lang w:eastAsia="zh-Hans"/>
              </w:rPr>
              <w:t>1.2477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CF6E5F" w:rsidRDefault="00F825F3">
            <w:pPr>
              <w:jc w:val="right"/>
            </w:pPr>
            <w:r>
              <w:rPr>
                <w:rFonts w:ascii="宋体" w:hAnsi="宋体" w:hint="eastAsia"/>
                <w:szCs w:val="24"/>
                <w:lang w:eastAsia="zh-Hans"/>
              </w:rPr>
              <w:t>1.2252</w:t>
            </w:r>
          </w:p>
        </w:tc>
      </w:tr>
    </w:tbl>
    <w:p w:rsidR="00CF6E5F" w:rsidRDefault="00F825F3">
      <w:pPr>
        <w:wordWrap w:val="0"/>
        <w:spacing w:line="360" w:lineRule="auto"/>
        <w:jc w:val="left"/>
        <w:divId w:val="1440874537"/>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CF6E5F" w:rsidRDefault="00F825F3">
      <w:pPr>
        <w:pStyle w:val="XBRLTitle2"/>
        <w:spacing w:before="156" w:line="360" w:lineRule="auto"/>
        <w:ind w:left="454"/>
      </w:pPr>
      <w:bookmarkStart w:id="49" w:name="_Toc17899956"/>
      <w:bookmarkStart w:id="50" w:name="_Toc512519484"/>
      <w:bookmarkStart w:id="51" w:name="_Toc481075051"/>
      <w:bookmarkStart w:id="52" w:name="_Toc438646457"/>
      <w:bookmarkStart w:id="53" w:name="_Toc490050005"/>
      <w:bookmarkStart w:id="54" w:name="_Toc513295850"/>
      <w:bookmarkStart w:id="55" w:name="_Toc513295896"/>
      <w:proofErr w:type="spellStart"/>
      <w:r>
        <w:rPr>
          <w:rFonts w:hAnsi="宋体" w:hint="eastAsia"/>
        </w:rPr>
        <w:t>基金净值表现</w:t>
      </w:r>
      <w:bookmarkEnd w:id="49"/>
      <w:bookmarkEnd w:id="50"/>
      <w:bookmarkEnd w:id="51"/>
      <w:bookmarkEnd w:id="52"/>
      <w:bookmarkEnd w:id="53"/>
      <w:bookmarkEnd w:id="54"/>
      <w:bookmarkEnd w:id="55"/>
      <w:proofErr w:type="spellEnd"/>
      <w:r>
        <w:rPr>
          <w:rFonts w:hAnsi="宋体" w:hint="eastAsia"/>
        </w:rPr>
        <w:t xml:space="preserve"> </w:t>
      </w:r>
    </w:p>
    <w:p w:rsidR="00CF6E5F" w:rsidRDefault="00F825F3">
      <w:pPr>
        <w:pStyle w:val="XBRLTitle3"/>
        <w:spacing w:before="156"/>
        <w:ind w:left="0"/>
      </w:pPr>
      <w:bookmarkStart w:id="56" w:name="_Toc17899957"/>
      <w:bookmarkStart w:id="57" w:name="_Toc512519485"/>
      <w:bookmarkStart w:id="58" w:name="_Toc481075052"/>
      <w:bookmarkStart w:id="59" w:name="_Toc490050006"/>
      <w:bookmarkStart w:id="60" w:name="_Toc513295897"/>
      <w:proofErr w:type="spellStart"/>
      <w:r>
        <w:rPr>
          <w:rFonts w:hint="eastAsia"/>
        </w:rPr>
        <w:t>基金份额净值增长率及其与同期业绩比较基准收益率的比较</w:t>
      </w:r>
      <w:bookmarkEnd w:id="56"/>
      <w:bookmarkEnd w:id="57"/>
      <w:bookmarkEnd w:id="58"/>
      <w:bookmarkEnd w:id="59"/>
      <w:bookmarkEnd w:id="60"/>
      <w:proofErr w:type="spellEnd"/>
      <w:r>
        <w:rPr>
          <w:rFonts w:hint="eastAsia"/>
          <w:lang w:eastAsia="zh-CN"/>
        </w:rPr>
        <w:t xml:space="preserve"> </w:t>
      </w:r>
    </w:p>
    <w:p w:rsidR="00CF6E5F" w:rsidRDefault="00F825F3">
      <w:pPr>
        <w:spacing w:line="360" w:lineRule="auto"/>
        <w:jc w:val="center"/>
        <w:divId w:val="540551868"/>
      </w:pPr>
      <w:r>
        <w:rPr>
          <w:rFonts w:ascii="宋体" w:hAnsi="宋体" w:hint="eastAsia"/>
        </w:rPr>
        <w:t>摩根尚睿混合(FOF)A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CF6E5F">
        <w:trPr>
          <w:divId w:val="54055186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6E5F" w:rsidRDefault="00F825F3">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 xml:space="preserve">②－④ </w:t>
            </w:r>
          </w:p>
        </w:tc>
      </w:tr>
      <w:tr w:rsidR="00CF6E5F">
        <w:trPr>
          <w:divId w:val="54055186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4.65%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2.74%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vAlign w:val="center"/>
            <w:hideMark/>
          </w:tcPr>
          <w:p w:rsidR="00CF6E5F" w:rsidRDefault="00F825F3">
            <w:pPr>
              <w:spacing w:line="360" w:lineRule="auto"/>
              <w:jc w:val="right"/>
            </w:pPr>
            <w:r>
              <w:rPr>
                <w:rFonts w:ascii="宋体" w:hAnsi="宋体" w:hint="eastAsia"/>
              </w:rPr>
              <w:t xml:space="preserve">1.91%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0.23% </w:t>
            </w:r>
          </w:p>
        </w:tc>
      </w:tr>
      <w:tr w:rsidR="00CF6E5F">
        <w:trPr>
          <w:divId w:val="54055186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3.88%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vAlign w:val="center"/>
            <w:hideMark/>
          </w:tcPr>
          <w:p w:rsidR="00CF6E5F" w:rsidRDefault="00F825F3">
            <w:pPr>
              <w:spacing w:line="360" w:lineRule="auto"/>
              <w:jc w:val="right"/>
            </w:pPr>
            <w:r>
              <w:rPr>
                <w:rFonts w:ascii="宋体" w:hAnsi="宋体" w:hint="eastAsia"/>
              </w:rPr>
              <w:t xml:space="preserve">2.78%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0.22% </w:t>
            </w:r>
          </w:p>
        </w:tc>
      </w:tr>
      <w:tr w:rsidR="00CF6E5F">
        <w:trPr>
          <w:divId w:val="54055186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15.47%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9.04%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vAlign w:val="center"/>
            <w:hideMark/>
          </w:tcPr>
          <w:p w:rsidR="00CF6E5F" w:rsidRDefault="00F825F3">
            <w:pPr>
              <w:spacing w:line="360" w:lineRule="auto"/>
              <w:jc w:val="right"/>
            </w:pPr>
            <w:r>
              <w:rPr>
                <w:rFonts w:ascii="宋体" w:hAnsi="宋体" w:hint="eastAsia"/>
              </w:rPr>
              <w:t xml:space="preserve">6.43%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0.24% </w:t>
            </w:r>
          </w:p>
        </w:tc>
      </w:tr>
      <w:tr w:rsidR="00CF6E5F">
        <w:trPr>
          <w:divId w:val="54055186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-5.28%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-9.78%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rsidR="00CF6E5F" w:rsidRDefault="00F825F3">
            <w:pPr>
              <w:spacing w:line="360" w:lineRule="auto"/>
              <w:jc w:val="right"/>
            </w:pPr>
            <w:r>
              <w:rPr>
                <w:rFonts w:ascii="宋体" w:hAnsi="宋体" w:hint="eastAsia"/>
              </w:rPr>
              <w:t xml:space="preserve">4.50%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0.20% </w:t>
            </w:r>
          </w:p>
        </w:tc>
      </w:tr>
      <w:tr w:rsidR="00CF6E5F">
        <w:trPr>
          <w:divId w:val="54055186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8.91%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1.64%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rsidR="00CF6E5F" w:rsidRDefault="00F825F3">
            <w:pPr>
              <w:spacing w:line="360" w:lineRule="auto"/>
              <w:jc w:val="right"/>
            </w:pPr>
            <w:r>
              <w:rPr>
                <w:rFonts w:ascii="宋体" w:hAnsi="宋体" w:hint="eastAsia"/>
              </w:rPr>
              <w:t xml:space="preserve">7.27%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0.17% </w:t>
            </w:r>
          </w:p>
        </w:tc>
      </w:tr>
      <w:tr w:rsidR="00CF6E5F">
        <w:trPr>
          <w:divId w:val="54055186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24.77%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10.08%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0.82% </w:t>
            </w:r>
          </w:p>
        </w:tc>
        <w:tc>
          <w:tcPr>
            <w:tcW w:w="728" w:type="pct"/>
            <w:tcBorders>
              <w:top w:val="single" w:sz="4" w:space="0" w:color="auto"/>
              <w:left w:val="single" w:sz="4" w:space="0" w:color="auto"/>
              <w:bottom w:val="single" w:sz="4" w:space="0" w:color="auto"/>
              <w:right w:val="single" w:sz="4" w:space="0" w:color="auto"/>
            </w:tcBorders>
            <w:vAlign w:val="center"/>
            <w:hideMark/>
          </w:tcPr>
          <w:p w:rsidR="00CF6E5F" w:rsidRDefault="00F825F3">
            <w:pPr>
              <w:spacing w:line="360" w:lineRule="auto"/>
              <w:jc w:val="right"/>
            </w:pPr>
            <w:r>
              <w:rPr>
                <w:rFonts w:ascii="宋体" w:hAnsi="宋体" w:hint="eastAsia"/>
              </w:rPr>
              <w:t xml:space="preserve">14.69%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0.10% </w:t>
            </w:r>
          </w:p>
        </w:tc>
      </w:tr>
    </w:tbl>
    <w:p w:rsidR="00CF6E5F" w:rsidRDefault="00F825F3">
      <w:pPr>
        <w:spacing w:line="360" w:lineRule="auto"/>
        <w:jc w:val="center"/>
        <w:divId w:val="1415669548"/>
      </w:pPr>
      <w:r>
        <w:rPr>
          <w:rFonts w:ascii="宋体" w:hAnsi="宋体" w:hint="eastAsia"/>
        </w:rPr>
        <w:t>摩根尚睿混合(FOF)C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CF6E5F">
        <w:trPr>
          <w:divId w:val="141566954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6E5F" w:rsidRDefault="00F825F3">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 xml:space="preserve">②－④ </w:t>
            </w:r>
          </w:p>
        </w:tc>
      </w:tr>
      <w:tr w:rsidR="00CF6E5F">
        <w:trPr>
          <w:divId w:val="141566954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4.49%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2.74%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0.85% </w:t>
            </w:r>
          </w:p>
        </w:tc>
        <w:tc>
          <w:tcPr>
            <w:tcW w:w="728" w:type="pct"/>
            <w:tcBorders>
              <w:top w:val="single" w:sz="4" w:space="0" w:color="auto"/>
              <w:left w:val="single" w:sz="4" w:space="0" w:color="auto"/>
              <w:bottom w:val="single" w:sz="4" w:space="0" w:color="auto"/>
              <w:right w:val="single" w:sz="4" w:space="0" w:color="auto"/>
            </w:tcBorders>
            <w:vAlign w:val="center"/>
            <w:hideMark/>
          </w:tcPr>
          <w:p w:rsidR="00CF6E5F" w:rsidRDefault="00F825F3">
            <w:pPr>
              <w:spacing w:line="360" w:lineRule="auto"/>
              <w:jc w:val="right"/>
            </w:pPr>
            <w:r>
              <w:rPr>
                <w:rFonts w:ascii="宋体" w:hAnsi="宋体" w:hint="eastAsia"/>
              </w:rPr>
              <w:t xml:space="preserve">1.75%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0.23% </w:t>
            </w:r>
          </w:p>
        </w:tc>
      </w:tr>
      <w:tr w:rsidR="00CF6E5F">
        <w:trPr>
          <w:divId w:val="141566954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3.58%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vAlign w:val="center"/>
            <w:hideMark/>
          </w:tcPr>
          <w:p w:rsidR="00CF6E5F" w:rsidRDefault="00F825F3">
            <w:pPr>
              <w:spacing w:line="360" w:lineRule="auto"/>
              <w:jc w:val="right"/>
            </w:pPr>
            <w:r>
              <w:rPr>
                <w:rFonts w:ascii="宋体" w:hAnsi="宋体" w:hint="eastAsia"/>
              </w:rPr>
              <w:t xml:space="preserve">2.48%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0.21% </w:t>
            </w:r>
          </w:p>
        </w:tc>
      </w:tr>
      <w:tr w:rsidR="00CF6E5F">
        <w:trPr>
          <w:divId w:val="141566954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14.78%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9.04%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vAlign w:val="center"/>
            <w:hideMark/>
          </w:tcPr>
          <w:p w:rsidR="00CF6E5F" w:rsidRDefault="00F825F3">
            <w:pPr>
              <w:spacing w:line="360" w:lineRule="auto"/>
              <w:jc w:val="right"/>
            </w:pPr>
            <w:r>
              <w:rPr>
                <w:rFonts w:ascii="宋体" w:hAnsi="宋体" w:hint="eastAsia"/>
              </w:rPr>
              <w:t xml:space="preserve">5.74%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0.24% </w:t>
            </w:r>
          </w:p>
        </w:tc>
      </w:tr>
      <w:tr w:rsidR="00CF6E5F">
        <w:trPr>
          <w:divId w:val="141566954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-6.96%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-9.78%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vAlign w:val="center"/>
            <w:hideMark/>
          </w:tcPr>
          <w:p w:rsidR="00CF6E5F" w:rsidRDefault="00F825F3">
            <w:pPr>
              <w:spacing w:line="360" w:lineRule="auto"/>
              <w:jc w:val="right"/>
            </w:pPr>
            <w:r>
              <w:rPr>
                <w:rFonts w:ascii="宋体" w:hAnsi="宋体" w:hint="eastAsia"/>
              </w:rPr>
              <w:t xml:space="preserve">2.82%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0.20% </w:t>
            </w:r>
          </w:p>
        </w:tc>
      </w:tr>
      <w:tr w:rsidR="00CF6E5F">
        <w:trPr>
          <w:divId w:val="141566954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center"/>
            </w:pPr>
            <w:r>
              <w:rPr>
                <w:rFonts w:ascii="宋体" w:hAnsi="宋体" w:hint="eastAsia"/>
              </w:rPr>
              <w:lastRenderedPageBreak/>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-13.31%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-14.45%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rsidR="00CF6E5F" w:rsidRDefault="00F825F3">
            <w:pPr>
              <w:spacing w:line="360" w:lineRule="auto"/>
              <w:jc w:val="right"/>
            </w:pPr>
            <w:r>
              <w:rPr>
                <w:rFonts w:ascii="宋体" w:hAnsi="宋体" w:hint="eastAsia"/>
              </w:rPr>
              <w:t xml:space="preserve">1.14%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spacing w:line="360" w:lineRule="auto"/>
              <w:jc w:val="right"/>
            </w:pPr>
            <w:r>
              <w:rPr>
                <w:rFonts w:ascii="宋体" w:hAnsi="宋体" w:hint="eastAsia"/>
              </w:rPr>
              <w:t xml:space="preserve">0.20% </w:t>
            </w:r>
          </w:p>
        </w:tc>
      </w:tr>
    </w:tbl>
    <w:p w:rsidR="00CF6E5F" w:rsidRDefault="00F825F3">
      <w:pPr>
        <w:pStyle w:val="XBRLTitle3"/>
        <w:spacing w:before="156"/>
        <w:ind w:left="0"/>
      </w:pPr>
      <w:bookmarkStart w:id="61" w:name="_Toc17899958"/>
      <w:bookmarkStart w:id="62" w:name="_Toc512519486"/>
      <w:bookmarkStart w:id="63" w:name="_Toc481075053"/>
      <w:bookmarkStart w:id="64" w:name="_Toc490050007"/>
      <w:bookmarkStart w:id="65" w:name="_Toc513295898"/>
      <w:proofErr w:type="spellStart"/>
      <w:r>
        <w:rPr>
          <w:rFonts w:hint="eastAsia"/>
        </w:rPr>
        <w:t>自基金合同生效以来基金累计净值增长率变动及其与同期业绩比较基准收益率变动的比较</w:t>
      </w:r>
      <w:bookmarkEnd w:id="61"/>
      <w:bookmarkEnd w:id="62"/>
      <w:bookmarkEnd w:id="63"/>
      <w:bookmarkEnd w:id="64"/>
      <w:bookmarkEnd w:id="65"/>
      <w:proofErr w:type="spellEnd"/>
    </w:p>
    <w:p w:rsidR="00CF6E5F" w:rsidRDefault="00F825F3">
      <w:pPr>
        <w:spacing w:line="360" w:lineRule="auto"/>
        <w:jc w:val="left"/>
        <w:divId w:val="1308321672"/>
      </w:pPr>
      <w:bookmarkStart w:id="66" w:name="m07_04_07_09"/>
      <w:bookmarkStart w:id="67"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CF6E5F" w:rsidRDefault="00F825F3">
      <w:pPr>
        <w:spacing w:line="360" w:lineRule="auto"/>
        <w:jc w:val="left"/>
        <w:divId w:val="97919167"/>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CF6E5F" w:rsidRDefault="00F825F3">
      <w:pPr>
        <w:spacing w:line="360" w:lineRule="auto"/>
      </w:pPr>
      <w:r>
        <w:rPr>
          <w:rFonts w:ascii="宋体" w:hAnsi="宋体" w:hint="eastAsia"/>
        </w:rPr>
        <w:t>注：</w:t>
      </w:r>
      <w:r>
        <w:rPr>
          <w:rFonts w:ascii="宋体" w:hAnsi="宋体" w:hint="eastAsia"/>
          <w:lang w:eastAsia="zh-Hans"/>
        </w:rPr>
        <w:t>本基金合同生效日为2018年8月15日，图示的时间段为合同生效日至本报告期末。</w:t>
      </w:r>
      <w:r>
        <w:rPr>
          <w:rFonts w:ascii="宋体" w:hAnsi="宋体" w:hint="eastAsia"/>
          <w:lang w:eastAsia="zh-Hans"/>
        </w:rPr>
        <w:br/>
        <w:t xml:space="preserve">　　本基金自 2022年2月8日起增加C类份额，相关数据按实际存续期计算。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rsidR="00CF6E5F" w:rsidRDefault="00F825F3">
      <w:pPr>
        <w:pStyle w:val="XBRLTitle1"/>
        <w:spacing w:before="156" w:line="360" w:lineRule="auto"/>
        <w:ind w:left="425"/>
      </w:pPr>
      <w:bookmarkStart w:id="68" w:name="_Toc17899960"/>
      <w:bookmarkStart w:id="69" w:name="_Toc481075054"/>
      <w:bookmarkStart w:id="70" w:name="_Toc438646458"/>
      <w:bookmarkStart w:id="71" w:name="_Toc490050008"/>
      <w:bookmarkStart w:id="72" w:name="_Toc512519487"/>
      <w:bookmarkStart w:id="73" w:name="_Toc513295851"/>
      <w:bookmarkStart w:id="74" w:name="_Toc513295899"/>
      <w:proofErr w:type="spellStart"/>
      <w:r>
        <w:rPr>
          <w:rFonts w:hAnsi="宋体" w:hint="eastAsia"/>
        </w:rPr>
        <w:lastRenderedPageBreak/>
        <w:t>管理人报告</w:t>
      </w:r>
      <w:bookmarkEnd w:id="68"/>
      <w:bookmarkEnd w:id="69"/>
      <w:bookmarkEnd w:id="70"/>
      <w:bookmarkEnd w:id="71"/>
      <w:bookmarkEnd w:id="72"/>
      <w:bookmarkEnd w:id="73"/>
      <w:bookmarkEnd w:id="74"/>
      <w:proofErr w:type="spellEnd"/>
      <w:r>
        <w:rPr>
          <w:rFonts w:hAnsi="宋体" w:hint="eastAsia"/>
        </w:rPr>
        <w:t xml:space="preserve"> </w:t>
      </w:r>
    </w:p>
    <w:p w:rsidR="00CF6E5F" w:rsidRDefault="00F825F3">
      <w:pPr>
        <w:pStyle w:val="XBRLTitle2"/>
        <w:spacing w:before="156" w:line="360" w:lineRule="auto"/>
        <w:ind w:left="454"/>
      </w:pPr>
      <w:bookmarkStart w:id="75" w:name="_Toc17899961"/>
      <w:bookmarkStart w:id="76" w:name="_Toc481075055"/>
      <w:bookmarkStart w:id="77" w:name="_Toc438646459"/>
      <w:bookmarkStart w:id="78" w:name="_Toc490050009"/>
      <w:bookmarkStart w:id="79" w:name="_Toc512519488"/>
      <w:bookmarkStart w:id="80" w:name="_Toc513295852"/>
      <w:bookmarkStart w:id="81" w:name="_Toc513295900"/>
      <w:proofErr w:type="spellStart"/>
      <w:r>
        <w:rPr>
          <w:rFonts w:hAnsi="宋体" w:hint="eastAsia"/>
        </w:rPr>
        <w:t>基金经理（或基金经理小组）简介</w:t>
      </w:r>
      <w:bookmarkEnd w:id="75"/>
      <w:bookmarkEnd w:id="76"/>
      <w:bookmarkEnd w:id="77"/>
      <w:bookmarkEnd w:id="78"/>
      <w:bookmarkEnd w:id="79"/>
      <w:bookmarkEnd w:id="80"/>
      <w:bookmarkEnd w:id="81"/>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CF6E5F">
        <w:trPr>
          <w:divId w:val="1429691818"/>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6E5F" w:rsidRDefault="00F825F3">
            <w:pPr>
              <w:snapToGrid w:val="0"/>
              <w:jc w:val="center"/>
            </w:pPr>
            <w:bookmarkStart w:id="82" w:name="m04_02"/>
            <w:bookmarkEnd w:id="82"/>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6E5F" w:rsidRDefault="00F825F3">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6E5F" w:rsidRDefault="00F825F3">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6E5F" w:rsidRDefault="00F825F3">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6E5F" w:rsidRDefault="00F825F3">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CF6E5F">
        <w:trPr>
          <w:divId w:val="1429691818"/>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6E5F" w:rsidRDefault="00CF6E5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E5F" w:rsidRDefault="00CF6E5F">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6E5F" w:rsidRDefault="00F825F3">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6E5F" w:rsidRDefault="00F825F3">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E5F" w:rsidRDefault="00CF6E5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6E5F" w:rsidRDefault="00CF6E5F">
            <w:pPr>
              <w:widowControl/>
              <w:jc w:val="left"/>
            </w:pPr>
          </w:p>
        </w:tc>
      </w:tr>
      <w:tr w:rsidR="00CF6E5F">
        <w:trPr>
          <w:divId w:val="142969181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szCs w:val="24"/>
                <w:lang w:eastAsia="zh-Hans"/>
              </w:rPr>
              <w:t>吴春杰</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szCs w:val="24"/>
                <w:lang w:eastAsia="zh-Hans"/>
              </w:rPr>
              <w:t>2022年3月4日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left"/>
            </w:pPr>
            <w:r>
              <w:rPr>
                <w:rFonts w:ascii="宋体" w:hAnsi="宋体" w:hint="eastAsia"/>
                <w:szCs w:val="24"/>
                <w:lang w:eastAsia="zh-Hans"/>
              </w:rPr>
              <w:t>吴春杰女士曾任长江证券股份有限公司宏观策略分析师，中国太平洋人寿保险有限公司资产配置中心配置策略经理，上海景熙资产管理有限公司投资经理/宏观策略研究。2018年7月加入摩根基金管理（中国）有限公司（原上投摩根基金管理有限公司），历任宏观研究员，现任高级基金经理。</w:t>
            </w:r>
          </w:p>
        </w:tc>
      </w:tr>
    </w:tbl>
    <w:p w:rsidR="00CF6E5F" w:rsidRDefault="00F825F3">
      <w:pPr>
        <w:wordWrap w:val="0"/>
        <w:spacing w:line="360" w:lineRule="auto"/>
        <w:jc w:val="left"/>
        <w:divId w:val="1814564031"/>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CF6E5F" w:rsidRDefault="00F825F3">
      <w:pPr>
        <w:pStyle w:val="XBRLTitle2"/>
        <w:spacing w:before="156" w:line="360" w:lineRule="auto"/>
        <w:ind w:left="454"/>
      </w:pPr>
      <w:bookmarkStart w:id="83" w:name="_Toc17899962"/>
      <w:bookmarkStart w:id="84" w:name="_Toc481075056"/>
      <w:bookmarkStart w:id="85" w:name="_Toc438646460"/>
      <w:bookmarkStart w:id="86" w:name="_Toc490050010"/>
      <w:bookmarkStart w:id="87" w:name="_Toc512519489"/>
      <w:bookmarkStart w:id="88" w:name="_Toc513295853"/>
      <w:bookmarkStart w:id="89" w:name="_Toc513295901"/>
      <w:bookmarkStart w:id="90" w:name="m402"/>
      <w:proofErr w:type="spellStart"/>
      <w:r>
        <w:rPr>
          <w:rFonts w:hAnsi="宋体" w:hint="eastAsia"/>
        </w:rPr>
        <w:t>管理人对报告期内本基金运作遵规守信情况的说明</w:t>
      </w:r>
      <w:bookmarkEnd w:id="83"/>
      <w:bookmarkEnd w:id="84"/>
      <w:bookmarkEnd w:id="85"/>
      <w:bookmarkEnd w:id="86"/>
      <w:bookmarkEnd w:id="87"/>
      <w:bookmarkEnd w:id="88"/>
      <w:bookmarkEnd w:id="89"/>
      <w:proofErr w:type="spellEnd"/>
      <w:r>
        <w:rPr>
          <w:rFonts w:hAnsi="宋体" w:hint="eastAsia"/>
        </w:rPr>
        <w:t xml:space="preserve"> </w:t>
      </w:r>
    </w:p>
    <w:p w:rsidR="00CF6E5F" w:rsidRDefault="00F825F3">
      <w:pPr>
        <w:spacing w:line="360" w:lineRule="auto"/>
        <w:ind w:firstLineChars="200" w:firstLine="420"/>
        <w:jc w:val="left"/>
      </w:pPr>
      <w:bookmarkStart w:id="91" w:name="m403"/>
      <w:bookmarkEnd w:id="90"/>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CF6E5F" w:rsidRDefault="00F825F3">
      <w:pPr>
        <w:pStyle w:val="XBRLTitle2"/>
        <w:spacing w:before="156" w:line="360" w:lineRule="auto"/>
        <w:ind w:left="454"/>
      </w:pPr>
      <w:bookmarkStart w:id="92" w:name="_Toc17899963"/>
      <w:bookmarkStart w:id="93" w:name="_Toc481075057"/>
      <w:bookmarkStart w:id="94" w:name="_Toc438646462"/>
      <w:bookmarkStart w:id="95" w:name="_Toc490050011"/>
      <w:bookmarkStart w:id="96" w:name="_Toc512519490"/>
      <w:bookmarkStart w:id="97" w:name="_Toc513295854"/>
      <w:bookmarkStart w:id="98" w:name="_Toc513295902"/>
      <w:bookmarkEnd w:id="91"/>
      <w:proofErr w:type="spellStart"/>
      <w:r>
        <w:rPr>
          <w:rFonts w:hAnsi="宋体" w:hint="eastAsia"/>
        </w:rPr>
        <w:t>公平交易专项说明</w:t>
      </w:r>
      <w:bookmarkEnd w:id="92"/>
      <w:bookmarkEnd w:id="93"/>
      <w:bookmarkEnd w:id="94"/>
      <w:bookmarkEnd w:id="95"/>
      <w:bookmarkEnd w:id="96"/>
      <w:bookmarkEnd w:id="97"/>
      <w:bookmarkEnd w:id="98"/>
      <w:proofErr w:type="spellEnd"/>
      <w:r>
        <w:rPr>
          <w:rFonts w:hAnsi="宋体" w:hint="eastAsia"/>
        </w:rPr>
        <w:t xml:space="preserve"> </w:t>
      </w:r>
    </w:p>
    <w:p w:rsidR="00CF6E5F" w:rsidRDefault="00F825F3">
      <w:pPr>
        <w:pStyle w:val="XBRLTitle3"/>
        <w:spacing w:before="156"/>
        <w:ind w:left="0"/>
      </w:pPr>
      <w:bookmarkStart w:id="99" w:name="_Toc17899964"/>
      <w:bookmarkStart w:id="100" w:name="_Toc481075058"/>
      <w:bookmarkStart w:id="101" w:name="_Toc490050012"/>
      <w:bookmarkStart w:id="102" w:name="_Toc512519491"/>
      <w:bookmarkStart w:id="103" w:name="_Toc513295903"/>
      <w:bookmarkStart w:id="104" w:name="m404_01_0570"/>
      <w:proofErr w:type="spellStart"/>
      <w:r>
        <w:rPr>
          <w:rFonts w:hint="eastAsia"/>
        </w:rPr>
        <w:t>公平交易制度的执行情况</w:t>
      </w:r>
      <w:bookmarkEnd w:id="99"/>
      <w:bookmarkEnd w:id="100"/>
      <w:bookmarkEnd w:id="101"/>
      <w:bookmarkEnd w:id="102"/>
      <w:bookmarkEnd w:id="103"/>
      <w:proofErr w:type="spellEnd"/>
    </w:p>
    <w:p w:rsidR="00CF6E5F" w:rsidRDefault="00F825F3">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lastRenderedPageBreak/>
        <w:t xml:space="preserve">　　报告期内，通过对不同投资组合之间的收益率差异比较、对同向交易和反向交易的交易时机和交易价差监控分析，未发现整体公平交易执行出现异常的情况。</w:t>
      </w:r>
    </w:p>
    <w:p w:rsidR="00CF6E5F" w:rsidRDefault="00F825F3">
      <w:pPr>
        <w:pStyle w:val="XBRLTitle3"/>
        <w:spacing w:before="156"/>
        <w:ind w:left="0"/>
      </w:pPr>
      <w:bookmarkStart w:id="105" w:name="_Toc17899965"/>
      <w:bookmarkStart w:id="106" w:name="_Toc481075059"/>
      <w:bookmarkStart w:id="107" w:name="_Toc490050013"/>
      <w:bookmarkStart w:id="108" w:name="_Toc512519492"/>
      <w:bookmarkStart w:id="109" w:name="_Toc513295904"/>
      <w:bookmarkStart w:id="110" w:name="m404_01_0578"/>
      <w:bookmarkEnd w:id="104"/>
      <w:proofErr w:type="spellStart"/>
      <w:r>
        <w:rPr>
          <w:rFonts w:hint="eastAsia"/>
        </w:rPr>
        <w:t>异常交易行为的专项说明</w:t>
      </w:r>
      <w:bookmarkEnd w:id="105"/>
      <w:bookmarkEnd w:id="106"/>
      <w:bookmarkEnd w:id="107"/>
      <w:bookmarkEnd w:id="108"/>
      <w:bookmarkEnd w:id="109"/>
      <w:proofErr w:type="spellEnd"/>
    </w:p>
    <w:p w:rsidR="00CF6E5F" w:rsidRDefault="00F825F3">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CF6E5F" w:rsidRDefault="00F825F3">
      <w:pPr>
        <w:pStyle w:val="XBRLTitle2"/>
        <w:spacing w:before="156" w:line="360" w:lineRule="auto"/>
        <w:ind w:left="454"/>
      </w:pPr>
      <w:bookmarkStart w:id="111" w:name="_Toc17899966"/>
      <w:bookmarkStart w:id="112" w:name="_Toc481075061"/>
      <w:bookmarkStart w:id="113" w:name="_Toc490050014"/>
      <w:bookmarkStart w:id="114" w:name="_Toc512519493"/>
      <w:bookmarkStart w:id="115" w:name="_Toc513295855"/>
      <w:bookmarkStart w:id="116" w:name="_Toc513295905"/>
      <w:bookmarkStart w:id="117" w:name="m405_01_2550"/>
      <w:bookmarkEnd w:id="110"/>
      <w:proofErr w:type="spellStart"/>
      <w:r>
        <w:rPr>
          <w:rFonts w:hAnsi="宋体" w:hint="eastAsia"/>
        </w:rPr>
        <w:t>报告期内基金的投资策略和运作分析</w:t>
      </w:r>
      <w:bookmarkEnd w:id="111"/>
      <w:bookmarkEnd w:id="112"/>
      <w:bookmarkEnd w:id="113"/>
      <w:bookmarkEnd w:id="114"/>
      <w:bookmarkEnd w:id="115"/>
      <w:bookmarkEnd w:id="116"/>
      <w:proofErr w:type="spellEnd"/>
      <w:r>
        <w:rPr>
          <w:rFonts w:hAnsi="宋体" w:hint="eastAsia"/>
        </w:rPr>
        <w:t xml:space="preserve"> </w:t>
      </w:r>
    </w:p>
    <w:p w:rsidR="00CF6E5F" w:rsidRDefault="00F825F3">
      <w:pPr>
        <w:spacing w:line="360" w:lineRule="auto"/>
        <w:ind w:firstLineChars="200" w:firstLine="420"/>
        <w:jc w:val="left"/>
      </w:pPr>
      <w:r>
        <w:rPr>
          <w:rFonts w:ascii="宋体" w:hAnsi="宋体" w:cs="宋体" w:hint="eastAsia"/>
          <w:color w:val="000000"/>
          <w:kern w:val="0"/>
        </w:rPr>
        <w:t>2025年一季度，宏观经济运行平稳，国内权益市场总体震荡走平，中证800涨跌幅为-0.3%；但结构上不乏亮点。春节之后</w:t>
      </w:r>
      <w:proofErr w:type="spellStart"/>
      <w:r>
        <w:rPr>
          <w:rFonts w:ascii="宋体" w:hAnsi="宋体" w:cs="宋体" w:hint="eastAsia"/>
          <w:color w:val="000000"/>
          <w:kern w:val="0"/>
        </w:rPr>
        <w:t>Deepseek</w:t>
      </w:r>
      <w:proofErr w:type="spellEnd"/>
      <w:r>
        <w:rPr>
          <w:rFonts w:ascii="宋体" w:hAnsi="宋体" w:cs="宋体" w:hint="eastAsia"/>
          <w:color w:val="000000"/>
          <w:kern w:val="0"/>
        </w:rPr>
        <w:t>带动A股、港股相关科技股走强，部分周期板块受益于产能去化，医药等</w:t>
      </w:r>
      <w:proofErr w:type="gramStart"/>
      <w:r>
        <w:rPr>
          <w:rFonts w:ascii="宋体" w:hAnsi="宋体" w:cs="宋体" w:hint="eastAsia"/>
          <w:color w:val="000000"/>
          <w:kern w:val="0"/>
        </w:rPr>
        <w:t>消费股</w:t>
      </w:r>
      <w:proofErr w:type="gramEnd"/>
      <w:r>
        <w:rPr>
          <w:rFonts w:ascii="宋体" w:hAnsi="宋体" w:cs="宋体" w:hint="eastAsia"/>
          <w:color w:val="000000"/>
          <w:kern w:val="0"/>
        </w:rPr>
        <w:t>在季度末也有所表现。一季度政府债券发行较多，短端流动性小幅偏紧，叠加市场风险偏好上升，国内债券收益率整体上行。一季度，10年期国债收益率上行14BP至1.81%，曲线走平。</w:t>
      </w:r>
      <w:r>
        <w:rPr>
          <w:rFonts w:ascii="宋体" w:hAnsi="宋体" w:cs="宋体" w:hint="eastAsia"/>
          <w:color w:val="000000"/>
          <w:kern w:val="0"/>
        </w:rPr>
        <w:br/>
        <w:t xml:space="preserve">　　海外方面，美股先涨后跌，</w:t>
      </w:r>
      <w:proofErr w:type="gramStart"/>
      <w:r>
        <w:rPr>
          <w:rFonts w:ascii="宋体" w:hAnsi="宋体" w:cs="宋体" w:hint="eastAsia"/>
          <w:color w:val="000000"/>
          <w:kern w:val="0"/>
        </w:rPr>
        <w:t>标普</w:t>
      </w:r>
      <w:proofErr w:type="gramEnd"/>
      <w:r>
        <w:rPr>
          <w:rFonts w:ascii="宋体" w:hAnsi="宋体" w:cs="宋体" w:hint="eastAsia"/>
          <w:color w:val="000000"/>
          <w:kern w:val="0"/>
        </w:rPr>
        <w:t>500指数区间涨跌幅为-4.6%。进入2月中旬，美国对贸易伙伴的加征关税政策开始逐步落地，经济前景的不确定性上升，市场风险偏好回落。德国财政扩张计划逐步提上日程，欧元区股市表现明显强于美国，德国DAX指数一季度涨幅超过10%。美债方面，美国消费者信心走弱，市场对美联储年内降息预期升温，</w:t>
      </w:r>
      <w:proofErr w:type="gramStart"/>
      <w:r>
        <w:rPr>
          <w:rFonts w:ascii="宋体" w:hAnsi="宋体" w:cs="宋体" w:hint="eastAsia"/>
          <w:color w:val="000000"/>
          <w:kern w:val="0"/>
        </w:rPr>
        <w:t>10年期美债</w:t>
      </w:r>
      <w:proofErr w:type="gramEnd"/>
      <w:r>
        <w:rPr>
          <w:rFonts w:ascii="宋体" w:hAnsi="宋体" w:cs="宋体" w:hint="eastAsia"/>
          <w:color w:val="000000"/>
          <w:kern w:val="0"/>
        </w:rPr>
        <w:t xml:space="preserve">收益率一季度下行35BP至4.23%。 </w:t>
      </w:r>
      <w:r>
        <w:rPr>
          <w:rFonts w:ascii="宋体" w:hAnsi="宋体" w:cs="宋体" w:hint="eastAsia"/>
          <w:color w:val="000000"/>
          <w:kern w:val="0"/>
        </w:rPr>
        <w:br/>
        <w:t xml:space="preserve">　　回顾基金在一季度的操作，大类资产配置上对高风险资产维持中性到超配区间操作，超配港股为主，3月份考虑美国关税政策扰动，小幅降低组合的风险敞口。债券基金部分，</w:t>
      </w:r>
      <w:proofErr w:type="gramStart"/>
      <w:r>
        <w:rPr>
          <w:rFonts w:ascii="宋体" w:hAnsi="宋体" w:cs="宋体" w:hint="eastAsia"/>
          <w:color w:val="000000"/>
          <w:kern w:val="0"/>
        </w:rPr>
        <w:t>组合久期偏低</w:t>
      </w:r>
      <w:proofErr w:type="gramEnd"/>
      <w:r>
        <w:rPr>
          <w:rFonts w:ascii="宋体" w:hAnsi="宋体" w:cs="宋体" w:hint="eastAsia"/>
          <w:color w:val="000000"/>
          <w:kern w:val="0"/>
        </w:rPr>
        <w:t>，配置部分</w:t>
      </w:r>
      <w:proofErr w:type="gramStart"/>
      <w:r>
        <w:rPr>
          <w:rFonts w:ascii="宋体" w:hAnsi="宋体" w:cs="宋体" w:hint="eastAsia"/>
          <w:color w:val="000000"/>
          <w:kern w:val="0"/>
        </w:rPr>
        <w:t>二级债基与</w:t>
      </w:r>
      <w:proofErr w:type="gramEnd"/>
      <w:r>
        <w:rPr>
          <w:rFonts w:ascii="宋体" w:hAnsi="宋体" w:cs="宋体" w:hint="eastAsia"/>
          <w:color w:val="000000"/>
          <w:kern w:val="0"/>
        </w:rPr>
        <w:t>可转债基金。在基金选择上，结合定量与定性的研究，优选长期有超额收益的基金标的。产品在运作期间，围绕投资目标，动态调整、优化组合配置结构。</w:t>
      </w:r>
      <w:r>
        <w:rPr>
          <w:rFonts w:ascii="宋体" w:hAnsi="宋体" w:cs="宋体" w:hint="eastAsia"/>
          <w:color w:val="000000"/>
          <w:kern w:val="0"/>
        </w:rPr>
        <w:br/>
        <w:t xml:space="preserve">　　展望后市，两会明确的全年经济工作目标符合预期，财政、货币等宏观经济政策延续去年9.24以来的基调，对于稳定经济运行与资本市场信心的效果依然可以期待。目前，我们对高风险资产延续中性</w:t>
      </w:r>
      <w:proofErr w:type="gramStart"/>
      <w:r>
        <w:rPr>
          <w:rFonts w:ascii="宋体" w:hAnsi="宋体" w:cs="宋体" w:hint="eastAsia"/>
          <w:color w:val="000000"/>
          <w:kern w:val="0"/>
        </w:rPr>
        <w:t>偏积极</w:t>
      </w:r>
      <w:proofErr w:type="gramEnd"/>
      <w:r>
        <w:rPr>
          <w:rFonts w:ascii="宋体" w:hAnsi="宋体" w:cs="宋体" w:hint="eastAsia"/>
          <w:color w:val="000000"/>
          <w:kern w:val="0"/>
        </w:rPr>
        <w:t>的看法。国内权益方面，继续关注消费、科技方向，包括促消费行动方案相关政策落地的效果、AI应用落地等产业机会。港股方面，上市公司盈利增长与国内经济复苏密切相关，同时估值受益于美债收益率下行，港股未来有望受益于国内经济的企稳回升、科技创新增强与美联储降息周期的延续。国内债券方面，一季度债券收益率的反弹已反映了对经济增长预期、货币政策节奏预期的修正，债券收益率逐步回到更为合理的水平。后续债市潜在的扰动因</w:t>
      </w:r>
      <w:r>
        <w:rPr>
          <w:rFonts w:ascii="宋体" w:hAnsi="宋体" w:cs="宋体" w:hint="eastAsia"/>
          <w:color w:val="000000"/>
          <w:kern w:val="0"/>
        </w:rPr>
        <w:lastRenderedPageBreak/>
        <w:t>素主要来自于国内经济基本面的恢复，包括持续低迷的价格指标能否寻得底部；潜在的积极因素，主要来自于外部中美利差制约的减少，目前市场定价美联储年内降息次数有所上调。考虑到两方面因素尚未明朗，仍需一定的时间确认趋势，二季度组合在债券基金的部分仍以关注中短债策略为主。</w:t>
      </w:r>
    </w:p>
    <w:p w:rsidR="00CF6E5F" w:rsidRDefault="00F825F3">
      <w:pPr>
        <w:pStyle w:val="XBRLTitle2"/>
        <w:spacing w:before="156" w:line="360" w:lineRule="auto"/>
        <w:ind w:left="454"/>
      </w:pPr>
      <w:bookmarkStart w:id="118" w:name="_Toc17899967"/>
      <w:bookmarkStart w:id="119" w:name="_Toc490050015"/>
      <w:bookmarkStart w:id="120" w:name="_Toc481075062"/>
      <w:bookmarkStart w:id="121" w:name="_Toc512519494"/>
      <w:bookmarkStart w:id="122" w:name="_Toc513295856"/>
      <w:bookmarkStart w:id="123" w:name="_Toc513295906"/>
      <w:bookmarkStart w:id="124" w:name="m405_01_2549"/>
      <w:bookmarkEnd w:id="117"/>
      <w:proofErr w:type="spellStart"/>
      <w:r>
        <w:rPr>
          <w:rFonts w:hAnsi="宋体" w:hint="eastAsia"/>
        </w:rPr>
        <w:t>报告期内基金的业绩表现</w:t>
      </w:r>
      <w:bookmarkEnd w:id="118"/>
      <w:bookmarkEnd w:id="119"/>
      <w:bookmarkEnd w:id="120"/>
      <w:bookmarkEnd w:id="121"/>
      <w:bookmarkEnd w:id="122"/>
      <w:bookmarkEnd w:id="123"/>
      <w:proofErr w:type="spellEnd"/>
      <w:r>
        <w:rPr>
          <w:rFonts w:hAnsi="宋体" w:hint="eastAsia"/>
        </w:rPr>
        <w:t xml:space="preserve"> </w:t>
      </w:r>
      <w:bookmarkEnd w:id="124"/>
    </w:p>
    <w:p w:rsidR="00CF6E5F" w:rsidRDefault="00F825F3">
      <w:pPr>
        <w:spacing w:line="360" w:lineRule="auto"/>
        <w:ind w:firstLineChars="200" w:firstLine="420"/>
      </w:pPr>
      <w:r>
        <w:rPr>
          <w:rFonts w:ascii="宋体" w:hAnsi="宋体" w:hint="eastAsia"/>
        </w:rPr>
        <w:t>本报告期摩根尚睿混合(FOF)A份额净值增长率为：4.65%，同期业绩比较基准收益率为：2.74%；</w:t>
      </w:r>
      <w:r>
        <w:rPr>
          <w:rFonts w:ascii="宋体" w:hAnsi="宋体" w:hint="eastAsia"/>
        </w:rPr>
        <w:br/>
        <w:t xml:space="preserve">　　摩根尚睿混合(FOF)C份额净值增长率为：4.49%，同期业绩比较基准收益率为：2.74%。</w:t>
      </w:r>
    </w:p>
    <w:p w:rsidR="00CF6E5F" w:rsidRDefault="00F825F3">
      <w:pPr>
        <w:pStyle w:val="XBRLTitle2"/>
        <w:spacing w:before="156" w:line="360" w:lineRule="auto"/>
        <w:ind w:left="454"/>
      </w:pPr>
      <w:bookmarkStart w:id="125" w:name="m406"/>
      <w:bookmarkStart w:id="126" w:name="_Toc17899968"/>
      <w:bookmarkStart w:id="127" w:name="_Toc490050016"/>
      <w:bookmarkStart w:id="128" w:name="_Toc481075063"/>
      <w:bookmarkStart w:id="129" w:name="_Toc438646465"/>
      <w:bookmarkStart w:id="130" w:name="_Toc512519495"/>
      <w:bookmarkStart w:id="131" w:name="_Toc513295857"/>
      <w:bookmarkStart w:id="132" w:name="_Toc513295907"/>
      <w:bookmarkStart w:id="133" w:name="m407"/>
      <w:bookmarkEnd w:id="125"/>
      <w:proofErr w:type="spellStart"/>
      <w:r>
        <w:rPr>
          <w:rFonts w:hAnsi="宋体" w:hint="eastAsia"/>
        </w:rPr>
        <w:t>报告期内基金持有人数或基金资产净值预警说明</w:t>
      </w:r>
      <w:bookmarkEnd w:id="126"/>
      <w:bookmarkEnd w:id="127"/>
      <w:bookmarkEnd w:id="128"/>
      <w:bookmarkEnd w:id="129"/>
      <w:bookmarkEnd w:id="130"/>
      <w:bookmarkEnd w:id="131"/>
      <w:bookmarkEnd w:id="132"/>
      <w:proofErr w:type="spellEnd"/>
      <w:r>
        <w:rPr>
          <w:rFonts w:hAnsi="宋体" w:hint="eastAsia"/>
        </w:rPr>
        <w:t xml:space="preserve"> </w:t>
      </w:r>
    </w:p>
    <w:p w:rsidR="00CF6E5F" w:rsidRDefault="00F825F3">
      <w:pPr>
        <w:spacing w:line="360" w:lineRule="auto"/>
        <w:ind w:firstLineChars="200" w:firstLine="420"/>
        <w:jc w:val="left"/>
      </w:pPr>
      <w:r>
        <w:rPr>
          <w:rFonts w:ascii="宋体" w:hAnsi="宋体" w:hint="eastAsia"/>
        </w:rPr>
        <w:t>截至本报告期末,本基金已连续超过二十个工作日出现基金资产净值低于五千万元的情形，相应解决方案已报送中国证监会。</w:t>
      </w:r>
    </w:p>
    <w:p w:rsidR="00CF6E5F" w:rsidRDefault="00F825F3">
      <w:pPr>
        <w:pStyle w:val="XBRLTitle1"/>
        <w:spacing w:before="156" w:line="360" w:lineRule="auto"/>
        <w:ind w:left="425"/>
      </w:pPr>
      <w:bookmarkStart w:id="134" w:name="_Toc17899969"/>
      <w:bookmarkStart w:id="135" w:name="_Toc512519496"/>
      <w:bookmarkStart w:id="136" w:name="_Toc481075064"/>
      <w:bookmarkStart w:id="137" w:name="_Toc438646466"/>
      <w:bookmarkStart w:id="138" w:name="_Toc490050017"/>
      <w:bookmarkStart w:id="139" w:name="_Toc513295858"/>
      <w:bookmarkStart w:id="140" w:name="_Toc513295908"/>
      <w:bookmarkEnd w:id="133"/>
      <w:proofErr w:type="spellStart"/>
      <w:r>
        <w:rPr>
          <w:rFonts w:hAnsi="宋体" w:hint="eastAsia"/>
        </w:rPr>
        <w:t>投资组合报告</w:t>
      </w:r>
      <w:bookmarkEnd w:id="134"/>
      <w:bookmarkEnd w:id="135"/>
      <w:bookmarkEnd w:id="136"/>
      <w:bookmarkEnd w:id="137"/>
      <w:bookmarkEnd w:id="138"/>
      <w:bookmarkEnd w:id="139"/>
      <w:bookmarkEnd w:id="140"/>
      <w:proofErr w:type="spellEnd"/>
      <w:r>
        <w:rPr>
          <w:rFonts w:hAnsi="宋体" w:hint="eastAsia"/>
        </w:rPr>
        <w:t xml:space="preserve"> </w:t>
      </w:r>
    </w:p>
    <w:p w:rsidR="00CF6E5F" w:rsidRDefault="00F825F3">
      <w:pPr>
        <w:pStyle w:val="XBRLTitle2"/>
        <w:spacing w:before="156" w:line="360" w:lineRule="auto"/>
        <w:ind w:left="454"/>
      </w:pPr>
      <w:bookmarkStart w:id="141" w:name="_Toc17899970"/>
      <w:bookmarkStart w:id="142" w:name="_Toc481075065"/>
      <w:bookmarkStart w:id="143" w:name="_Toc438646467"/>
      <w:bookmarkStart w:id="144" w:name="_Toc490050018"/>
      <w:bookmarkStart w:id="145" w:name="_Toc512519497"/>
      <w:bookmarkStart w:id="146" w:name="_Toc513295859"/>
      <w:bookmarkStart w:id="147" w:name="_Toc513295909"/>
      <w:bookmarkStart w:id="148" w:name="m501"/>
      <w:proofErr w:type="spellStart"/>
      <w:r>
        <w:rPr>
          <w:rFonts w:hAnsi="宋体" w:hint="eastAsia"/>
        </w:rPr>
        <w:t>报告期末基金资产组合情况</w:t>
      </w:r>
      <w:bookmarkEnd w:id="141"/>
      <w:bookmarkEnd w:id="142"/>
      <w:bookmarkEnd w:id="143"/>
      <w:bookmarkEnd w:id="144"/>
      <w:bookmarkEnd w:id="145"/>
      <w:bookmarkEnd w:id="146"/>
      <w:bookmarkEnd w:id="147"/>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CF6E5F">
        <w:trPr>
          <w:divId w:val="57293550"/>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F6E5F" w:rsidRDefault="00F825F3">
            <w:pPr>
              <w:jc w:val="center"/>
            </w:pPr>
            <w:bookmarkStart w:id="149" w:name="m08QD_01_tab"/>
            <w:bookmarkEnd w:id="149"/>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CF6E5F" w:rsidRDefault="00F825F3">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CF6E5F" w:rsidRDefault="00F825F3">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CF6E5F" w:rsidRDefault="00F825F3">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CF6E5F">
        <w:trPr>
          <w:divId w:val="572935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CF6E5F" w:rsidRDefault="00F825F3">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572935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CF6E5F" w:rsidRDefault="00F825F3">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572935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CF6E5F" w:rsidRDefault="00F825F3">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38,350,183.17</w:t>
            </w:r>
          </w:p>
        </w:tc>
        <w:tc>
          <w:tcPr>
            <w:tcW w:w="1333"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83.70</w:t>
            </w:r>
          </w:p>
        </w:tc>
      </w:tr>
      <w:tr w:rsidR="00CF6E5F">
        <w:trPr>
          <w:divId w:val="572935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CF6E5F" w:rsidRDefault="00F825F3">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2,018,320.15</w:t>
            </w:r>
          </w:p>
        </w:tc>
        <w:tc>
          <w:tcPr>
            <w:tcW w:w="1333"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4.40</w:t>
            </w:r>
          </w:p>
        </w:tc>
      </w:tr>
      <w:tr w:rsidR="00CF6E5F">
        <w:trPr>
          <w:divId w:val="572935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CF6E5F" w:rsidRDefault="00F825F3">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2,018,320.15</w:t>
            </w:r>
          </w:p>
        </w:tc>
        <w:tc>
          <w:tcPr>
            <w:tcW w:w="1333"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4.40</w:t>
            </w:r>
          </w:p>
        </w:tc>
      </w:tr>
      <w:tr w:rsidR="00CF6E5F">
        <w:trPr>
          <w:divId w:val="572935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CF6E5F" w:rsidRDefault="00F825F3">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572935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CF6E5F" w:rsidRDefault="00F825F3">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572935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CF6E5F" w:rsidRDefault="00F825F3">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572935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CF6E5F" w:rsidRDefault="00F825F3">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572935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CF6E5F" w:rsidRDefault="00F825F3">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572935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CF6E5F" w:rsidRDefault="00F825F3">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5,375,210.90</w:t>
            </w:r>
          </w:p>
        </w:tc>
        <w:tc>
          <w:tcPr>
            <w:tcW w:w="1333"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11.73</w:t>
            </w:r>
          </w:p>
        </w:tc>
      </w:tr>
      <w:tr w:rsidR="00CF6E5F">
        <w:trPr>
          <w:divId w:val="572935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CF6E5F" w:rsidRDefault="00F825F3">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77,477.84</w:t>
            </w:r>
          </w:p>
        </w:tc>
        <w:tc>
          <w:tcPr>
            <w:tcW w:w="1333"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0.17</w:t>
            </w:r>
          </w:p>
        </w:tc>
      </w:tr>
      <w:tr w:rsidR="00CF6E5F">
        <w:trPr>
          <w:divId w:val="5729355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CF6E5F" w:rsidRDefault="00F825F3">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45,821,192.06</w:t>
            </w:r>
          </w:p>
        </w:tc>
        <w:tc>
          <w:tcPr>
            <w:tcW w:w="1333" w:type="pct"/>
            <w:tcBorders>
              <w:top w:val="single" w:sz="4" w:space="0" w:color="auto"/>
              <w:left w:val="nil"/>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100.00</w:t>
            </w:r>
          </w:p>
        </w:tc>
      </w:tr>
    </w:tbl>
    <w:p w:rsidR="00CF6E5F" w:rsidRDefault="00F825F3">
      <w:pPr>
        <w:pStyle w:val="XBRLTitle2"/>
        <w:spacing w:before="156" w:line="360" w:lineRule="auto"/>
        <w:ind w:left="454"/>
      </w:pPr>
      <w:bookmarkStart w:id="150" w:name="_Toc17899971"/>
      <w:bookmarkStart w:id="151" w:name="_Toc512519498"/>
      <w:bookmarkStart w:id="152" w:name="_Toc481075066"/>
      <w:bookmarkStart w:id="153" w:name="_Toc438646468"/>
      <w:bookmarkStart w:id="154" w:name="_Toc490050019"/>
      <w:bookmarkStart w:id="155" w:name="_Toc513295860"/>
      <w:bookmarkStart w:id="156" w:name="_Toc513295910"/>
      <w:bookmarkEnd w:id="148"/>
      <w:proofErr w:type="spellStart"/>
      <w:r>
        <w:rPr>
          <w:rFonts w:hAnsi="宋体" w:hint="eastAsia"/>
        </w:rPr>
        <w:t>报告期末按行业分类的股票投资组合</w:t>
      </w:r>
      <w:bookmarkEnd w:id="150"/>
      <w:bookmarkEnd w:id="151"/>
      <w:bookmarkEnd w:id="152"/>
      <w:bookmarkEnd w:id="153"/>
      <w:bookmarkEnd w:id="154"/>
      <w:bookmarkEnd w:id="155"/>
      <w:bookmarkEnd w:id="156"/>
      <w:proofErr w:type="spellEnd"/>
      <w:r>
        <w:rPr>
          <w:rFonts w:hAnsi="宋体" w:hint="eastAsia"/>
          <w:lang w:eastAsia="zh-CN"/>
        </w:rPr>
        <w:t xml:space="preserve"> </w:t>
      </w:r>
    </w:p>
    <w:p w:rsidR="00CF6E5F" w:rsidRDefault="00F825F3">
      <w:pPr>
        <w:pStyle w:val="XBRLTitle3"/>
        <w:spacing w:before="156"/>
        <w:ind w:left="0"/>
      </w:pPr>
      <w:bookmarkStart w:id="157" w:name="_Toc17899972"/>
      <w:bookmarkStart w:id="158" w:name="_Toc481075067"/>
      <w:bookmarkStart w:id="159" w:name="_Toc490050020"/>
      <w:bookmarkStart w:id="160" w:name="_Toc512519499"/>
      <w:bookmarkStart w:id="161" w:name="_Toc513295911"/>
      <w:proofErr w:type="spellStart"/>
      <w:r>
        <w:rPr>
          <w:rFonts w:hint="eastAsia"/>
        </w:rPr>
        <w:t>报告期末按行业分类的境内股票投资组合</w:t>
      </w:r>
      <w:bookmarkEnd w:id="157"/>
      <w:proofErr w:type="spellEnd"/>
      <w:r>
        <w:rPr>
          <w:rFonts w:hint="eastAsia"/>
          <w:lang w:eastAsia="zh-CN"/>
        </w:rPr>
        <w:t xml:space="preserve"> </w:t>
      </w:r>
    </w:p>
    <w:p w:rsidR="00CF6E5F" w:rsidRDefault="00F825F3">
      <w:pPr>
        <w:spacing w:line="360" w:lineRule="auto"/>
        <w:ind w:firstLineChars="200" w:firstLine="420"/>
        <w:divId w:val="1967661366"/>
      </w:pPr>
      <w:r>
        <w:rPr>
          <w:rFonts w:ascii="宋体" w:hAnsi="宋体" w:hint="eastAsia"/>
          <w:szCs w:val="21"/>
          <w:lang w:eastAsia="zh-Hans"/>
        </w:rPr>
        <w:t>本基金本报告期末未持有境内股票。</w:t>
      </w:r>
    </w:p>
    <w:p w:rsidR="00CF6E5F" w:rsidRDefault="00F825F3">
      <w:pPr>
        <w:pStyle w:val="XBRLTitle3"/>
        <w:spacing w:before="156"/>
        <w:ind w:left="0"/>
      </w:pPr>
      <w:bookmarkStart w:id="162" w:name="_Toc17899973"/>
      <w:bookmarkStart w:id="163" w:name="m502_tab"/>
      <w:bookmarkStart w:id="164" w:name="_Toc481075068"/>
      <w:bookmarkStart w:id="165" w:name="_Toc490050021"/>
      <w:bookmarkStart w:id="166" w:name="_Toc512519500"/>
      <w:bookmarkStart w:id="167" w:name="_Toc513295912"/>
      <w:proofErr w:type="spellStart"/>
      <w:r>
        <w:rPr>
          <w:rFonts w:hint="eastAsia"/>
        </w:rPr>
        <w:t>报告期末按行业分类的港股通投资股票投资组合</w:t>
      </w:r>
      <w:bookmarkEnd w:id="162"/>
      <w:proofErr w:type="spellEnd"/>
      <w:r>
        <w:rPr>
          <w:rFonts w:hint="eastAsia"/>
          <w:szCs w:val="24"/>
        </w:rPr>
        <w:t xml:space="preserve"> </w:t>
      </w:r>
    </w:p>
    <w:p w:rsidR="00CF6E5F" w:rsidRDefault="00F825F3">
      <w:pPr>
        <w:spacing w:line="360" w:lineRule="auto"/>
        <w:ind w:firstLineChars="200" w:firstLine="420"/>
        <w:divId w:val="655108380"/>
      </w:pPr>
      <w:r>
        <w:rPr>
          <w:rFonts w:ascii="宋体" w:hAnsi="宋体" w:hint="eastAsia"/>
          <w:szCs w:val="21"/>
          <w:lang w:eastAsia="zh-Hans"/>
        </w:rPr>
        <w:lastRenderedPageBreak/>
        <w:t>本基金本报告期末未持有港股通股票 。</w:t>
      </w:r>
    </w:p>
    <w:p w:rsidR="00CF6E5F" w:rsidRDefault="00F825F3">
      <w:pPr>
        <w:pStyle w:val="XBRLTitle2"/>
        <w:spacing w:before="156"/>
        <w:ind w:left="454"/>
      </w:pPr>
      <w:bookmarkStart w:id="168" w:name="_Toc178982961"/>
      <w:bookmarkStart w:id="169" w:name="_Toc17897958"/>
      <w:bookmarkStart w:id="170" w:name="_Toc485300375"/>
      <w:bookmarkStart w:id="171" w:name="_Toc453852755"/>
      <w:bookmarkStart w:id="172" w:name="_Toc452398761"/>
      <w:bookmarkStart w:id="173" w:name="_Toc454983410"/>
      <w:bookmarkStart w:id="174" w:name="_Toc497398255"/>
      <w:bookmarkStart w:id="175" w:name="_Toc506208451"/>
      <w:bookmarkStart w:id="176" w:name="m08QD_10"/>
      <w:proofErr w:type="spellStart"/>
      <w:r>
        <w:rPr>
          <w:rFonts w:hint="eastAsia"/>
        </w:rPr>
        <w:t>期末按公允价值占基金资产净值比例大小排序的股票投资明细</w:t>
      </w:r>
      <w:bookmarkEnd w:id="168"/>
      <w:bookmarkEnd w:id="169"/>
      <w:proofErr w:type="spellEnd"/>
    </w:p>
    <w:p w:rsidR="00CF6E5F" w:rsidRDefault="00F825F3">
      <w:pPr>
        <w:pStyle w:val="XBRLTitle3"/>
        <w:spacing w:before="156"/>
        <w:ind w:left="0"/>
      </w:pPr>
      <w:bookmarkStart w:id="177" w:name="_Toc178982962"/>
      <w:bookmarkStart w:id="178" w:name="_Toc485300376"/>
      <w:bookmarkStart w:id="179" w:name="_Toc497398256"/>
      <w:bookmarkStart w:id="180" w:name="_Toc453852756"/>
      <w:bookmarkStart w:id="181" w:name="_Toc454983411"/>
      <w:proofErr w:type="spellStart"/>
      <w:r>
        <w:rPr>
          <w:rFonts w:hAnsi="宋体" w:hint="eastAsia"/>
        </w:rPr>
        <w:t>报告期末按公允价值占基金资产净值比例大小排序的前十名股票投资明细</w:t>
      </w:r>
      <w:bookmarkEnd w:id="177"/>
      <w:bookmarkEnd w:id="178"/>
      <w:bookmarkEnd w:id="179"/>
      <w:bookmarkEnd w:id="180"/>
      <w:bookmarkEnd w:id="181"/>
      <w:proofErr w:type="spellEnd"/>
    </w:p>
    <w:p w:rsidR="00CF6E5F" w:rsidRDefault="00F825F3">
      <w:pPr>
        <w:spacing w:line="360" w:lineRule="auto"/>
        <w:ind w:firstLineChars="200" w:firstLine="420"/>
        <w:jc w:val="left"/>
      </w:pPr>
      <w:r>
        <w:rPr>
          <w:rFonts w:ascii="宋体" w:hAnsi="宋体" w:hint="eastAsia"/>
          <w:color w:val="000000"/>
          <w:szCs w:val="21"/>
          <w:lang w:eastAsia="zh-Hans"/>
        </w:rPr>
        <w:t>本基金本报告期末未持有股票。</w:t>
      </w:r>
    </w:p>
    <w:p w:rsidR="00CF6E5F" w:rsidRDefault="00F825F3">
      <w:pPr>
        <w:pStyle w:val="XBRLTitle2"/>
        <w:spacing w:before="156" w:line="360" w:lineRule="auto"/>
        <w:ind w:left="454"/>
      </w:pPr>
      <w:bookmarkStart w:id="182" w:name="_Toc17899975"/>
      <w:bookmarkStart w:id="183" w:name="_Toc481075070"/>
      <w:bookmarkStart w:id="184" w:name="_Toc438646471"/>
      <w:bookmarkStart w:id="185" w:name="_Toc490050023"/>
      <w:bookmarkStart w:id="186" w:name="_Toc512519502"/>
      <w:bookmarkStart w:id="187" w:name="_Toc513295862"/>
      <w:bookmarkStart w:id="188" w:name="_Toc513295914"/>
      <w:bookmarkStart w:id="189" w:name="m505"/>
      <w:proofErr w:type="spellStart"/>
      <w:r>
        <w:rPr>
          <w:rFonts w:hAnsi="宋体" w:hint="eastAsia"/>
        </w:rPr>
        <w:t>报告期末按债券品种分类的债券投资组合</w:t>
      </w:r>
      <w:bookmarkEnd w:id="182"/>
      <w:bookmarkEnd w:id="183"/>
      <w:bookmarkEnd w:id="184"/>
      <w:bookmarkEnd w:id="185"/>
      <w:bookmarkEnd w:id="186"/>
      <w:bookmarkEnd w:id="187"/>
      <w:bookmarkEnd w:id="18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CF6E5F">
        <w:trPr>
          <w:divId w:val="1374689398"/>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F6E5F" w:rsidRDefault="00F825F3">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F6E5F" w:rsidRDefault="00F825F3">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F6E5F" w:rsidRDefault="00F825F3">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F6E5F" w:rsidRDefault="00F825F3">
            <w:pPr>
              <w:jc w:val="center"/>
            </w:pPr>
            <w:r>
              <w:rPr>
                <w:rFonts w:ascii="宋体" w:hAnsi="宋体" w:hint="eastAsia"/>
                <w:color w:val="000000"/>
              </w:rPr>
              <w:t xml:space="preserve">占基金资产净值比例（%） </w:t>
            </w:r>
          </w:p>
        </w:tc>
      </w:tr>
      <w:tr w:rsidR="00CF6E5F">
        <w:trPr>
          <w:divId w:val="1374689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2,018,320.15</w:t>
            </w:r>
          </w:p>
        </w:tc>
        <w:tc>
          <w:tcPr>
            <w:tcW w:w="1932"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4.43</w:t>
            </w:r>
          </w:p>
        </w:tc>
      </w:tr>
      <w:tr w:rsidR="00CF6E5F">
        <w:trPr>
          <w:divId w:val="1374689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1374689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1374689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1374689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1374689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1374689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1374689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1374689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1374689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w:t>
            </w:r>
          </w:p>
        </w:tc>
      </w:tr>
      <w:tr w:rsidR="00CF6E5F">
        <w:trPr>
          <w:divId w:val="1374689398"/>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rsidR="00CF6E5F" w:rsidRDefault="00F825F3">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2,018,320.15</w:t>
            </w:r>
          </w:p>
        </w:tc>
        <w:tc>
          <w:tcPr>
            <w:tcW w:w="1932" w:type="pct"/>
            <w:tcBorders>
              <w:top w:val="single" w:sz="4" w:space="0" w:color="auto"/>
              <w:left w:val="single" w:sz="4" w:space="0" w:color="auto"/>
              <w:bottom w:val="single" w:sz="4" w:space="0" w:color="auto"/>
              <w:right w:val="single" w:sz="4" w:space="0" w:color="auto"/>
            </w:tcBorders>
            <w:vAlign w:val="center"/>
            <w:hideMark/>
          </w:tcPr>
          <w:p w:rsidR="00CF6E5F" w:rsidRDefault="00F825F3">
            <w:pPr>
              <w:jc w:val="right"/>
            </w:pPr>
            <w:r>
              <w:rPr>
                <w:rFonts w:ascii="宋体" w:hAnsi="宋体" w:hint="eastAsia"/>
                <w:szCs w:val="24"/>
                <w:lang w:eastAsia="zh-Hans"/>
              </w:rPr>
              <w:t>4.43</w:t>
            </w:r>
          </w:p>
        </w:tc>
      </w:tr>
    </w:tbl>
    <w:p w:rsidR="00CF6E5F" w:rsidRDefault="00F825F3">
      <w:pPr>
        <w:pStyle w:val="XBRLTitle2"/>
        <w:spacing w:before="156" w:line="360" w:lineRule="auto"/>
        <w:ind w:left="454"/>
      </w:pPr>
      <w:bookmarkStart w:id="190" w:name="_Toc17899976"/>
      <w:bookmarkStart w:id="191" w:name="_Toc481075071"/>
      <w:bookmarkStart w:id="192" w:name="_Toc438646472"/>
      <w:bookmarkStart w:id="193" w:name="_Toc490050024"/>
      <w:bookmarkStart w:id="194" w:name="_Toc512519503"/>
      <w:bookmarkStart w:id="195" w:name="_Toc513295863"/>
      <w:bookmarkStart w:id="196" w:name="_Toc513295915"/>
      <w:bookmarkStart w:id="197" w:name="m506"/>
      <w:bookmarkEnd w:id="189"/>
      <w:proofErr w:type="spellStart"/>
      <w:r>
        <w:rPr>
          <w:rFonts w:hAnsi="宋体" w:hint="eastAsia"/>
        </w:rPr>
        <w:t>报告期末按公允价值占基金资产净值比例大小排序的前五名债券投资明细</w:t>
      </w:r>
      <w:bookmarkEnd w:id="190"/>
      <w:bookmarkEnd w:id="191"/>
      <w:bookmarkEnd w:id="192"/>
      <w:bookmarkEnd w:id="193"/>
      <w:bookmarkEnd w:id="194"/>
      <w:bookmarkEnd w:id="195"/>
      <w:bookmarkEnd w:id="196"/>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CF6E5F">
        <w:trPr>
          <w:divId w:val="141617407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F6E5F" w:rsidRDefault="00F825F3">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F6E5F" w:rsidRDefault="00F825F3">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F6E5F" w:rsidRDefault="00F825F3">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F6E5F" w:rsidRDefault="00F825F3">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F6E5F" w:rsidRDefault="00F825F3">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F6E5F" w:rsidRDefault="00F825F3">
            <w:pPr>
              <w:jc w:val="center"/>
            </w:pPr>
            <w:r>
              <w:rPr>
                <w:rFonts w:ascii="宋体" w:hAnsi="宋体" w:hint="eastAsia"/>
                <w:color w:val="000000"/>
              </w:rPr>
              <w:t xml:space="preserve">占基金资产净值比例（%） </w:t>
            </w:r>
          </w:p>
        </w:tc>
      </w:tr>
      <w:tr w:rsidR="00CF6E5F">
        <w:trPr>
          <w:divId w:val="141617407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szCs w:val="24"/>
                <w:lang w:eastAsia="zh-Hans"/>
              </w:rPr>
              <w:t>019749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szCs w:val="24"/>
                <w:lang w:eastAsia="zh-Hans"/>
              </w:rPr>
              <w:t>24国债15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szCs w:val="24"/>
                <w:lang w:eastAsia="zh-Hans"/>
              </w:rPr>
              <w:t>15,000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szCs w:val="24"/>
                <w:lang w:eastAsia="zh-Hans"/>
              </w:rPr>
              <w:t>1,512,922.60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szCs w:val="24"/>
                <w:lang w:eastAsia="zh-Hans"/>
              </w:rPr>
              <w:t>3.32</w:t>
            </w:r>
          </w:p>
        </w:tc>
      </w:tr>
      <w:tr w:rsidR="00CF6E5F">
        <w:trPr>
          <w:divId w:val="141617407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szCs w:val="24"/>
                <w:lang w:eastAsia="zh-Hans"/>
              </w:rPr>
              <w:t>019740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szCs w:val="24"/>
                <w:lang w:eastAsia="zh-Hans"/>
              </w:rPr>
              <w:t>24国债09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szCs w:val="24"/>
                <w:lang w:eastAsia="zh-Hans"/>
              </w:rPr>
              <w:t>4,980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szCs w:val="24"/>
                <w:lang w:eastAsia="zh-Hans"/>
              </w:rPr>
              <w:t>505,397.55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szCs w:val="24"/>
                <w:lang w:eastAsia="zh-Hans"/>
              </w:rPr>
              <w:t>1.11</w:t>
            </w:r>
          </w:p>
        </w:tc>
      </w:tr>
    </w:tbl>
    <w:p w:rsidR="00CF6E5F" w:rsidRDefault="00F825F3">
      <w:pPr>
        <w:pStyle w:val="XBRLTitle2"/>
        <w:spacing w:before="156" w:line="360" w:lineRule="auto"/>
        <w:ind w:left="454"/>
      </w:pPr>
      <w:bookmarkStart w:id="198" w:name="_Toc17899977"/>
      <w:bookmarkStart w:id="199" w:name="_Toc481075072"/>
      <w:bookmarkStart w:id="200" w:name="_Toc438646473"/>
      <w:bookmarkStart w:id="201" w:name="_Toc490050025"/>
      <w:bookmarkStart w:id="202" w:name="_Toc512519504"/>
      <w:bookmarkStart w:id="203" w:name="_Toc513295864"/>
      <w:bookmarkStart w:id="204" w:name="_Toc513295916"/>
      <w:bookmarkStart w:id="205" w:name="m507"/>
      <w:bookmarkEnd w:id="197"/>
      <w:proofErr w:type="spellStart"/>
      <w:r>
        <w:rPr>
          <w:rFonts w:hAnsi="宋体" w:hint="eastAsia"/>
        </w:rPr>
        <w:t>报告期末按公允价值占基金资产净值比例大小排序的前十名资产支持证券投资明细</w:t>
      </w:r>
      <w:bookmarkEnd w:id="198"/>
      <w:bookmarkEnd w:id="199"/>
      <w:bookmarkEnd w:id="200"/>
      <w:bookmarkEnd w:id="201"/>
      <w:bookmarkEnd w:id="202"/>
      <w:bookmarkEnd w:id="203"/>
      <w:bookmarkEnd w:id="204"/>
      <w:proofErr w:type="spellEnd"/>
      <w:r>
        <w:rPr>
          <w:rFonts w:hAnsi="宋体" w:hint="eastAsia"/>
        </w:rPr>
        <w:t xml:space="preserve"> </w:t>
      </w:r>
    </w:p>
    <w:p w:rsidR="00CF6E5F" w:rsidRDefault="00F825F3">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CF6E5F" w:rsidRDefault="00F825F3">
      <w:pPr>
        <w:pStyle w:val="XBRLTitle2"/>
        <w:spacing w:before="156" w:line="360" w:lineRule="auto"/>
        <w:ind w:left="454"/>
      </w:pPr>
      <w:bookmarkStart w:id="206" w:name="_Toc17899978"/>
      <w:bookmarkStart w:id="207" w:name="_Toc481075073"/>
      <w:bookmarkStart w:id="208" w:name="_Toc438646474"/>
      <w:bookmarkStart w:id="209" w:name="_Toc490050026"/>
      <w:bookmarkStart w:id="210" w:name="_Toc512519505"/>
      <w:bookmarkStart w:id="211" w:name="_Toc513295865"/>
      <w:bookmarkStart w:id="212" w:name="_Toc513295917"/>
      <w:bookmarkStart w:id="213" w:name="m508"/>
      <w:bookmarkEnd w:id="205"/>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06"/>
      <w:bookmarkEnd w:id="207"/>
      <w:bookmarkEnd w:id="208"/>
      <w:bookmarkEnd w:id="209"/>
      <w:bookmarkEnd w:id="210"/>
      <w:bookmarkEnd w:id="211"/>
      <w:bookmarkEnd w:id="212"/>
      <w:proofErr w:type="spellEnd"/>
      <w:r>
        <w:rPr>
          <w:rFonts w:hAnsi="宋体" w:hint="eastAsia"/>
        </w:rPr>
        <w:t xml:space="preserve"> </w:t>
      </w:r>
    </w:p>
    <w:p w:rsidR="00CF6E5F" w:rsidRDefault="00F825F3">
      <w:pPr>
        <w:spacing w:line="360" w:lineRule="auto"/>
        <w:ind w:firstLineChars="200" w:firstLine="420"/>
        <w:divId w:val="1370645483"/>
      </w:pPr>
      <w:r>
        <w:rPr>
          <w:rFonts w:ascii="宋体" w:hAnsi="宋体" w:hint="eastAsia"/>
          <w:szCs w:val="21"/>
          <w:lang w:eastAsia="zh-Hans"/>
        </w:rPr>
        <w:t>本基金本报告期末未持有贵金属。</w:t>
      </w:r>
    </w:p>
    <w:p w:rsidR="00CF6E5F" w:rsidRDefault="00F825F3">
      <w:pPr>
        <w:pStyle w:val="XBRLTitle2"/>
        <w:spacing w:before="156" w:line="360" w:lineRule="auto"/>
        <w:ind w:left="454"/>
      </w:pPr>
      <w:bookmarkStart w:id="214" w:name="_Toc17899979"/>
      <w:bookmarkStart w:id="215" w:name="_Toc481075074"/>
      <w:bookmarkStart w:id="216" w:name="_Toc438646475"/>
      <w:bookmarkStart w:id="217" w:name="_Toc490050027"/>
      <w:bookmarkStart w:id="218" w:name="_Toc512519506"/>
      <w:bookmarkStart w:id="219" w:name="_Toc513295866"/>
      <w:bookmarkStart w:id="220" w:name="_Toc513295918"/>
      <w:bookmarkStart w:id="221" w:name="m509"/>
      <w:bookmarkEnd w:id="213"/>
      <w:proofErr w:type="spellStart"/>
      <w:r>
        <w:rPr>
          <w:rFonts w:hAnsi="宋体" w:hint="eastAsia"/>
        </w:rPr>
        <w:t>报告期末按公允价值占基金资产净值比例大小排序的前五名权证投资明细</w:t>
      </w:r>
      <w:bookmarkEnd w:id="214"/>
      <w:bookmarkEnd w:id="215"/>
      <w:bookmarkEnd w:id="216"/>
      <w:bookmarkEnd w:id="217"/>
      <w:bookmarkEnd w:id="218"/>
      <w:bookmarkEnd w:id="219"/>
      <w:bookmarkEnd w:id="220"/>
      <w:proofErr w:type="spellEnd"/>
      <w:r>
        <w:rPr>
          <w:rFonts w:hAnsi="宋体" w:hint="eastAsia"/>
        </w:rPr>
        <w:t xml:space="preserve"> </w:t>
      </w:r>
      <w:bookmarkEnd w:id="221"/>
    </w:p>
    <w:p w:rsidR="00CF6E5F" w:rsidRDefault="00F825F3">
      <w:pPr>
        <w:spacing w:line="360" w:lineRule="auto"/>
        <w:ind w:firstLineChars="200" w:firstLine="420"/>
        <w:divId w:val="1304501394"/>
      </w:pPr>
      <w:r>
        <w:rPr>
          <w:rFonts w:ascii="宋体" w:hAnsi="宋体" w:hint="eastAsia"/>
          <w:szCs w:val="21"/>
          <w:lang w:eastAsia="zh-Hans"/>
        </w:rPr>
        <w:t>本基金本报告期末未持有权证。</w:t>
      </w:r>
    </w:p>
    <w:p w:rsidR="00CF6E5F" w:rsidRDefault="00F825F3">
      <w:pPr>
        <w:pStyle w:val="XBRLTitle2"/>
        <w:spacing w:before="156"/>
        <w:ind w:left="454"/>
      </w:pPr>
      <w:bookmarkStart w:id="222" w:name="_Toc17899980"/>
      <w:proofErr w:type="spellStart"/>
      <w:r>
        <w:rPr>
          <w:rFonts w:hint="eastAsia"/>
        </w:rPr>
        <w:t>报告期末本基金投资的股指期货交易情况说明</w:t>
      </w:r>
      <w:bookmarkEnd w:id="222"/>
      <w:bookmarkEnd w:id="170"/>
      <w:bookmarkEnd w:id="171"/>
      <w:bookmarkEnd w:id="172"/>
      <w:bookmarkEnd w:id="173"/>
      <w:bookmarkEnd w:id="174"/>
      <w:bookmarkEnd w:id="175"/>
      <w:proofErr w:type="spellEnd"/>
    </w:p>
    <w:p w:rsidR="00CF6E5F" w:rsidRDefault="00F825F3">
      <w:pPr>
        <w:spacing w:line="360" w:lineRule="auto"/>
        <w:ind w:firstLineChars="200" w:firstLine="420"/>
        <w:divId w:val="724721644"/>
      </w:pPr>
      <w:r>
        <w:rPr>
          <w:rFonts w:ascii="宋体" w:hAnsi="宋体" w:hint="eastAsia"/>
          <w:szCs w:val="21"/>
          <w:lang w:eastAsia="zh-Hans"/>
        </w:rPr>
        <w:t>本基金本报告期末未持有股指期货。</w:t>
      </w:r>
    </w:p>
    <w:p w:rsidR="00CF6E5F" w:rsidRDefault="00F825F3">
      <w:pPr>
        <w:pStyle w:val="XBRLTitle2"/>
        <w:spacing w:before="156" w:line="360" w:lineRule="auto"/>
        <w:ind w:left="454"/>
      </w:pPr>
      <w:bookmarkStart w:id="223" w:name="_Toc17899983"/>
      <w:bookmarkStart w:id="224" w:name="_Toc512519510"/>
      <w:bookmarkStart w:id="225" w:name="_Toc481075078"/>
      <w:bookmarkStart w:id="226" w:name="_Toc490050031"/>
      <w:bookmarkStart w:id="227" w:name="_Toc513295868"/>
      <w:bookmarkStart w:id="228" w:name="_Toc513295922"/>
      <w:bookmarkStart w:id="229" w:name="_Toc438646476"/>
      <w:proofErr w:type="spellStart"/>
      <w:r>
        <w:rPr>
          <w:rFonts w:hAnsi="宋体" w:hint="eastAsia"/>
        </w:rPr>
        <w:t>报告期末本基金投资的国债期货交易情况说明</w:t>
      </w:r>
      <w:bookmarkEnd w:id="223"/>
      <w:bookmarkEnd w:id="224"/>
      <w:bookmarkEnd w:id="225"/>
      <w:bookmarkEnd w:id="226"/>
      <w:bookmarkEnd w:id="227"/>
      <w:bookmarkEnd w:id="228"/>
      <w:proofErr w:type="spellEnd"/>
      <w:r>
        <w:rPr>
          <w:rFonts w:hAnsi="宋体" w:hint="eastAsia"/>
        </w:rPr>
        <w:t xml:space="preserve"> </w:t>
      </w:r>
      <w:bookmarkEnd w:id="229"/>
    </w:p>
    <w:p w:rsidR="00CF6E5F" w:rsidRDefault="00F825F3">
      <w:pPr>
        <w:spacing w:line="360" w:lineRule="auto"/>
        <w:ind w:firstLineChars="200" w:firstLine="420"/>
        <w:divId w:val="112789295"/>
      </w:pPr>
      <w:bookmarkStart w:id="230" w:name="m510_01_1597"/>
      <w:bookmarkStart w:id="231" w:name="m510_01_1598"/>
      <w:bookmarkEnd w:id="230"/>
      <w:r>
        <w:rPr>
          <w:rFonts w:ascii="宋体" w:hAnsi="宋体" w:hint="eastAsia"/>
          <w:szCs w:val="21"/>
          <w:lang w:eastAsia="zh-Hans"/>
        </w:rPr>
        <w:t>本基金本报告期末未持有国债期货。</w:t>
      </w:r>
    </w:p>
    <w:p w:rsidR="00CF6E5F" w:rsidRDefault="00F825F3">
      <w:pPr>
        <w:pStyle w:val="XBRLTitle2"/>
        <w:spacing w:before="156" w:line="360" w:lineRule="auto"/>
        <w:ind w:left="454"/>
      </w:pPr>
      <w:bookmarkStart w:id="232" w:name="_Toc17899987"/>
      <w:bookmarkStart w:id="233" w:name="_Toc512519514"/>
      <w:bookmarkStart w:id="234" w:name="_Toc481075082"/>
      <w:bookmarkStart w:id="235" w:name="_Toc490050035"/>
      <w:bookmarkStart w:id="236" w:name="_Toc513295869"/>
      <w:bookmarkStart w:id="237" w:name="_Toc513295926"/>
      <w:proofErr w:type="spellStart"/>
      <w:r>
        <w:rPr>
          <w:rFonts w:hAnsi="宋体" w:hint="eastAsia"/>
        </w:rPr>
        <w:lastRenderedPageBreak/>
        <w:t>投资组合报告附注</w:t>
      </w:r>
      <w:bookmarkEnd w:id="232"/>
      <w:bookmarkEnd w:id="233"/>
      <w:bookmarkEnd w:id="234"/>
      <w:bookmarkEnd w:id="235"/>
      <w:bookmarkEnd w:id="236"/>
      <w:bookmarkEnd w:id="237"/>
      <w:proofErr w:type="spellEnd"/>
      <w:r>
        <w:rPr>
          <w:rFonts w:hAnsi="宋体" w:hint="eastAsia"/>
        </w:rPr>
        <w:t xml:space="preserve"> </w:t>
      </w:r>
    </w:p>
    <w:p w:rsidR="00CF6E5F" w:rsidRDefault="00F825F3">
      <w:pPr>
        <w:pStyle w:val="XBRLTitle3"/>
        <w:spacing w:before="156"/>
        <w:ind w:left="0"/>
      </w:pPr>
      <w:bookmarkStart w:id="238" w:name="_Toc513295927"/>
      <w:bookmarkStart w:id="239" w:name="_Toc490050036"/>
      <w:bookmarkStart w:id="240" w:name="_Toc481075083"/>
      <w:bookmarkStart w:id="241" w:name="_Toc512519515"/>
      <w:bookmarkStart w:id="242" w:name="_Toc17899988"/>
      <w:bookmarkEnd w:id="238"/>
      <w:bookmarkEnd w:id="239"/>
      <w:bookmarkEnd w:id="240"/>
      <w:bookmarkEnd w:id="241"/>
      <w:r>
        <w:rPr>
          <w:rFonts w:hint="eastAsia"/>
          <w:lang w:eastAsia="zh-CN"/>
        </w:rPr>
        <w:t xml:space="preserve"> </w:t>
      </w:r>
      <w:bookmarkEnd w:id="242"/>
    </w:p>
    <w:p w:rsidR="00CF6E5F" w:rsidRDefault="00F825F3">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CF6E5F" w:rsidRDefault="00F825F3">
      <w:pPr>
        <w:pStyle w:val="XBRLTitle3"/>
        <w:spacing w:before="156"/>
        <w:ind w:left="0"/>
      </w:pPr>
      <w:bookmarkStart w:id="243" w:name="_Toc490050037"/>
      <w:bookmarkStart w:id="244" w:name="_Toc481075084"/>
      <w:bookmarkStart w:id="245" w:name="_Toc512519516"/>
      <w:bookmarkStart w:id="246" w:name="_Toc513295928"/>
      <w:bookmarkStart w:id="247" w:name="_Toc17899989"/>
      <w:bookmarkEnd w:id="243"/>
      <w:bookmarkEnd w:id="244"/>
      <w:bookmarkEnd w:id="245"/>
      <w:bookmarkEnd w:id="246"/>
      <w:r>
        <w:rPr>
          <w:rFonts w:hint="eastAsia"/>
          <w:lang w:eastAsia="zh-CN"/>
        </w:rPr>
        <w:t xml:space="preserve"> </w:t>
      </w:r>
      <w:bookmarkEnd w:id="247"/>
    </w:p>
    <w:p w:rsidR="00CF6E5F" w:rsidRDefault="00F825F3">
      <w:pPr>
        <w:spacing w:line="360" w:lineRule="auto"/>
        <w:ind w:firstLineChars="200" w:firstLine="420"/>
      </w:pPr>
      <w:r>
        <w:rPr>
          <w:rFonts w:ascii="宋体" w:hAnsi="宋体" w:hint="eastAsia"/>
        </w:rPr>
        <w:t>报告期内本基金投资的前十名股票中没有在基金合同规定备选股票库之外的股票。</w:t>
      </w:r>
    </w:p>
    <w:p w:rsidR="00CF6E5F" w:rsidRDefault="00F825F3">
      <w:pPr>
        <w:pStyle w:val="XBRLTitle3"/>
        <w:spacing w:before="156"/>
        <w:ind w:left="0"/>
      </w:pPr>
      <w:bookmarkStart w:id="248" w:name="_Toc17899990"/>
      <w:bookmarkStart w:id="249" w:name="_Toc481075085"/>
      <w:bookmarkStart w:id="250" w:name="_Toc490050038"/>
      <w:bookmarkStart w:id="251" w:name="_Toc512519517"/>
      <w:bookmarkStart w:id="252" w:name="_Toc513295929"/>
      <w:bookmarkStart w:id="253" w:name="m510_02"/>
      <w:bookmarkEnd w:id="231"/>
      <w:proofErr w:type="spellStart"/>
      <w:r>
        <w:rPr>
          <w:rFonts w:hint="eastAsia"/>
        </w:rPr>
        <w:t>其他资产构成</w:t>
      </w:r>
      <w:bookmarkEnd w:id="248"/>
      <w:bookmarkEnd w:id="249"/>
      <w:bookmarkEnd w:id="250"/>
      <w:bookmarkEnd w:id="251"/>
      <w:bookmarkEnd w:id="252"/>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CF6E5F">
        <w:trPr>
          <w:divId w:val="833423404"/>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6E5F" w:rsidRDefault="00F825F3">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6E5F" w:rsidRDefault="00F825F3">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6E5F" w:rsidRDefault="00F825F3">
            <w:pPr>
              <w:jc w:val="center"/>
            </w:pPr>
            <w:r>
              <w:rPr>
                <w:rFonts w:ascii="宋体" w:hAnsi="宋体" w:hint="eastAsia"/>
              </w:rPr>
              <w:t>金额（元）</w:t>
            </w:r>
            <w:r>
              <w:t xml:space="preserve"> </w:t>
            </w:r>
          </w:p>
        </w:tc>
      </w:tr>
      <w:tr w:rsidR="00CF6E5F">
        <w:trPr>
          <w:divId w:val="8334234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rPr>
              <w:t>2,356.68</w:t>
            </w:r>
          </w:p>
        </w:tc>
      </w:tr>
      <w:tr w:rsidR="00CF6E5F">
        <w:trPr>
          <w:divId w:val="8334234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rPr>
              <w:t>-</w:t>
            </w:r>
          </w:p>
        </w:tc>
      </w:tr>
      <w:tr w:rsidR="00CF6E5F">
        <w:trPr>
          <w:divId w:val="8334234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rPr>
              <w:t>-</w:t>
            </w:r>
          </w:p>
        </w:tc>
      </w:tr>
      <w:tr w:rsidR="00CF6E5F">
        <w:trPr>
          <w:divId w:val="8334234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rPr>
              <w:t>-</w:t>
            </w:r>
          </w:p>
        </w:tc>
      </w:tr>
      <w:tr w:rsidR="00CF6E5F">
        <w:trPr>
          <w:divId w:val="8334234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rPr>
              <w:t>75,121.16</w:t>
            </w:r>
          </w:p>
        </w:tc>
      </w:tr>
      <w:tr w:rsidR="00CF6E5F">
        <w:trPr>
          <w:divId w:val="8334234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rPr>
              <w:t>-</w:t>
            </w:r>
          </w:p>
        </w:tc>
      </w:tr>
      <w:tr w:rsidR="00CF6E5F">
        <w:trPr>
          <w:divId w:val="8334234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rPr>
              <w:t>-</w:t>
            </w:r>
          </w:p>
        </w:tc>
      </w:tr>
      <w:tr w:rsidR="00CF6E5F">
        <w:trPr>
          <w:divId w:val="83342340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rPr>
              <w:t>77,477.84</w:t>
            </w:r>
          </w:p>
        </w:tc>
      </w:tr>
    </w:tbl>
    <w:p w:rsidR="00CF6E5F" w:rsidRDefault="00F825F3">
      <w:pPr>
        <w:pStyle w:val="XBRLTitle3"/>
        <w:spacing w:before="156"/>
        <w:ind w:left="0"/>
      </w:pPr>
      <w:bookmarkStart w:id="254" w:name="_Toc17899991"/>
      <w:bookmarkStart w:id="255" w:name="_Toc481075086"/>
      <w:bookmarkStart w:id="256" w:name="_Toc490050039"/>
      <w:bookmarkStart w:id="257" w:name="_Toc512519518"/>
      <w:bookmarkStart w:id="258" w:name="_Toc513295930"/>
      <w:bookmarkStart w:id="259" w:name="m510_03"/>
      <w:bookmarkEnd w:id="253"/>
      <w:proofErr w:type="spellStart"/>
      <w:r>
        <w:rPr>
          <w:rFonts w:hint="eastAsia"/>
        </w:rPr>
        <w:t>报告期末持有的处于转股期的可转换债券明细</w:t>
      </w:r>
      <w:bookmarkEnd w:id="254"/>
      <w:bookmarkEnd w:id="255"/>
      <w:bookmarkEnd w:id="256"/>
      <w:bookmarkEnd w:id="257"/>
      <w:bookmarkEnd w:id="258"/>
      <w:proofErr w:type="spellEnd"/>
    </w:p>
    <w:p w:rsidR="00CF6E5F" w:rsidRDefault="00F825F3">
      <w:pPr>
        <w:spacing w:line="360" w:lineRule="auto"/>
        <w:ind w:firstLineChars="200" w:firstLine="420"/>
        <w:jc w:val="left"/>
      </w:pPr>
      <w:r>
        <w:rPr>
          <w:rFonts w:ascii="宋体" w:hAnsi="宋体" w:hint="eastAsia"/>
        </w:rPr>
        <w:t xml:space="preserve">本基金本报告期末未持有处于转股期的可转换债券。 </w:t>
      </w:r>
    </w:p>
    <w:p w:rsidR="00CF6E5F" w:rsidRDefault="00F825F3">
      <w:pPr>
        <w:pStyle w:val="XBRLTitle3"/>
        <w:spacing w:before="156"/>
        <w:ind w:left="0"/>
      </w:pPr>
      <w:bookmarkStart w:id="260" w:name="_Toc17899992"/>
      <w:bookmarkStart w:id="261" w:name="_Toc481075087"/>
      <w:bookmarkStart w:id="262" w:name="_Toc490050040"/>
      <w:bookmarkStart w:id="263" w:name="_Toc512519519"/>
      <w:bookmarkStart w:id="264" w:name="_Toc513295931"/>
      <w:bookmarkStart w:id="265" w:name="m510_04"/>
      <w:bookmarkEnd w:id="259"/>
      <w:proofErr w:type="spellStart"/>
      <w:r>
        <w:rPr>
          <w:rFonts w:hint="eastAsia"/>
        </w:rPr>
        <w:t>报告期末前十名股票中存在流通受限情况的说明</w:t>
      </w:r>
      <w:bookmarkEnd w:id="260"/>
      <w:bookmarkEnd w:id="261"/>
      <w:bookmarkEnd w:id="262"/>
      <w:bookmarkEnd w:id="263"/>
      <w:bookmarkEnd w:id="264"/>
      <w:proofErr w:type="spellEnd"/>
    </w:p>
    <w:p w:rsidR="00CF6E5F" w:rsidRDefault="00F825F3">
      <w:pPr>
        <w:spacing w:line="360" w:lineRule="auto"/>
        <w:ind w:firstLineChars="200" w:firstLine="420"/>
        <w:jc w:val="left"/>
        <w:divId w:val="2023580914"/>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p>
    <w:p w:rsidR="00CF6E5F" w:rsidRDefault="00F825F3">
      <w:pPr>
        <w:pStyle w:val="XBRLTitle3"/>
        <w:spacing w:before="156"/>
        <w:ind w:left="0"/>
      </w:pPr>
      <w:bookmarkStart w:id="266" w:name="_Toc17899993"/>
      <w:bookmarkStart w:id="267" w:name="_Toc512519520"/>
      <w:bookmarkStart w:id="268" w:name="_Toc481075088"/>
      <w:bookmarkStart w:id="269" w:name="_Toc490050041"/>
      <w:bookmarkStart w:id="270" w:name="_Toc513295932"/>
      <w:bookmarkStart w:id="271" w:name="m510_05_1678"/>
      <w:bookmarkEnd w:id="265"/>
      <w:proofErr w:type="spellStart"/>
      <w:r>
        <w:rPr>
          <w:rFonts w:hint="eastAsia"/>
        </w:rPr>
        <w:t>投资组合报告附注的其他文字描述部分</w:t>
      </w:r>
      <w:bookmarkEnd w:id="266"/>
      <w:bookmarkEnd w:id="267"/>
      <w:bookmarkEnd w:id="268"/>
      <w:bookmarkEnd w:id="269"/>
      <w:bookmarkEnd w:id="270"/>
      <w:proofErr w:type="spellEnd"/>
      <w:r>
        <w:rPr>
          <w:rFonts w:hint="eastAsia"/>
          <w:sz w:val="21"/>
        </w:rPr>
        <w:t xml:space="preserve"> </w:t>
      </w:r>
    </w:p>
    <w:p w:rsidR="00CF6E5F" w:rsidRDefault="00F825F3">
      <w:pPr>
        <w:spacing w:line="360" w:lineRule="auto"/>
        <w:ind w:firstLineChars="200" w:firstLine="420"/>
        <w:jc w:val="left"/>
      </w:pPr>
      <w:r>
        <w:rPr>
          <w:rFonts w:ascii="宋体" w:hAnsi="宋体" w:hint="eastAsia"/>
        </w:rPr>
        <w:t>因四舍五入原因，投资组合报告中分项之和与合计可能存在尾差。</w:t>
      </w:r>
    </w:p>
    <w:p w:rsidR="00CF6E5F" w:rsidRDefault="00F825F3">
      <w:pPr>
        <w:pStyle w:val="XBRLTitle1"/>
        <w:spacing w:before="156" w:line="360" w:lineRule="auto"/>
        <w:ind w:left="425"/>
      </w:pPr>
      <w:bookmarkStart w:id="272" w:name="_Toc17899994"/>
      <w:proofErr w:type="spellStart"/>
      <w:r>
        <w:rPr>
          <w:rFonts w:hint="eastAsia"/>
        </w:rPr>
        <w:t>基金中基金</w:t>
      </w:r>
      <w:bookmarkEnd w:id="272"/>
      <w:proofErr w:type="spellEnd"/>
      <w:r>
        <w:rPr>
          <w:rFonts w:hint="eastAsia"/>
          <w:lang w:eastAsia="zh-CN"/>
        </w:rPr>
        <w:t xml:space="preserve"> </w:t>
      </w:r>
    </w:p>
    <w:p w:rsidR="00CF6E5F" w:rsidRDefault="00F825F3">
      <w:pPr>
        <w:pStyle w:val="XBRLTitle2"/>
        <w:spacing w:before="156"/>
        <w:ind w:left="454"/>
      </w:pPr>
      <w:bookmarkStart w:id="273" w:name="_Toc502858550"/>
      <w:bookmarkStart w:id="274" w:name="_Toc17899995"/>
      <w:bookmarkStart w:id="275" w:name="_Toc514255300"/>
      <w:proofErr w:type="spellStart"/>
      <w:r>
        <w:rPr>
          <w:rFonts w:hint="eastAsia"/>
        </w:rPr>
        <w:t>报告期末按公允价值占基金资产净值比例大小排序的前十名基金投资明细</w:t>
      </w:r>
      <w:bookmarkEnd w:id="273"/>
      <w:bookmarkEnd w:id="274"/>
      <w:bookmarkEnd w:id="2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1073"/>
        <w:gridCol w:w="1145"/>
        <w:gridCol w:w="1114"/>
        <w:gridCol w:w="1353"/>
        <w:gridCol w:w="1353"/>
        <w:gridCol w:w="933"/>
        <w:gridCol w:w="862"/>
      </w:tblGrid>
      <w:tr w:rsidR="00CF6E5F">
        <w:trPr>
          <w:divId w:val="1239098028"/>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CF6E5F" w:rsidRDefault="00F825F3">
            <w:pPr>
              <w:pStyle w:val="a5"/>
              <w:spacing w:before="0" w:beforeAutospacing="0" w:after="0" w:afterAutospacing="0"/>
              <w:ind w:firstLineChars="50" w:firstLine="105"/>
              <w:jc w:val="center"/>
            </w:pPr>
            <w:bookmarkStart w:id="276" w:name="OLE_LINK46"/>
            <w:bookmarkStart w:id="277" w:name="OLE_LINK45"/>
            <w:bookmarkStart w:id="278" w:name="OLE_LINK42"/>
            <w:bookmarkStart w:id="279" w:name="OLE_LINK41"/>
            <w:r>
              <w:rPr>
                <w:rFonts w:hint="eastAsia"/>
                <w:kern w:val="2"/>
                <w:sz w:val="21"/>
              </w:rPr>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rPr>
              <w:t>基金代码</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rPr>
              <w:t>基金名称</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rPr>
              <w:t>运作方式</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rPr>
              <w:t>持有份额（份）</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rPr>
              <w:t>公允价值（元）</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rPr>
              <w:t>占基金资产净值比例（%）</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rPr>
              <w:t>是否属于基金管理人及管理人关联方所管理的基金</w:t>
            </w:r>
            <w:r>
              <w:rPr>
                <w:rFonts w:hint="eastAsia"/>
                <w:kern w:val="2"/>
                <w:sz w:val="21"/>
                <w:lang w:eastAsia="zh-Hans"/>
              </w:rPr>
              <w:t xml:space="preserve"> </w:t>
            </w:r>
          </w:p>
        </w:tc>
      </w:tr>
      <w:tr w:rsidR="00CF6E5F">
        <w:trPr>
          <w:divId w:val="1239098028"/>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ind w:firstLineChars="50" w:firstLine="105"/>
              <w:jc w:val="center"/>
            </w:pPr>
            <w:r>
              <w:rPr>
                <w:rFonts w:hint="eastAsia"/>
                <w:kern w:val="2"/>
                <w:sz w:val="21"/>
                <w:lang w:eastAsia="zh-Hans"/>
              </w:rPr>
              <w:lastRenderedPageBreak/>
              <w:t>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377240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摩根新兴动力混合A类</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592,884.78</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3,067,941.58</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6.74</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是</w:t>
            </w:r>
          </w:p>
        </w:tc>
      </w:tr>
      <w:tr w:rsidR="00CF6E5F">
        <w:trPr>
          <w:divId w:val="1239098028"/>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ind w:firstLineChars="50" w:firstLine="105"/>
              <w:jc w:val="center"/>
            </w:pPr>
            <w:r>
              <w:rPr>
                <w:rFonts w:hint="eastAsia"/>
                <w:kern w:val="2"/>
                <w:sz w:val="21"/>
                <w:lang w:eastAsia="zh-Hans"/>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512760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国泰CES半导体芯片行业ETF</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交易型开放式(ETF)</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2,583,000.00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3,001,446.00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6.59</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否</w:t>
            </w:r>
          </w:p>
        </w:tc>
      </w:tr>
      <w:tr w:rsidR="00CF6E5F">
        <w:trPr>
          <w:divId w:val="1239098028"/>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ind w:firstLineChars="50" w:firstLine="105"/>
              <w:jc w:val="center"/>
            </w:pPr>
            <w:r>
              <w:rPr>
                <w:rFonts w:hint="eastAsia"/>
                <w:kern w:val="2"/>
                <w:sz w:val="21"/>
                <w:lang w:eastAsia="zh-Hans"/>
              </w:rPr>
              <w:t>3</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090016</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大成消费主题混合A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890,715.41</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1,704,740.22</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3.74</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否</w:t>
            </w:r>
          </w:p>
        </w:tc>
      </w:tr>
      <w:tr w:rsidR="00CF6E5F">
        <w:trPr>
          <w:divId w:val="1239098028"/>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ind w:firstLineChars="50" w:firstLine="105"/>
              <w:jc w:val="center"/>
            </w:pPr>
            <w:r>
              <w:rPr>
                <w:rFonts w:hint="eastAsia"/>
                <w:kern w:val="2"/>
                <w:sz w:val="21"/>
                <w:lang w:eastAsia="zh-Hans"/>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001856</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易方达环保主题混合A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498,331.01</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1,647,482.32</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3.62</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否</w:t>
            </w:r>
          </w:p>
        </w:tc>
      </w:tr>
      <w:tr w:rsidR="00CF6E5F">
        <w:trPr>
          <w:divId w:val="1239098028"/>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ind w:firstLineChars="50" w:firstLine="105"/>
              <w:jc w:val="center"/>
            </w:pPr>
            <w:r>
              <w:rPr>
                <w:rFonts w:hint="eastAsia"/>
                <w:kern w:val="2"/>
                <w:sz w:val="21"/>
                <w:lang w:eastAsia="zh-Hans"/>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513890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摩根恒生科技ETF(QDII)</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交易型开放式(ETF)</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1,435,200.00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1,597,377.60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3.51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是</w:t>
            </w:r>
          </w:p>
        </w:tc>
      </w:tr>
      <w:tr w:rsidR="00CF6E5F">
        <w:trPr>
          <w:divId w:val="1239098028"/>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ind w:firstLineChars="50" w:firstLine="105"/>
              <w:jc w:val="center"/>
            </w:pPr>
            <w:r>
              <w:rPr>
                <w:rFonts w:hint="eastAsia"/>
                <w:kern w:val="2"/>
                <w:sz w:val="21"/>
                <w:lang w:eastAsia="zh-Hans"/>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513180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华夏恒生科技ETF(QDII)</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交易型开放式(ETF)</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2,010,400.00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1,489,706.40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3.27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否</w:t>
            </w:r>
          </w:p>
        </w:tc>
      </w:tr>
      <w:tr w:rsidR="00CF6E5F">
        <w:trPr>
          <w:divId w:val="1239098028"/>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ind w:firstLineChars="50" w:firstLine="105"/>
              <w:jc w:val="center"/>
            </w:pPr>
            <w:r>
              <w:rPr>
                <w:rFonts w:hint="eastAsia"/>
                <w:kern w:val="2"/>
                <w:sz w:val="21"/>
                <w:lang w:eastAsia="zh-Hans"/>
              </w:rPr>
              <w:t>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159745</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建材ETF</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交易型开放式(ETF)</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2,439,900.00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1,427,341.50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3.13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否</w:t>
            </w:r>
          </w:p>
        </w:tc>
      </w:tr>
      <w:tr w:rsidR="00CF6E5F">
        <w:trPr>
          <w:divId w:val="1239098028"/>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ind w:firstLineChars="50" w:firstLine="105"/>
              <w:jc w:val="center"/>
            </w:pPr>
            <w:r>
              <w:rPr>
                <w:rFonts w:hint="eastAsia"/>
                <w:kern w:val="2"/>
                <w:sz w:val="21"/>
                <w:lang w:eastAsia="zh-Hans"/>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020009</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国泰金鹏蓝筹价值混合</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1,077,578.01</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1,412,704.77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3.10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否</w:t>
            </w:r>
          </w:p>
        </w:tc>
      </w:tr>
      <w:tr w:rsidR="00CF6E5F">
        <w:trPr>
          <w:divId w:val="1239098028"/>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ind w:firstLineChars="50" w:firstLine="105"/>
              <w:jc w:val="center"/>
            </w:pPr>
            <w:r>
              <w:rPr>
                <w:rFonts w:hint="eastAsia"/>
                <w:kern w:val="2"/>
                <w:sz w:val="21"/>
                <w:lang w:eastAsia="zh-Hans"/>
              </w:rPr>
              <w:t>9</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512070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易方达沪深300非银ETF</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交易型开放式(ETF)</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1,833,100.00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1,398,655.30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3.07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否</w:t>
            </w:r>
          </w:p>
        </w:tc>
      </w:tr>
      <w:tr w:rsidR="00CF6E5F">
        <w:trPr>
          <w:divId w:val="1239098028"/>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ind w:firstLineChars="50" w:firstLine="105"/>
              <w:jc w:val="center"/>
            </w:pPr>
            <w:r>
              <w:rPr>
                <w:rFonts w:hint="eastAsia"/>
                <w:kern w:val="2"/>
                <w:sz w:val="21"/>
                <w:lang w:eastAsia="zh-Hans"/>
              </w:rPr>
              <w:t>10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159766</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旅游ETF</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center"/>
            </w:pPr>
            <w:r>
              <w:rPr>
                <w:rFonts w:hint="eastAsia"/>
                <w:kern w:val="2"/>
                <w:sz w:val="21"/>
                <w:lang w:eastAsia="zh-Hans"/>
              </w:rPr>
              <w:t>交易型开放式(ETF)</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1,991,400.00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1,330,255.20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2.92</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pStyle w:val="a5"/>
              <w:spacing w:before="0" w:beforeAutospacing="0" w:after="0" w:afterAutospacing="0"/>
              <w:jc w:val="right"/>
            </w:pPr>
            <w:r>
              <w:rPr>
                <w:rFonts w:hint="eastAsia"/>
                <w:kern w:val="2"/>
                <w:sz w:val="21"/>
                <w:lang w:eastAsia="zh-Hans"/>
              </w:rPr>
              <w:t>否</w:t>
            </w:r>
            <w:bookmarkEnd w:id="276"/>
            <w:bookmarkEnd w:id="277"/>
            <w:bookmarkEnd w:id="278"/>
            <w:bookmarkEnd w:id="279"/>
            <w:bookmarkEnd w:id="176"/>
          </w:p>
        </w:tc>
      </w:tr>
    </w:tbl>
    <w:p w:rsidR="00CF6E5F" w:rsidRDefault="00F825F3">
      <w:pPr>
        <w:pStyle w:val="XBRLTitle3"/>
        <w:spacing w:before="156"/>
        <w:ind w:left="0"/>
      </w:pPr>
      <w:bookmarkStart w:id="280" w:name="_Toc178112372"/>
      <w:proofErr w:type="spellStart"/>
      <w:r>
        <w:rPr>
          <w:rFonts w:hint="eastAsia"/>
        </w:rPr>
        <w:t>报告期末按公允价值占基金资产净值比例大小排序的前十名公开募集基础设施证券投资基金投资明细</w:t>
      </w:r>
      <w:bookmarkEnd w:id="280"/>
      <w:bookmarkEnd w:id="158"/>
      <w:bookmarkEnd w:id="159"/>
      <w:bookmarkEnd w:id="160"/>
      <w:bookmarkEnd w:id="161"/>
      <w:proofErr w:type="spellEnd"/>
      <w:r>
        <w:rPr>
          <w:rFonts w:hint="eastAsia"/>
          <w:lang w:eastAsia="zh-CN"/>
        </w:rPr>
        <w:t xml:space="preserve"> </w:t>
      </w:r>
    </w:p>
    <w:p w:rsidR="00CF6E5F" w:rsidRDefault="00F825F3">
      <w:pPr>
        <w:spacing w:line="360" w:lineRule="auto"/>
        <w:ind w:firstLineChars="200" w:firstLine="420"/>
        <w:divId w:val="1626307062"/>
        <w:rPr>
          <w:rFonts w:ascii="宋体" w:hAnsi="宋体"/>
          <w:szCs w:val="21"/>
          <w:lang w:eastAsia="zh-Hans"/>
        </w:rPr>
      </w:pPr>
      <w:r>
        <w:rPr>
          <w:rFonts w:ascii="宋体" w:hAnsi="宋体" w:hint="eastAsia"/>
          <w:szCs w:val="21"/>
          <w:lang w:eastAsia="zh-Hans"/>
        </w:rPr>
        <w:t>无。</w:t>
      </w:r>
    </w:p>
    <w:p w:rsidR="00CF6E5F" w:rsidRDefault="00F825F3">
      <w:pPr>
        <w:pStyle w:val="XBRLTitle3"/>
        <w:spacing w:before="156"/>
        <w:ind w:left="0"/>
      </w:pPr>
      <w:bookmarkStart w:id="281" w:name="_Toc178112373"/>
      <w:bookmarkEnd w:id="163"/>
      <w:proofErr w:type="spellStart"/>
      <w:r>
        <w:rPr>
          <w:rFonts w:hint="eastAsia"/>
        </w:rPr>
        <w:t>报告期末基金持有的全部公开募集基础设施证券投资基金情况</w:t>
      </w:r>
      <w:bookmarkEnd w:id="281"/>
      <w:bookmarkEnd w:id="164"/>
      <w:bookmarkEnd w:id="165"/>
      <w:bookmarkEnd w:id="166"/>
      <w:bookmarkEnd w:id="167"/>
      <w:proofErr w:type="spellEnd"/>
      <w:r>
        <w:rPr>
          <w:rFonts w:hint="eastAsia"/>
          <w:szCs w:val="24"/>
        </w:rPr>
        <w:t xml:space="preserve"> </w:t>
      </w:r>
      <w:bookmarkEnd w:id="19"/>
      <w:bookmarkEnd w:id="20"/>
      <w:bookmarkEnd w:id="21"/>
      <w:bookmarkEnd w:id="66"/>
      <w:bookmarkEnd w:id="67"/>
      <w:bookmarkEnd w:id="16"/>
      <w:bookmarkEnd w:id="17"/>
    </w:p>
    <w:p w:rsidR="00CF6E5F" w:rsidRDefault="00F825F3">
      <w:pPr>
        <w:spacing w:line="360" w:lineRule="auto"/>
        <w:ind w:firstLineChars="200" w:firstLine="420"/>
        <w:divId w:val="1895121347"/>
        <w:rPr>
          <w:rFonts w:ascii="宋体" w:hAnsi="宋体"/>
          <w:szCs w:val="21"/>
          <w:lang w:eastAsia="zh-Hans"/>
        </w:rPr>
      </w:pPr>
      <w:r>
        <w:rPr>
          <w:rFonts w:ascii="宋体" w:hAnsi="宋体" w:hint="eastAsia"/>
          <w:szCs w:val="21"/>
          <w:lang w:eastAsia="zh-Hans"/>
        </w:rPr>
        <w:t>无。</w:t>
      </w:r>
    </w:p>
    <w:p w:rsidR="00CF6E5F" w:rsidRDefault="00F825F3">
      <w:pPr>
        <w:pStyle w:val="XBRLTitle2"/>
        <w:spacing w:before="156"/>
        <w:ind w:left="454"/>
      </w:pPr>
      <w:bookmarkStart w:id="282" w:name="_Toc502822090"/>
      <w:bookmarkStart w:id="283" w:name="_Toc17899996"/>
      <w:bookmarkStart w:id="284" w:name="_Toc514255301"/>
      <w:proofErr w:type="spellStart"/>
      <w:r>
        <w:rPr>
          <w:rFonts w:hint="eastAsia"/>
        </w:rPr>
        <w:t>当期交易及持有基金产生的费用</w:t>
      </w:r>
      <w:bookmarkEnd w:id="282"/>
      <w:bookmarkEnd w:id="283"/>
      <w:bookmarkEnd w:id="284"/>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3170"/>
        <w:gridCol w:w="2719"/>
      </w:tblGrid>
      <w:tr w:rsidR="00CF6E5F">
        <w:trPr>
          <w:divId w:val="201138372"/>
        </w:trPr>
        <w:tc>
          <w:tcPr>
            <w:tcW w:w="1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CF6E5F" w:rsidRDefault="00F825F3">
            <w:pPr>
              <w:jc w:val="center"/>
            </w:pPr>
            <w:r>
              <w:rPr>
                <w:rFonts w:ascii="宋体" w:hAnsi="宋体" w:hint="eastAsia"/>
                <w:color w:val="000000"/>
              </w:rPr>
              <w:t xml:space="preserve">项目 </w:t>
            </w:r>
          </w:p>
        </w:tc>
        <w:tc>
          <w:tcPr>
            <w:tcW w:w="17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CF6E5F" w:rsidRDefault="00F825F3">
            <w:pPr>
              <w:jc w:val="center"/>
            </w:pPr>
            <w:r>
              <w:rPr>
                <w:rFonts w:ascii="宋体" w:hAnsi="宋体" w:hint="eastAsia"/>
                <w:color w:val="000000"/>
              </w:rPr>
              <w:t>本期费用2025年1月1日至2025年3月31日</w:t>
            </w:r>
          </w:p>
        </w:tc>
        <w:tc>
          <w:tcPr>
            <w:tcW w:w="15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rsidR="00CF6E5F" w:rsidRDefault="00F825F3">
            <w:pPr>
              <w:jc w:val="center"/>
            </w:pPr>
            <w:r>
              <w:rPr>
                <w:rFonts w:ascii="宋体" w:hAnsi="宋体" w:hint="eastAsia"/>
                <w:color w:val="000000"/>
              </w:rPr>
              <w:t xml:space="preserve">其中：交易及持有基金管理人以及管理人关联方所管理基金产生的费用 </w:t>
            </w:r>
          </w:p>
        </w:tc>
      </w:tr>
      <w:tr w:rsidR="00CF6E5F">
        <w:trPr>
          <w:divId w:val="201138372"/>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left"/>
            </w:pPr>
            <w:r>
              <w:rPr>
                <w:rFonts w:ascii="宋体" w:hAnsi="宋体" w:hint="eastAsia"/>
                <w:szCs w:val="24"/>
                <w:lang w:eastAsia="zh-Hans"/>
              </w:rPr>
              <w:t xml:space="preserve">当期交易基金产生的申购费（元）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right"/>
            </w:pPr>
            <w:r>
              <w:rPr>
                <w:rFonts w:ascii="宋体" w:hAnsi="宋体" w:hint="eastAsia"/>
                <w:szCs w:val="24"/>
                <w:lang w:eastAsia="zh-Hans"/>
              </w:rPr>
              <w:t>-</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right"/>
            </w:pPr>
            <w:r>
              <w:rPr>
                <w:rFonts w:ascii="宋体" w:hAnsi="宋体" w:hint="eastAsia"/>
                <w:szCs w:val="24"/>
                <w:lang w:eastAsia="zh-Hans"/>
              </w:rPr>
              <w:t>-</w:t>
            </w:r>
          </w:p>
        </w:tc>
      </w:tr>
      <w:tr w:rsidR="00CF6E5F">
        <w:trPr>
          <w:divId w:val="201138372"/>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left"/>
            </w:pPr>
            <w:r>
              <w:rPr>
                <w:rFonts w:ascii="宋体" w:hAnsi="宋体" w:hint="eastAsia"/>
                <w:color w:val="000000"/>
              </w:rPr>
              <w:t xml:space="preserve">当期交易基金产生的赎回费（元）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right"/>
            </w:pPr>
            <w:r>
              <w:rPr>
                <w:rFonts w:ascii="宋体" w:hAnsi="宋体" w:hint="eastAsia"/>
                <w:szCs w:val="24"/>
                <w:lang w:eastAsia="zh-Hans"/>
              </w:rPr>
              <w:t>2,601.97</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right"/>
            </w:pPr>
            <w:r>
              <w:rPr>
                <w:rFonts w:ascii="宋体" w:hAnsi="宋体" w:hint="eastAsia"/>
                <w:szCs w:val="24"/>
                <w:lang w:eastAsia="zh-Hans"/>
              </w:rPr>
              <w:t>-</w:t>
            </w:r>
          </w:p>
        </w:tc>
      </w:tr>
      <w:tr w:rsidR="00CF6E5F">
        <w:trPr>
          <w:divId w:val="201138372"/>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left"/>
            </w:pPr>
            <w:r>
              <w:rPr>
                <w:rFonts w:ascii="宋体" w:hAnsi="宋体" w:hint="eastAsia"/>
                <w:color w:val="000000"/>
              </w:rPr>
              <w:t xml:space="preserve">当期持有基金产生的应支付销售服务费（元）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right"/>
            </w:pPr>
            <w:r>
              <w:rPr>
                <w:rFonts w:ascii="宋体" w:hAnsi="宋体" w:hint="eastAsia"/>
                <w:szCs w:val="24"/>
                <w:lang w:eastAsia="zh-Hans"/>
              </w:rPr>
              <w:t>1,435.94</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right"/>
            </w:pPr>
            <w:r>
              <w:rPr>
                <w:rFonts w:ascii="宋体" w:hAnsi="宋体" w:hint="eastAsia"/>
                <w:szCs w:val="24"/>
                <w:lang w:eastAsia="zh-Hans"/>
              </w:rPr>
              <w:t>-</w:t>
            </w:r>
          </w:p>
        </w:tc>
      </w:tr>
      <w:tr w:rsidR="00CF6E5F">
        <w:trPr>
          <w:divId w:val="201138372"/>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left"/>
            </w:pPr>
            <w:r>
              <w:rPr>
                <w:rFonts w:ascii="宋体" w:hAnsi="宋体" w:hint="eastAsia"/>
                <w:color w:val="000000"/>
              </w:rPr>
              <w:t>当期持有基金产生的应支付管</w:t>
            </w:r>
            <w:r>
              <w:rPr>
                <w:rFonts w:ascii="宋体" w:hAnsi="宋体" w:hint="eastAsia"/>
                <w:color w:val="000000"/>
              </w:rPr>
              <w:lastRenderedPageBreak/>
              <w:t xml:space="preserve">理费（元）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right"/>
            </w:pPr>
            <w:r>
              <w:rPr>
                <w:rFonts w:ascii="宋体" w:hAnsi="宋体" w:hint="eastAsia"/>
                <w:szCs w:val="24"/>
                <w:lang w:eastAsia="zh-Hans"/>
              </w:rPr>
              <w:lastRenderedPageBreak/>
              <w:t>71,582.77</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right"/>
            </w:pPr>
            <w:r>
              <w:rPr>
                <w:rFonts w:ascii="宋体" w:hAnsi="宋体" w:hint="eastAsia"/>
                <w:szCs w:val="24"/>
                <w:lang w:eastAsia="zh-Hans"/>
              </w:rPr>
              <w:t>15,549.59</w:t>
            </w:r>
          </w:p>
        </w:tc>
      </w:tr>
      <w:tr w:rsidR="00CF6E5F">
        <w:trPr>
          <w:divId w:val="201138372"/>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left"/>
            </w:pPr>
            <w:r>
              <w:rPr>
                <w:rFonts w:ascii="宋体" w:hAnsi="宋体" w:hint="eastAsia"/>
                <w:color w:val="000000"/>
              </w:rPr>
              <w:t xml:space="preserve">当期持有基金产生的应支付托管费（元）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right"/>
            </w:pPr>
            <w:r>
              <w:rPr>
                <w:rFonts w:ascii="宋体" w:hAnsi="宋体" w:hint="eastAsia"/>
                <w:szCs w:val="24"/>
                <w:lang w:eastAsia="zh-Hans"/>
              </w:rPr>
              <w:t>13,365.56</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right"/>
            </w:pPr>
            <w:r>
              <w:rPr>
                <w:rFonts w:ascii="宋体" w:hAnsi="宋体" w:hint="eastAsia"/>
                <w:szCs w:val="24"/>
                <w:lang w:eastAsia="zh-Hans"/>
              </w:rPr>
              <w:t>2,910.45</w:t>
            </w:r>
          </w:p>
        </w:tc>
      </w:tr>
      <w:tr w:rsidR="00CF6E5F">
        <w:trPr>
          <w:divId w:val="201138372"/>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left"/>
            </w:pPr>
            <w:r>
              <w:rPr>
                <w:rFonts w:ascii="宋体" w:hAnsi="宋体" w:hint="eastAsia"/>
                <w:color w:val="000000"/>
              </w:rPr>
              <w:t>当期交易基金产生的交易费（元）</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right"/>
            </w:pPr>
            <w:r>
              <w:rPr>
                <w:rFonts w:ascii="宋体" w:hAnsi="宋体" w:hint="eastAsia"/>
                <w:szCs w:val="24"/>
                <w:lang w:eastAsia="zh-Hans"/>
              </w:rPr>
              <w:t>230.51</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right"/>
            </w:pPr>
            <w:r>
              <w:rPr>
                <w:rFonts w:ascii="宋体" w:hAnsi="宋体" w:hint="eastAsia"/>
                <w:szCs w:val="24"/>
                <w:lang w:eastAsia="zh-Hans"/>
              </w:rPr>
              <w:t>-</w:t>
            </w:r>
          </w:p>
        </w:tc>
      </w:tr>
      <w:tr w:rsidR="00CF6E5F">
        <w:trPr>
          <w:divId w:val="201138372"/>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left"/>
            </w:pPr>
            <w:r>
              <w:rPr>
                <w:rFonts w:ascii="宋体" w:hAnsi="宋体" w:hint="eastAsia"/>
                <w:color w:val="000000"/>
              </w:rPr>
              <w:t>当期交易基金产生的转换费（元）</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right"/>
            </w:pPr>
            <w:r>
              <w:rPr>
                <w:rFonts w:ascii="宋体" w:hAnsi="宋体" w:hint="eastAsia"/>
                <w:szCs w:val="24"/>
                <w:lang w:eastAsia="zh-Hans"/>
              </w:rPr>
              <w:t>217.41</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CF6E5F" w:rsidRDefault="00F825F3">
            <w:pPr>
              <w:jc w:val="right"/>
            </w:pPr>
            <w:r>
              <w:rPr>
                <w:rFonts w:ascii="宋体" w:hAnsi="宋体" w:hint="eastAsia"/>
                <w:szCs w:val="24"/>
                <w:lang w:eastAsia="zh-Hans"/>
              </w:rPr>
              <w:t>-</w:t>
            </w:r>
          </w:p>
        </w:tc>
      </w:tr>
    </w:tbl>
    <w:p w:rsidR="00CF6E5F" w:rsidRDefault="00F825F3">
      <w:pPr>
        <w:pStyle w:val="XBRLTitle2"/>
        <w:spacing w:before="156"/>
        <w:ind w:left="454"/>
      </w:pPr>
      <w:bookmarkStart w:id="285" w:name="_Toc502858552"/>
      <w:bookmarkStart w:id="286" w:name="_Toc17899997"/>
      <w:bookmarkStart w:id="287" w:name="_Toc514255302"/>
      <w:proofErr w:type="spellStart"/>
      <w:r>
        <w:rPr>
          <w:rFonts w:hint="eastAsia"/>
        </w:rPr>
        <w:t>本报告期持有的基金发生的重大影响事件</w:t>
      </w:r>
      <w:bookmarkEnd w:id="285"/>
      <w:bookmarkEnd w:id="286"/>
      <w:bookmarkEnd w:id="287"/>
      <w:proofErr w:type="spellEnd"/>
      <w:r>
        <w:rPr>
          <w:rFonts w:hint="eastAsia"/>
          <w:lang w:eastAsia="zh-CN"/>
        </w:rPr>
        <w:t xml:space="preserve">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8835"/>
      </w:tblGrid>
      <w:tr w:rsidR="00CF6E5F">
        <w:trPr>
          <w:divId w:val="62523210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rsidR="00CF6E5F" w:rsidRDefault="00F825F3">
            <w:pPr>
              <w:spacing w:line="360" w:lineRule="auto"/>
              <w:jc w:val="left"/>
            </w:pPr>
            <w:r>
              <w:rPr>
                <w:rFonts w:ascii="宋体" w:hAnsi="宋体" w:cs="宋体" w:hint="eastAsia"/>
                <w:color w:val="000000"/>
                <w:kern w:val="0"/>
              </w:rPr>
              <w:t>无。</w:t>
            </w:r>
          </w:p>
        </w:tc>
      </w:tr>
    </w:tbl>
    <w:p w:rsidR="00CF6E5F" w:rsidRDefault="00F825F3">
      <w:pPr>
        <w:pStyle w:val="XBRLTitle1"/>
        <w:spacing w:before="156" w:line="360" w:lineRule="auto"/>
        <w:ind w:left="425"/>
      </w:pPr>
      <w:bookmarkStart w:id="288" w:name="_Toc17899998"/>
      <w:bookmarkStart w:id="289" w:name="_Toc512519521"/>
      <w:bookmarkStart w:id="290" w:name="_Toc481075089"/>
      <w:bookmarkStart w:id="291" w:name="_Toc438646477"/>
      <w:bookmarkStart w:id="292" w:name="_Toc490050042"/>
      <w:bookmarkStart w:id="293" w:name="_Toc513295870"/>
      <w:bookmarkStart w:id="294" w:name="_Toc513295933"/>
      <w:bookmarkStart w:id="295" w:name="m601"/>
      <w:bookmarkEnd w:id="271"/>
      <w:proofErr w:type="spellStart"/>
      <w:r>
        <w:rPr>
          <w:rFonts w:hAnsi="宋体" w:hint="eastAsia"/>
        </w:rPr>
        <w:t>开放式基金份额变动</w:t>
      </w:r>
      <w:bookmarkStart w:id="296" w:name="m601_tab"/>
      <w:bookmarkEnd w:id="288"/>
      <w:bookmarkEnd w:id="289"/>
      <w:bookmarkEnd w:id="290"/>
      <w:bookmarkEnd w:id="291"/>
      <w:bookmarkEnd w:id="292"/>
      <w:bookmarkEnd w:id="293"/>
      <w:bookmarkEnd w:id="294"/>
      <w:proofErr w:type="spellEnd"/>
      <w:r>
        <w:rPr>
          <w:rFonts w:hAnsi="宋体" w:hint="eastAsia"/>
        </w:rPr>
        <w:t xml:space="preserve"> </w:t>
      </w:r>
    </w:p>
    <w:p w:rsidR="00CF6E5F" w:rsidRDefault="00F825F3">
      <w:pPr>
        <w:wordWrap w:val="0"/>
        <w:spacing w:line="360" w:lineRule="auto"/>
        <w:jc w:val="right"/>
        <w:divId w:val="564529580"/>
      </w:pPr>
      <w:bookmarkStart w:id="297"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8"/>
        <w:gridCol w:w="2573"/>
      </w:tblGrid>
      <w:tr w:rsidR="00CF6E5F">
        <w:trPr>
          <w:divId w:val="56452958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CF6E5F" w:rsidRDefault="00F825F3">
            <w:pPr>
              <w:pStyle w:val="xl33"/>
              <w:widowControl w:val="0"/>
              <w:pBdr>
                <w:left w:val="none" w:sz="0" w:space="0" w:color="auto"/>
                <w:bottom w:val="none" w:sz="0" w:space="0" w:color="auto"/>
                <w:right w:val="none" w:sz="0" w:space="0" w:color="auto"/>
              </w:pBdr>
              <w:spacing w:before="0" w:beforeAutospacing="0" w:after="0" w:afterAutospacing="0"/>
              <w:jc w:val="both"/>
            </w:pPr>
            <w:bookmarkStart w:id="298" w:name="m10_01" w:colFirst="1" w:colLast="2"/>
            <w:bookmarkEnd w:id="297"/>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6E5F" w:rsidRDefault="00F825F3">
            <w:pPr>
              <w:ind w:right="3"/>
              <w:jc w:val="center"/>
            </w:pPr>
            <w:r>
              <w:rPr>
                <w:rFonts w:ascii="宋体" w:hAnsi="宋体" w:hint="eastAsia"/>
                <w:lang w:eastAsia="zh-Hans"/>
              </w:rPr>
              <w:t>摩根尚睿混合(FOF)A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F6E5F" w:rsidRDefault="00F825F3">
            <w:pPr>
              <w:ind w:right="3"/>
              <w:jc w:val="center"/>
            </w:pPr>
            <w:r>
              <w:rPr>
                <w:rFonts w:ascii="宋体" w:hAnsi="宋体" w:hint="eastAsia"/>
                <w:lang w:eastAsia="zh-Hans"/>
              </w:rPr>
              <w:t>摩根尚睿混合(FOF)C</w:t>
            </w:r>
            <w:r>
              <w:rPr>
                <w:rFonts w:ascii="宋体" w:hAnsi="宋体" w:hint="eastAsia"/>
                <w:kern w:val="0"/>
                <w:szCs w:val="24"/>
                <w:lang w:eastAsia="zh-Hans"/>
              </w:rPr>
              <w:t xml:space="preserve"> </w:t>
            </w:r>
          </w:p>
        </w:tc>
      </w:tr>
      <w:tr w:rsidR="00CF6E5F">
        <w:trPr>
          <w:divId w:val="56452958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jc w:val="right"/>
            </w:pPr>
            <w:r>
              <w:rPr>
                <w:rFonts w:ascii="宋体" w:hAnsi="宋体" w:hint="eastAsia"/>
              </w:rPr>
              <w:t>29,484,734.60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jc w:val="right"/>
            </w:pPr>
            <w:r>
              <w:rPr>
                <w:rFonts w:ascii="宋体" w:hAnsi="宋体" w:hint="eastAsia"/>
              </w:rPr>
              <w:t>3,301,214.14</w:t>
            </w:r>
          </w:p>
        </w:tc>
      </w:tr>
      <w:tr w:rsidR="00CF6E5F">
        <w:trPr>
          <w:divId w:val="56452958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jc w:val="right"/>
            </w:pPr>
            <w:r>
              <w:rPr>
                <w:rFonts w:ascii="宋体" w:hAnsi="宋体" w:hint="eastAsia"/>
              </w:rPr>
              <w:t>5,693,440.62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jc w:val="right"/>
            </w:pPr>
            <w:r>
              <w:rPr>
                <w:rFonts w:ascii="宋体" w:hAnsi="宋体" w:hint="eastAsia"/>
              </w:rPr>
              <w:t>636,346.06</w:t>
            </w:r>
          </w:p>
        </w:tc>
      </w:tr>
      <w:tr w:rsidR="00CF6E5F">
        <w:trPr>
          <w:divId w:val="56452958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jc w:val="right"/>
            </w:pPr>
            <w:r>
              <w:rPr>
                <w:rFonts w:ascii="宋体" w:hAnsi="宋体" w:hint="eastAsia"/>
              </w:rPr>
              <w:t>2,209,316.88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jc w:val="right"/>
            </w:pPr>
            <w:r>
              <w:rPr>
                <w:rFonts w:ascii="宋体" w:hAnsi="宋体" w:hint="eastAsia"/>
              </w:rPr>
              <w:t>345,390.35</w:t>
            </w:r>
          </w:p>
        </w:tc>
      </w:tr>
      <w:tr w:rsidR="00CF6E5F">
        <w:trPr>
          <w:divId w:val="56452958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jc w:val="right"/>
            </w:pPr>
            <w:r>
              <w:rPr>
                <w:rFonts w:ascii="宋体" w:hAnsi="宋体" w:hint="eastAsia"/>
              </w:rPr>
              <w:t>-</w:t>
            </w:r>
          </w:p>
        </w:tc>
      </w:tr>
      <w:tr w:rsidR="00CF6E5F">
        <w:trPr>
          <w:divId w:val="56452958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jc w:val="right"/>
            </w:pPr>
            <w:r>
              <w:rPr>
                <w:rFonts w:ascii="宋体" w:hAnsi="宋体" w:hint="eastAsia"/>
              </w:rPr>
              <w:t>32,968,858.34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CF6E5F" w:rsidRDefault="00F825F3">
            <w:pPr>
              <w:jc w:val="right"/>
            </w:pPr>
            <w:r>
              <w:rPr>
                <w:rFonts w:ascii="宋体" w:hAnsi="宋体" w:hint="eastAsia"/>
              </w:rPr>
              <w:t>3,592,169.85</w:t>
            </w:r>
          </w:p>
        </w:tc>
      </w:tr>
    </w:tbl>
    <w:p w:rsidR="00CF6E5F" w:rsidRDefault="00F825F3">
      <w:pPr>
        <w:spacing w:line="360" w:lineRule="auto"/>
        <w:jc w:val="left"/>
        <w:divId w:val="564529580"/>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98"/>
      <w:r>
        <w:rPr>
          <w:rFonts w:ascii="宋体" w:hAnsi="宋体" w:hint="eastAsia"/>
        </w:rPr>
        <w:t xml:space="preserve"> </w:t>
      </w:r>
    </w:p>
    <w:p w:rsidR="00CF6E5F" w:rsidRDefault="00F825F3">
      <w:pPr>
        <w:pStyle w:val="XBRLTitle1"/>
        <w:spacing w:before="156" w:line="360" w:lineRule="auto"/>
        <w:ind w:left="425"/>
      </w:pPr>
      <w:bookmarkStart w:id="299" w:name="_Toc17899999"/>
      <w:bookmarkStart w:id="300" w:name="m7manage01"/>
      <w:bookmarkStart w:id="301" w:name="_Toc512519522"/>
      <w:bookmarkStart w:id="302" w:name="_Toc481075090"/>
      <w:bookmarkStart w:id="303" w:name="_Toc438646478"/>
      <w:bookmarkStart w:id="304" w:name="_Toc490050043"/>
      <w:bookmarkStart w:id="305" w:name="_Toc513295871"/>
      <w:bookmarkStart w:id="306" w:name="_Toc513295934"/>
      <w:bookmarkEnd w:id="295"/>
      <w:bookmarkEnd w:id="296"/>
      <w:proofErr w:type="spellStart"/>
      <w:r>
        <w:rPr>
          <w:rFonts w:hAnsi="宋体" w:hint="eastAsia"/>
        </w:rPr>
        <w:t>基金管理人运用固有资金投资本基金情况</w:t>
      </w:r>
      <w:bookmarkEnd w:id="299"/>
      <w:bookmarkEnd w:id="300"/>
      <w:bookmarkEnd w:id="301"/>
      <w:bookmarkEnd w:id="302"/>
      <w:bookmarkEnd w:id="303"/>
      <w:bookmarkEnd w:id="304"/>
      <w:bookmarkEnd w:id="305"/>
      <w:bookmarkEnd w:id="306"/>
      <w:proofErr w:type="spellEnd"/>
      <w:r>
        <w:rPr>
          <w:rFonts w:hAnsi="宋体" w:hint="eastAsia"/>
        </w:rPr>
        <w:t xml:space="preserve"> </w:t>
      </w:r>
    </w:p>
    <w:p w:rsidR="00CF6E5F" w:rsidRDefault="00F825F3">
      <w:pPr>
        <w:pStyle w:val="XBRLTitle2"/>
        <w:spacing w:before="156" w:line="360" w:lineRule="auto"/>
        <w:ind w:left="454"/>
      </w:pPr>
      <w:bookmarkStart w:id="307" w:name="_Toc17900000"/>
      <w:bookmarkStart w:id="308" w:name="_Toc512519523"/>
      <w:bookmarkStart w:id="309" w:name="_Toc481075091"/>
      <w:bookmarkStart w:id="310" w:name="_Toc458599606"/>
      <w:bookmarkStart w:id="311" w:name="_Toc490050044"/>
      <w:bookmarkStart w:id="312" w:name="_Toc513295872"/>
      <w:bookmarkStart w:id="313" w:name="_Toc513295935"/>
      <w:proofErr w:type="spellStart"/>
      <w:r>
        <w:rPr>
          <w:rFonts w:hAnsi="宋体" w:hint="eastAsia"/>
        </w:rPr>
        <w:t>基金管理人持有本基金份额变动情况</w:t>
      </w:r>
      <w:bookmarkEnd w:id="307"/>
      <w:bookmarkEnd w:id="308"/>
      <w:bookmarkEnd w:id="309"/>
      <w:bookmarkEnd w:id="310"/>
      <w:bookmarkEnd w:id="311"/>
      <w:bookmarkEnd w:id="312"/>
      <w:bookmarkEnd w:id="313"/>
      <w:proofErr w:type="spellEnd"/>
      <w:r>
        <w:rPr>
          <w:rFonts w:hAnsi="宋体" w:hint="eastAsia"/>
          <w:lang w:eastAsia="zh-CN"/>
        </w:rPr>
        <w:t xml:space="preserve"> </w:t>
      </w:r>
    </w:p>
    <w:p w:rsidR="00CF6E5F" w:rsidRDefault="00F825F3">
      <w:pPr>
        <w:wordWrap w:val="0"/>
        <w:spacing w:line="360" w:lineRule="auto"/>
        <w:jc w:val="right"/>
        <w:divId w:val="1114590384"/>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CF6E5F">
        <w:trPr>
          <w:divId w:val="1114590384"/>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jc w:val="center"/>
            </w:pPr>
            <w:r>
              <w:rPr>
                <w:rFonts w:ascii="宋体" w:hAnsi="宋体" w:hint="eastAsia"/>
                <w:lang w:eastAsia="zh-Hans"/>
              </w:rPr>
              <w:t>摩根尚睿混合(FOF)A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CF6E5F" w:rsidRDefault="00F825F3">
            <w:pPr>
              <w:jc w:val="center"/>
            </w:pPr>
            <w:r>
              <w:rPr>
                <w:rFonts w:ascii="宋体" w:hAnsi="宋体" w:hint="eastAsia"/>
                <w:lang w:eastAsia="zh-Hans"/>
              </w:rPr>
              <w:t>摩根尚睿混合(FOF)C</w:t>
            </w:r>
            <w:r>
              <w:rPr>
                <w:rFonts w:ascii="宋体" w:hAnsi="宋体" w:hint="eastAsia"/>
                <w:color w:val="000000"/>
              </w:rPr>
              <w:t xml:space="preserve"> </w:t>
            </w:r>
          </w:p>
        </w:tc>
      </w:tr>
      <w:tr w:rsidR="00CF6E5F">
        <w:trPr>
          <w:divId w:val="111459038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kern w:val="0"/>
                <w:szCs w:val="24"/>
                <w:lang w:eastAsia="zh-Hans"/>
              </w:rPr>
              <w:t>877,010.28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kern w:val="0"/>
                <w:szCs w:val="24"/>
                <w:lang w:eastAsia="zh-Hans"/>
              </w:rPr>
              <w:t>-</w:t>
            </w:r>
          </w:p>
        </w:tc>
      </w:tr>
      <w:tr w:rsidR="00CF6E5F">
        <w:trPr>
          <w:divId w:val="111459038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szCs w:val="24"/>
                <w:lang w:eastAsia="zh-Hans"/>
              </w:rPr>
              <w:t>-</w:t>
            </w:r>
          </w:p>
        </w:tc>
      </w:tr>
      <w:tr w:rsidR="00CF6E5F">
        <w:trPr>
          <w:divId w:val="111459038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lang w:eastAsia="zh-Hans"/>
              </w:rPr>
              <w:t>-</w:t>
            </w:r>
          </w:p>
        </w:tc>
      </w:tr>
      <w:tr w:rsidR="00CF6E5F">
        <w:trPr>
          <w:divId w:val="111459038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lang w:eastAsia="zh-Hans"/>
              </w:rPr>
              <w:t>877,010.28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lang w:eastAsia="zh-Hans"/>
              </w:rPr>
              <w:t>-</w:t>
            </w:r>
          </w:p>
        </w:tc>
      </w:tr>
      <w:tr w:rsidR="00CF6E5F">
        <w:trPr>
          <w:divId w:val="111459038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lang w:eastAsia="zh-Hans"/>
              </w:rPr>
              <w:t>2.40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CF6E5F" w:rsidRDefault="00F825F3">
            <w:pPr>
              <w:jc w:val="right"/>
            </w:pPr>
            <w:r>
              <w:rPr>
                <w:rFonts w:ascii="宋体" w:hAnsi="宋体" w:hint="eastAsia"/>
                <w:lang w:eastAsia="zh-Hans"/>
              </w:rPr>
              <w:t>-</w:t>
            </w:r>
          </w:p>
        </w:tc>
      </w:tr>
    </w:tbl>
    <w:p w:rsidR="00CF6E5F" w:rsidRDefault="00F825F3">
      <w:pPr>
        <w:pStyle w:val="XBRLTitle2"/>
        <w:spacing w:before="156" w:line="360" w:lineRule="auto"/>
        <w:ind w:left="454"/>
      </w:pPr>
      <w:bookmarkStart w:id="314" w:name="_Toc17900001"/>
      <w:bookmarkStart w:id="315" w:name="_Toc512519524"/>
      <w:bookmarkStart w:id="316" w:name="_Toc481075092"/>
      <w:bookmarkStart w:id="317" w:name="_Toc458599607"/>
      <w:bookmarkStart w:id="318" w:name="_Toc490050045"/>
      <w:bookmarkStart w:id="319" w:name="_Toc513295873"/>
      <w:bookmarkStart w:id="320" w:name="_Toc513295936"/>
      <w:proofErr w:type="spellStart"/>
      <w:r>
        <w:rPr>
          <w:rFonts w:hAnsi="宋体" w:hint="eastAsia"/>
        </w:rPr>
        <w:t>基金管理人运用固有资金投资本基金交易明细</w:t>
      </w:r>
      <w:bookmarkEnd w:id="314"/>
      <w:bookmarkEnd w:id="315"/>
      <w:bookmarkEnd w:id="316"/>
      <w:bookmarkEnd w:id="317"/>
      <w:bookmarkEnd w:id="318"/>
      <w:bookmarkEnd w:id="319"/>
      <w:bookmarkEnd w:id="320"/>
      <w:proofErr w:type="spellEnd"/>
      <w:r>
        <w:rPr>
          <w:rFonts w:hAnsi="宋体" w:hint="eastAsia"/>
          <w:lang w:eastAsia="zh-CN"/>
        </w:rPr>
        <w:t xml:space="preserve"> </w:t>
      </w:r>
    </w:p>
    <w:p w:rsidR="00CF6E5F" w:rsidRDefault="00F825F3">
      <w:pPr>
        <w:spacing w:line="360" w:lineRule="auto"/>
        <w:ind w:firstLineChars="200" w:firstLine="420"/>
        <w:jc w:val="left"/>
        <w:divId w:val="797141641"/>
      </w:pPr>
      <w:r>
        <w:rPr>
          <w:rFonts w:ascii="宋体" w:hAnsi="宋体" w:hint="eastAsia"/>
          <w:lang w:eastAsia="zh-Hans"/>
        </w:rPr>
        <w:t>无。</w:t>
      </w:r>
      <w:r>
        <w:rPr>
          <w:rFonts w:ascii="宋体" w:hAnsi="宋体" w:hint="eastAsia"/>
        </w:rPr>
        <w:t xml:space="preserve"> </w:t>
      </w:r>
    </w:p>
    <w:p w:rsidR="00CF6E5F" w:rsidRDefault="00F825F3">
      <w:pPr>
        <w:pStyle w:val="XBRLTitle1"/>
        <w:spacing w:before="156" w:line="360" w:lineRule="auto"/>
        <w:ind w:left="425"/>
      </w:pPr>
      <w:bookmarkStart w:id="321" w:name="_Toc17900003"/>
      <w:bookmarkStart w:id="322" w:name="_Toc512519526"/>
      <w:bookmarkStart w:id="323" w:name="_Toc490050046"/>
      <w:bookmarkStart w:id="324" w:name="_Toc481075094"/>
      <w:bookmarkStart w:id="325" w:name="_Toc479856294"/>
      <w:bookmarkStart w:id="326" w:name="_Toc513295875"/>
      <w:bookmarkStart w:id="327" w:name="_Toc513295938"/>
      <w:bookmarkStart w:id="328" w:name="m701"/>
      <w:proofErr w:type="spellStart"/>
      <w:r>
        <w:rPr>
          <w:rFonts w:hAnsi="宋体" w:hint="eastAsia"/>
        </w:rPr>
        <w:t>影响投资者决策的其他重要信息</w:t>
      </w:r>
      <w:bookmarkEnd w:id="321"/>
      <w:bookmarkEnd w:id="322"/>
      <w:bookmarkEnd w:id="323"/>
      <w:bookmarkEnd w:id="324"/>
      <w:bookmarkEnd w:id="325"/>
      <w:bookmarkEnd w:id="326"/>
      <w:bookmarkEnd w:id="327"/>
      <w:proofErr w:type="spellEnd"/>
      <w:r>
        <w:rPr>
          <w:rFonts w:hAnsi="宋体" w:hint="eastAsia"/>
          <w:lang w:eastAsia="zh-CN"/>
        </w:rPr>
        <w:t xml:space="preserve"> </w:t>
      </w:r>
    </w:p>
    <w:p w:rsidR="00CF6E5F" w:rsidRDefault="00F825F3">
      <w:pPr>
        <w:pStyle w:val="XBRLTitle2"/>
        <w:spacing w:before="156" w:line="360" w:lineRule="auto"/>
        <w:ind w:left="454"/>
      </w:pPr>
      <w:bookmarkStart w:id="329" w:name="_Toc17900004"/>
      <w:bookmarkStart w:id="330" w:name="_Toc512519527"/>
      <w:bookmarkStart w:id="331" w:name="_Toc481075095"/>
      <w:bookmarkStart w:id="332" w:name="_Toc490050047"/>
      <w:bookmarkStart w:id="333" w:name="_Toc513295876"/>
      <w:bookmarkStart w:id="334" w:name="_Toc513295939"/>
      <w:r>
        <w:rPr>
          <w:rFonts w:hAnsi="宋体" w:hint="eastAsia"/>
          <w:kern w:val="0"/>
        </w:rPr>
        <w:t>报告期内单一投资者持有基金份额比例达到或超过20%的情况</w:t>
      </w:r>
      <w:bookmarkEnd w:id="329"/>
      <w:bookmarkEnd w:id="330"/>
      <w:bookmarkEnd w:id="331"/>
      <w:bookmarkEnd w:id="332"/>
      <w:bookmarkEnd w:id="333"/>
      <w:bookmarkEnd w:id="334"/>
      <w:r>
        <w:rPr>
          <w:rFonts w:hAnsi="宋体" w:hint="eastAsia"/>
          <w:kern w:val="0"/>
          <w:lang w:eastAsia="zh-CN"/>
        </w:rPr>
        <w:t xml:space="preserve"> </w:t>
      </w:r>
    </w:p>
    <w:bookmarkEnd w:id="22"/>
    <w:bookmarkEnd w:id="40"/>
    <w:bookmarkEnd w:id="41"/>
    <w:p w:rsidR="00CF6E5F" w:rsidRDefault="00F825F3">
      <w:pPr>
        <w:spacing w:line="360" w:lineRule="auto"/>
        <w:ind w:firstLineChars="200" w:firstLine="420"/>
        <w:divId w:val="985889267"/>
        <w:rPr>
          <w:rFonts w:ascii="宋体" w:hAnsi="宋体"/>
          <w:szCs w:val="21"/>
          <w:lang w:eastAsia="zh-Hans"/>
        </w:rPr>
      </w:pPr>
      <w:r>
        <w:rPr>
          <w:rFonts w:ascii="宋体" w:hAnsi="宋体" w:hint="eastAsia"/>
          <w:szCs w:val="21"/>
          <w:lang w:eastAsia="zh-Hans"/>
        </w:rPr>
        <w:lastRenderedPageBreak/>
        <w:t>无。</w:t>
      </w:r>
    </w:p>
    <w:p w:rsidR="00CF6E5F" w:rsidRDefault="00F825F3">
      <w:pPr>
        <w:pStyle w:val="XBRLTitle1"/>
        <w:spacing w:before="156" w:line="360" w:lineRule="auto"/>
        <w:ind w:left="425"/>
      </w:pPr>
      <w:bookmarkStart w:id="335" w:name="_Toc17900006"/>
      <w:bookmarkStart w:id="336" w:name="_Toc512519529"/>
      <w:bookmarkStart w:id="337" w:name="_Toc490050049"/>
      <w:bookmarkStart w:id="338" w:name="_Toc481075097"/>
      <w:bookmarkStart w:id="339" w:name="_Toc438646481"/>
      <w:bookmarkStart w:id="340" w:name="_Toc513295878"/>
      <w:bookmarkStart w:id="341" w:name="_Toc513295941"/>
      <w:bookmarkEnd w:id="328"/>
      <w:proofErr w:type="spellStart"/>
      <w:r>
        <w:rPr>
          <w:rFonts w:hAnsi="宋体" w:hint="eastAsia"/>
        </w:rPr>
        <w:t>备查文件目录</w:t>
      </w:r>
      <w:bookmarkEnd w:id="335"/>
      <w:bookmarkEnd w:id="336"/>
      <w:bookmarkEnd w:id="337"/>
      <w:bookmarkEnd w:id="338"/>
      <w:bookmarkEnd w:id="339"/>
      <w:bookmarkEnd w:id="340"/>
      <w:bookmarkEnd w:id="341"/>
      <w:proofErr w:type="spellEnd"/>
      <w:r>
        <w:rPr>
          <w:rFonts w:hAnsi="宋体" w:hint="eastAsia"/>
        </w:rPr>
        <w:t xml:space="preserve"> </w:t>
      </w:r>
    </w:p>
    <w:p w:rsidR="00CF6E5F" w:rsidRDefault="00F825F3">
      <w:pPr>
        <w:pStyle w:val="XBRLTitle2"/>
        <w:spacing w:before="156" w:line="360" w:lineRule="auto"/>
        <w:ind w:left="454"/>
      </w:pPr>
      <w:bookmarkStart w:id="342" w:name="_Toc438646482"/>
      <w:bookmarkStart w:id="343" w:name="_Toc17900007"/>
      <w:bookmarkStart w:id="344" w:name="_Toc512519530"/>
      <w:bookmarkStart w:id="345" w:name="_Toc481075098"/>
      <w:bookmarkStart w:id="346" w:name="_Toc490050050"/>
      <w:bookmarkStart w:id="347" w:name="_Toc513295879"/>
      <w:bookmarkStart w:id="348" w:name="_Toc513295942"/>
      <w:bookmarkStart w:id="349" w:name="m801_01_1733"/>
      <w:proofErr w:type="spellStart"/>
      <w:r>
        <w:rPr>
          <w:rFonts w:hAnsi="宋体" w:hint="eastAsia"/>
        </w:rPr>
        <w:t>备查文件目录</w:t>
      </w:r>
      <w:bookmarkEnd w:id="342"/>
      <w:bookmarkEnd w:id="343"/>
      <w:bookmarkEnd w:id="344"/>
      <w:bookmarkEnd w:id="345"/>
      <w:bookmarkEnd w:id="346"/>
      <w:bookmarkEnd w:id="347"/>
      <w:bookmarkEnd w:id="348"/>
      <w:proofErr w:type="spellEnd"/>
      <w:r>
        <w:rPr>
          <w:rFonts w:hAnsi="宋体" w:hint="eastAsia"/>
        </w:rPr>
        <w:t xml:space="preserve"> </w:t>
      </w:r>
    </w:p>
    <w:p w:rsidR="00CF6E5F" w:rsidRDefault="00F825F3">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(二)摩根尚睿混合型基金中基金(FOF)基金合同</w:t>
      </w:r>
      <w:r>
        <w:rPr>
          <w:rFonts w:ascii="宋体" w:hAnsi="宋体" w:cs="宋体" w:hint="eastAsia"/>
          <w:color w:val="000000"/>
          <w:kern w:val="0"/>
        </w:rPr>
        <w:br/>
        <w:t xml:space="preserve">　　(三)摩根尚睿混合型基金中基金(FOF)托管协议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CF6E5F" w:rsidRDefault="00F825F3">
      <w:pPr>
        <w:pStyle w:val="XBRLTitle2"/>
        <w:spacing w:before="156" w:line="360" w:lineRule="auto"/>
        <w:ind w:left="454"/>
      </w:pPr>
      <w:bookmarkStart w:id="350" w:name="_Toc438646483"/>
      <w:bookmarkStart w:id="351" w:name="_Toc17900008"/>
      <w:bookmarkStart w:id="352" w:name="_Toc512519531"/>
      <w:bookmarkStart w:id="353" w:name="_Toc481075099"/>
      <w:bookmarkStart w:id="354" w:name="_Toc490050051"/>
      <w:bookmarkStart w:id="355" w:name="_Toc513295880"/>
      <w:bookmarkStart w:id="356" w:name="_Toc513295943"/>
      <w:bookmarkStart w:id="357" w:name="m801_01_1734"/>
      <w:bookmarkEnd w:id="349"/>
      <w:proofErr w:type="spellStart"/>
      <w:r>
        <w:rPr>
          <w:rFonts w:hAnsi="宋体" w:hint="eastAsia"/>
        </w:rPr>
        <w:t>存放地点</w:t>
      </w:r>
      <w:bookmarkEnd w:id="350"/>
      <w:bookmarkEnd w:id="351"/>
      <w:bookmarkEnd w:id="352"/>
      <w:bookmarkEnd w:id="353"/>
      <w:bookmarkEnd w:id="354"/>
      <w:bookmarkEnd w:id="355"/>
      <w:bookmarkEnd w:id="356"/>
      <w:proofErr w:type="spellEnd"/>
      <w:r>
        <w:rPr>
          <w:rFonts w:hAnsi="宋体" w:hint="eastAsia"/>
        </w:rPr>
        <w:t xml:space="preserve"> </w:t>
      </w:r>
    </w:p>
    <w:p w:rsidR="00CF6E5F" w:rsidRDefault="00F825F3">
      <w:pPr>
        <w:spacing w:line="360" w:lineRule="auto"/>
        <w:ind w:firstLineChars="200" w:firstLine="420"/>
        <w:jc w:val="left"/>
      </w:pPr>
      <w:r>
        <w:rPr>
          <w:rFonts w:ascii="宋体" w:hAnsi="宋体" w:cs="宋体" w:hint="eastAsia"/>
          <w:color w:val="000000"/>
          <w:kern w:val="0"/>
        </w:rPr>
        <w:t>基金管理人或基金托管人住所。</w:t>
      </w:r>
    </w:p>
    <w:p w:rsidR="00CF6E5F" w:rsidRDefault="00F825F3">
      <w:pPr>
        <w:pStyle w:val="XBRLTitle2"/>
        <w:spacing w:before="156" w:line="360" w:lineRule="auto"/>
        <w:ind w:left="454"/>
      </w:pPr>
      <w:bookmarkStart w:id="358" w:name="_Toc438646484"/>
      <w:bookmarkStart w:id="359" w:name="_Toc17900009"/>
      <w:bookmarkStart w:id="360" w:name="_Toc512519532"/>
      <w:bookmarkStart w:id="361" w:name="_Toc481075100"/>
      <w:bookmarkStart w:id="362" w:name="_Toc490050052"/>
      <w:bookmarkStart w:id="363" w:name="_Toc513295881"/>
      <w:bookmarkStart w:id="364" w:name="_Toc513295944"/>
      <w:bookmarkStart w:id="365" w:name="m801_01_1735"/>
      <w:bookmarkEnd w:id="357"/>
      <w:proofErr w:type="spellStart"/>
      <w:r>
        <w:rPr>
          <w:rFonts w:hAnsi="宋体" w:hint="eastAsia"/>
        </w:rPr>
        <w:t>查阅方式</w:t>
      </w:r>
      <w:bookmarkEnd w:id="358"/>
      <w:bookmarkEnd w:id="359"/>
      <w:bookmarkEnd w:id="360"/>
      <w:bookmarkEnd w:id="361"/>
      <w:bookmarkEnd w:id="362"/>
      <w:bookmarkEnd w:id="363"/>
      <w:bookmarkEnd w:id="364"/>
      <w:proofErr w:type="spellEnd"/>
      <w:r>
        <w:rPr>
          <w:rFonts w:hAnsi="宋体" w:hint="eastAsia"/>
        </w:rPr>
        <w:t xml:space="preserve"> </w:t>
      </w:r>
    </w:p>
    <w:p w:rsidR="00CF6E5F" w:rsidRDefault="00F825F3">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65"/>
    <w:p w:rsidR="00CF6E5F" w:rsidRDefault="00F825F3">
      <w:pPr>
        <w:spacing w:line="360" w:lineRule="auto"/>
        <w:ind w:firstLineChars="600" w:firstLine="1687"/>
        <w:jc w:val="left"/>
      </w:pPr>
      <w:r>
        <w:rPr>
          <w:rFonts w:ascii="宋体" w:hAnsi="宋体" w:hint="eastAsia"/>
          <w:b/>
          <w:bCs/>
          <w:sz w:val="28"/>
          <w:szCs w:val="30"/>
        </w:rPr>
        <w:t xml:space="preserve">　 </w:t>
      </w:r>
    </w:p>
    <w:p w:rsidR="00CF6E5F" w:rsidRDefault="00F825F3">
      <w:pPr>
        <w:spacing w:line="360" w:lineRule="auto"/>
        <w:ind w:firstLineChars="600" w:firstLine="1687"/>
        <w:jc w:val="left"/>
      </w:pPr>
      <w:r>
        <w:rPr>
          <w:rFonts w:ascii="宋体" w:hAnsi="宋体" w:hint="eastAsia"/>
          <w:b/>
          <w:bCs/>
          <w:sz w:val="28"/>
          <w:szCs w:val="30"/>
        </w:rPr>
        <w:t xml:space="preserve">　 </w:t>
      </w:r>
    </w:p>
    <w:p w:rsidR="00CF6E5F" w:rsidRDefault="00F825F3">
      <w:pPr>
        <w:spacing w:line="360" w:lineRule="auto"/>
        <w:ind w:firstLineChars="600" w:firstLine="1446"/>
        <w:jc w:val="right"/>
      </w:pPr>
      <w:r>
        <w:rPr>
          <w:rFonts w:ascii="宋体" w:hAnsi="宋体" w:hint="eastAsia"/>
          <w:b/>
          <w:bCs/>
          <w:sz w:val="24"/>
          <w:szCs w:val="24"/>
        </w:rPr>
        <w:t>摩根基金管理（中国）有限公司</w:t>
      </w:r>
    </w:p>
    <w:p w:rsidR="00CF6E5F" w:rsidRDefault="00F825F3">
      <w:pPr>
        <w:spacing w:line="360" w:lineRule="auto"/>
        <w:ind w:firstLineChars="600" w:firstLine="1446"/>
        <w:jc w:val="right"/>
      </w:pPr>
      <w:r>
        <w:rPr>
          <w:rFonts w:ascii="宋体" w:hAnsi="宋体" w:hint="eastAsia"/>
          <w:b/>
          <w:bCs/>
          <w:sz w:val="24"/>
          <w:szCs w:val="24"/>
        </w:rPr>
        <w:t>2025年4月22日</w:t>
      </w:r>
      <w:bookmarkEnd w:id="23"/>
    </w:p>
    <w:sectPr w:rsidR="00CF6E5F">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E5F" w:rsidRDefault="00F825F3">
      <w:pPr>
        <w:rPr>
          <w:szCs w:val="21"/>
        </w:rPr>
      </w:pPr>
      <w:r>
        <w:rPr>
          <w:szCs w:val="21"/>
        </w:rPr>
        <w:separator/>
      </w:r>
      <w:r>
        <w:rPr>
          <w:szCs w:val="21"/>
        </w:rPr>
        <w:t xml:space="preserve"> </w:t>
      </w:r>
    </w:p>
  </w:endnote>
  <w:endnote w:type="continuationSeparator" w:id="0">
    <w:p w:rsidR="00CF6E5F" w:rsidRDefault="00F825F3">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E5F" w:rsidRDefault="00F825F3">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1827D6">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1827D6">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E5F" w:rsidRDefault="00F825F3">
      <w:pPr>
        <w:rPr>
          <w:szCs w:val="21"/>
        </w:rPr>
      </w:pPr>
      <w:r>
        <w:rPr>
          <w:szCs w:val="21"/>
        </w:rPr>
        <w:separator/>
      </w:r>
      <w:r>
        <w:rPr>
          <w:szCs w:val="21"/>
        </w:rPr>
        <w:t xml:space="preserve"> </w:t>
      </w:r>
    </w:p>
  </w:footnote>
  <w:footnote w:type="continuationSeparator" w:id="0">
    <w:p w:rsidR="00CF6E5F" w:rsidRDefault="00F825F3">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E5F" w:rsidRDefault="00F825F3">
    <w:pPr>
      <w:pStyle w:val="a8"/>
      <w:jc w:val="right"/>
    </w:pPr>
    <w:r>
      <w:rPr>
        <w:rFonts w:ascii="宋体" w:hAnsi="宋体" w:hint="eastAsia"/>
      </w:rPr>
      <w:t>摩根尚睿混合型基金中基金(FOF)2025年第1季度报告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3"/>
    <w:rsid w:val="001827D6"/>
    <w:rsid w:val="00CF6E5F"/>
    <w:rsid w:val="00F8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01BE773B-322E-48D9-9945-3305CD1D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340">
      <w:marLeft w:val="0"/>
      <w:marRight w:val="0"/>
      <w:marTop w:val="0"/>
      <w:marBottom w:val="0"/>
      <w:divBdr>
        <w:top w:val="none" w:sz="0" w:space="0" w:color="auto"/>
        <w:left w:val="none" w:sz="0" w:space="0" w:color="auto"/>
        <w:bottom w:val="none" w:sz="0" w:space="0" w:color="auto"/>
        <w:right w:val="none" w:sz="0" w:space="0" w:color="auto"/>
      </w:divBdr>
      <w:divsChild>
        <w:div w:id="201138372">
          <w:marLeft w:val="0"/>
          <w:marRight w:val="0"/>
          <w:marTop w:val="0"/>
          <w:marBottom w:val="0"/>
          <w:divBdr>
            <w:top w:val="none" w:sz="0" w:space="0" w:color="auto"/>
            <w:left w:val="none" w:sz="0" w:space="0" w:color="auto"/>
            <w:bottom w:val="none" w:sz="0" w:space="0" w:color="auto"/>
            <w:right w:val="none" w:sz="0" w:space="0" w:color="auto"/>
          </w:divBdr>
        </w:div>
      </w:divsChild>
    </w:div>
    <w:div w:id="43913891">
      <w:marLeft w:val="0"/>
      <w:marRight w:val="0"/>
      <w:marTop w:val="0"/>
      <w:marBottom w:val="0"/>
      <w:divBdr>
        <w:top w:val="none" w:sz="0" w:space="0" w:color="auto"/>
        <w:left w:val="none" w:sz="0" w:space="0" w:color="auto"/>
        <w:bottom w:val="none" w:sz="0" w:space="0" w:color="auto"/>
        <w:right w:val="none" w:sz="0" w:space="0" w:color="auto"/>
      </w:divBdr>
      <w:divsChild>
        <w:div w:id="833423404">
          <w:marLeft w:val="0"/>
          <w:marRight w:val="0"/>
          <w:marTop w:val="0"/>
          <w:marBottom w:val="0"/>
          <w:divBdr>
            <w:top w:val="none" w:sz="0" w:space="0" w:color="auto"/>
            <w:left w:val="none" w:sz="0" w:space="0" w:color="auto"/>
            <w:bottom w:val="none" w:sz="0" w:space="0" w:color="auto"/>
            <w:right w:val="none" w:sz="0" w:space="0" w:color="auto"/>
          </w:divBdr>
        </w:div>
      </w:divsChild>
    </w:div>
    <w:div w:id="93139364">
      <w:marLeft w:val="0"/>
      <w:marRight w:val="0"/>
      <w:marTop w:val="0"/>
      <w:marBottom w:val="0"/>
      <w:divBdr>
        <w:top w:val="none" w:sz="0" w:space="0" w:color="auto"/>
        <w:left w:val="none" w:sz="0" w:space="0" w:color="auto"/>
        <w:bottom w:val="none" w:sz="0" w:space="0" w:color="auto"/>
        <w:right w:val="none" w:sz="0" w:space="0" w:color="auto"/>
      </w:divBdr>
    </w:div>
    <w:div w:id="97919167">
      <w:marLeft w:val="0"/>
      <w:marRight w:val="0"/>
      <w:marTop w:val="0"/>
      <w:marBottom w:val="0"/>
      <w:divBdr>
        <w:top w:val="none" w:sz="0" w:space="0" w:color="auto"/>
        <w:left w:val="none" w:sz="0" w:space="0" w:color="auto"/>
        <w:bottom w:val="none" w:sz="0" w:space="0" w:color="auto"/>
        <w:right w:val="none" w:sz="0" w:space="0" w:color="auto"/>
      </w:divBdr>
    </w:div>
    <w:div w:id="112789295">
      <w:marLeft w:val="0"/>
      <w:marRight w:val="0"/>
      <w:marTop w:val="0"/>
      <w:marBottom w:val="0"/>
      <w:divBdr>
        <w:top w:val="none" w:sz="0" w:space="0" w:color="auto"/>
        <w:left w:val="none" w:sz="0" w:space="0" w:color="auto"/>
        <w:bottom w:val="none" w:sz="0" w:space="0" w:color="auto"/>
        <w:right w:val="none" w:sz="0" w:space="0" w:color="auto"/>
      </w:divBdr>
    </w:div>
    <w:div w:id="464078574">
      <w:marLeft w:val="0"/>
      <w:marRight w:val="0"/>
      <w:marTop w:val="0"/>
      <w:marBottom w:val="0"/>
      <w:divBdr>
        <w:top w:val="none" w:sz="0" w:space="0" w:color="auto"/>
        <w:left w:val="none" w:sz="0" w:space="0" w:color="auto"/>
        <w:bottom w:val="none" w:sz="0" w:space="0" w:color="auto"/>
        <w:right w:val="none" w:sz="0" w:space="0" w:color="auto"/>
      </w:divBdr>
      <w:divsChild>
        <w:div w:id="1114590384">
          <w:marLeft w:val="0"/>
          <w:marRight w:val="0"/>
          <w:marTop w:val="0"/>
          <w:marBottom w:val="0"/>
          <w:divBdr>
            <w:top w:val="none" w:sz="0" w:space="0" w:color="auto"/>
            <w:left w:val="none" w:sz="0" w:space="0" w:color="auto"/>
            <w:bottom w:val="none" w:sz="0" w:space="0" w:color="auto"/>
            <w:right w:val="none" w:sz="0" w:space="0" w:color="auto"/>
          </w:divBdr>
        </w:div>
      </w:divsChild>
    </w:div>
    <w:div w:id="471875040">
      <w:marLeft w:val="0"/>
      <w:marRight w:val="0"/>
      <w:marTop w:val="0"/>
      <w:marBottom w:val="0"/>
      <w:divBdr>
        <w:top w:val="none" w:sz="0" w:space="0" w:color="auto"/>
        <w:left w:val="none" w:sz="0" w:space="0" w:color="auto"/>
        <w:bottom w:val="none" w:sz="0" w:space="0" w:color="auto"/>
        <w:right w:val="none" w:sz="0" w:space="0" w:color="auto"/>
      </w:divBdr>
      <w:divsChild>
        <w:div w:id="540551868">
          <w:marLeft w:val="0"/>
          <w:marRight w:val="0"/>
          <w:marTop w:val="0"/>
          <w:marBottom w:val="0"/>
          <w:divBdr>
            <w:top w:val="none" w:sz="0" w:space="0" w:color="auto"/>
            <w:left w:val="none" w:sz="0" w:space="0" w:color="auto"/>
            <w:bottom w:val="none" w:sz="0" w:space="0" w:color="auto"/>
            <w:right w:val="none" w:sz="0" w:space="0" w:color="auto"/>
          </w:divBdr>
        </w:div>
        <w:div w:id="1415669548">
          <w:marLeft w:val="0"/>
          <w:marRight w:val="0"/>
          <w:marTop w:val="0"/>
          <w:marBottom w:val="0"/>
          <w:divBdr>
            <w:top w:val="none" w:sz="0" w:space="0" w:color="auto"/>
            <w:left w:val="none" w:sz="0" w:space="0" w:color="auto"/>
            <w:bottom w:val="none" w:sz="0" w:space="0" w:color="auto"/>
            <w:right w:val="none" w:sz="0" w:space="0" w:color="auto"/>
          </w:divBdr>
        </w:div>
      </w:divsChild>
    </w:div>
    <w:div w:id="564529580">
      <w:marLeft w:val="0"/>
      <w:marRight w:val="0"/>
      <w:marTop w:val="0"/>
      <w:marBottom w:val="0"/>
      <w:divBdr>
        <w:top w:val="none" w:sz="0" w:space="0" w:color="auto"/>
        <w:left w:val="none" w:sz="0" w:space="0" w:color="auto"/>
        <w:bottom w:val="none" w:sz="0" w:space="0" w:color="auto"/>
        <w:right w:val="none" w:sz="0" w:space="0" w:color="auto"/>
      </w:divBdr>
    </w:div>
    <w:div w:id="576482868">
      <w:marLeft w:val="0"/>
      <w:marRight w:val="0"/>
      <w:marTop w:val="0"/>
      <w:marBottom w:val="0"/>
      <w:divBdr>
        <w:top w:val="none" w:sz="0" w:space="0" w:color="auto"/>
        <w:left w:val="none" w:sz="0" w:space="0" w:color="auto"/>
        <w:bottom w:val="none" w:sz="0" w:space="0" w:color="auto"/>
        <w:right w:val="none" w:sz="0" w:space="0" w:color="auto"/>
      </w:divBdr>
      <w:divsChild>
        <w:div w:id="1239098028">
          <w:marLeft w:val="0"/>
          <w:marRight w:val="0"/>
          <w:marTop w:val="0"/>
          <w:marBottom w:val="0"/>
          <w:divBdr>
            <w:top w:val="none" w:sz="0" w:space="0" w:color="auto"/>
            <w:left w:val="none" w:sz="0" w:space="0" w:color="auto"/>
            <w:bottom w:val="none" w:sz="0" w:space="0" w:color="auto"/>
            <w:right w:val="none" w:sz="0" w:space="0" w:color="auto"/>
          </w:divBdr>
        </w:div>
      </w:divsChild>
    </w:div>
    <w:div w:id="655108380">
      <w:marLeft w:val="0"/>
      <w:marRight w:val="0"/>
      <w:marTop w:val="0"/>
      <w:marBottom w:val="0"/>
      <w:divBdr>
        <w:top w:val="none" w:sz="0" w:space="0" w:color="auto"/>
        <w:left w:val="none" w:sz="0" w:space="0" w:color="auto"/>
        <w:bottom w:val="none" w:sz="0" w:space="0" w:color="auto"/>
        <w:right w:val="none" w:sz="0" w:space="0" w:color="auto"/>
      </w:divBdr>
    </w:div>
    <w:div w:id="724721644">
      <w:marLeft w:val="0"/>
      <w:marRight w:val="0"/>
      <w:marTop w:val="0"/>
      <w:marBottom w:val="0"/>
      <w:divBdr>
        <w:top w:val="none" w:sz="0" w:space="0" w:color="auto"/>
        <w:left w:val="none" w:sz="0" w:space="0" w:color="auto"/>
        <w:bottom w:val="none" w:sz="0" w:space="0" w:color="auto"/>
        <w:right w:val="none" w:sz="0" w:space="0" w:color="auto"/>
      </w:divBdr>
    </w:div>
    <w:div w:id="797141641">
      <w:marLeft w:val="0"/>
      <w:marRight w:val="0"/>
      <w:marTop w:val="0"/>
      <w:marBottom w:val="0"/>
      <w:divBdr>
        <w:top w:val="none" w:sz="0" w:space="0" w:color="auto"/>
        <w:left w:val="none" w:sz="0" w:space="0" w:color="auto"/>
        <w:bottom w:val="none" w:sz="0" w:space="0" w:color="auto"/>
        <w:right w:val="none" w:sz="0" w:space="0" w:color="auto"/>
      </w:divBdr>
    </w:div>
    <w:div w:id="972832140">
      <w:marLeft w:val="0"/>
      <w:marRight w:val="0"/>
      <w:marTop w:val="0"/>
      <w:marBottom w:val="0"/>
      <w:divBdr>
        <w:top w:val="none" w:sz="0" w:space="0" w:color="auto"/>
        <w:left w:val="none" w:sz="0" w:space="0" w:color="auto"/>
        <w:bottom w:val="none" w:sz="0" w:space="0" w:color="auto"/>
        <w:right w:val="none" w:sz="0" w:space="0" w:color="auto"/>
      </w:divBdr>
      <w:divsChild>
        <w:div w:id="625232109">
          <w:marLeft w:val="0"/>
          <w:marRight w:val="0"/>
          <w:marTop w:val="0"/>
          <w:marBottom w:val="0"/>
          <w:divBdr>
            <w:top w:val="none" w:sz="0" w:space="0" w:color="auto"/>
            <w:left w:val="none" w:sz="0" w:space="0" w:color="auto"/>
            <w:bottom w:val="none" w:sz="0" w:space="0" w:color="auto"/>
            <w:right w:val="none" w:sz="0" w:space="0" w:color="auto"/>
          </w:divBdr>
        </w:div>
      </w:divsChild>
    </w:div>
    <w:div w:id="985889267">
      <w:marLeft w:val="0"/>
      <w:marRight w:val="0"/>
      <w:marTop w:val="0"/>
      <w:marBottom w:val="0"/>
      <w:divBdr>
        <w:top w:val="none" w:sz="0" w:space="0" w:color="auto"/>
        <w:left w:val="none" w:sz="0" w:space="0" w:color="auto"/>
        <w:bottom w:val="none" w:sz="0" w:space="0" w:color="auto"/>
        <w:right w:val="none" w:sz="0" w:space="0" w:color="auto"/>
      </w:divBdr>
    </w:div>
    <w:div w:id="1172835302">
      <w:marLeft w:val="0"/>
      <w:marRight w:val="0"/>
      <w:marTop w:val="0"/>
      <w:marBottom w:val="0"/>
      <w:divBdr>
        <w:top w:val="none" w:sz="0" w:space="0" w:color="auto"/>
        <w:left w:val="none" w:sz="0" w:space="0" w:color="auto"/>
        <w:bottom w:val="none" w:sz="0" w:space="0" w:color="auto"/>
        <w:right w:val="none" w:sz="0" w:space="0" w:color="auto"/>
      </w:divBdr>
      <w:divsChild>
        <w:div w:id="57293550">
          <w:marLeft w:val="0"/>
          <w:marRight w:val="0"/>
          <w:marTop w:val="0"/>
          <w:marBottom w:val="0"/>
          <w:divBdr>
            <w:top w:val="none" w:sz="0" w:space="0" w:color="auto"/>
            <w:left w:val="none" w:sz="0" w:space="0" w:color="auto"/>
            <w:bottom w:val="none" w:sz="0" w:space="0" w:color="auto"/>
            <w:right w:val="none" w:sz="0" w:space="0" w:color="auto"/>
          </w:divBdr>
        </w:div>
      </w:divsChild>
    </w:div>
    <w:div w:id="1304501394">
      <w:marLeft w:val="0"/>
      <w:marRight w:val="0"/>
      <w:marTop w:val="0"/>
      <w:marBottom w:val="0"/>
      <w:divBdr>
        <w:top w:val="none" w:sz="0" w:space="0" w:color="auto"/>
        <w:left w:val="none" w:sz="0" w:space="0" w:color="auto"/>
        <w:bottom w:val="none" w:sz="0" w:space="0" w:color="auto"/>
        <w:right w:val="none" w:sz="0" w:space="0" w:color="auto"/>
      </w:divBdr>
    </w:div>
    <w:div w:id="1308321672">
      <w:marLeft w:val="0"/>
      <w:marRight w:val="0"/>
      <w:marTop w:val="0"/>
      <w:marBottom w:val="0"/>
      <w:divBdr>
        <w:top w:val="none" w:sz="0" w:space="0" w:color="auto"/>
        <w:left w:val="none" w:sz="0" w:space="0" w:color="auto"/>
        <w:bottom w:val="none" w:sz="0" w:space="0" w:color="auto"/>
        <w:right w:val="none" w:sz="0" w:space="0" w:color="auto"/>
      </w:divBdr>
    </w:div>
    <w:div w:id="1370645483">
      <w:marLeft w:val="0"/>
      <w:marRight w:val="0"/>
      <w:marTop w:val="0"/>
      <w:marBottom w:val="0"/>
      <w:divBdr>
        <w:top w:val="none" w:sz="0" w:space="0" w:color="auto"/>
        <w:left w:val="none" w:sz="0" w:space="0" w:color="auto"/>
        <w:bottom w:val="none" w:sz="0" w:space="0" w:color="auto"/>
        <w:right w:val="none" w:sz="0" w:space="0" w:color="auto"/>
      </w:divBdr>
    </w:div>
    <w:div w:id="1374689398">
      <w:marLeft w:val="0"/>
      <w:marRight w:val="0"/>
      <w:marTop w:val="0"/>
      <w:marBottom w:val="0"/>
      <w:divBdr>
        <w:top w:val="none" w:sz="0" w:space="0" w:color="auto"/>
        <w:left w:val="none" w:sz="0" w:space="0" w:color="auto"/>
        <w:bottom w:val="none" w:sz="0" w:space="0" w:color="auto"/>
        <w:right w:val="none" w:sz="0" w:space="0" w:color="auto"/>
      </w:divBdr>
    </w:div>
    <w:div w:id="1416174079">
      <w:marLeft w:val="0"/>
      <w:marRight w:val="0"/>
      <w:marTop w:val="0"/>
      <w:marBottom w:val="0"/>
      <w:divBdr>
        <w:top w:val="none" w:sz="0" w:space="0" w:color="auto"/>
        <w:left w:val="none" w:sz="0" w:space="0" w:color="auto"/>
        <w:bottom w:val="none" w:sz="0" w:space="0" w:color="auto"/>
        <w:right w:val="none" w:sz="0" w:space="0" w:color="auto"/>
      </w:divBdr>
    </w:div>
    <w:div w:id="1440874537">
      <w:marLeft w:val="0"/>
      <w:marRight w:val="0"/>
      <w:marTop w:val="0"/>
      <w:marBottom w:val="0"/>
      <w:divBdr>
        <w:top w:val="none" w:sz="0" w:space="0" w:color="auto"/>
        <w:left w:val="none" w:sz="0" w:space="0" w:color="auto"/>
        <w:bottom w:val="none" w:sz="0" w:space="0" w:color="auto"/>
        <w:right w:val="none" w:sz="0" w:space="0" w:color="auto"/>
      </w:divBdr>
      <w:divsChild>
        <w:div w:id="482553441">
          <w:marLeft w:val="0"/>
          <w:marRight w:val="0"/>
          <w:marTop w:val="0"/>
          <w:marBottom w:val="0"/>
          <w:divBdr>
            <w:top w:val="none" w:sz="0" w:space="0" w:color="auto"/>
            <w:left w:val="none" w:sz="0" w:space="0" w:color="auto"/>
            <w:bottom w:val="none" w:sz="0" w:space="0" w:color="auto"/>
            <w:right w:val="none" w:sz="0" w:space="0" w:color="auto"/>
          </w:divBdr>
        </w:div>
      </w:divsChild>
    </w:div>
    <w:div w:id="1626307062">
      <w:marLeft w:val="0"/>
      <w:marRight w:val="0"/>
      <w:marTop w:val="0"/>
      <w:marBottom w:val="0"/>
      <w:divBdr>
        <w:top w:val="none" w:sz="0" w:space="0" w:color="auto"/>
        <w:left w:val="none" w:sz="0" w:space="0" w:color="auto"/>
        <w:bottom w:val="none" w:sz="0" w:space="0" w:color="auto"/>
        <w:right w:val="none" w:sz="0" w:space="0" w:color="auto"/>
      </w:divBdr>
    </w:div>
    <w:div w:id="1814564031">
      <w:marLeft w:val="0"/>
      <w:marRight w:val="0"/>
      <w:marTop w:val="0"/>
      <w:marBottom w:val="0"/>
      <w:divBdr>
        <w:top w:val="none" w:sz="0" w:space="0" w:color="auto"/>
        <w:left w:val="none" w:sz="0" w:space="0" w:color="auto"/>
        <w:bottom w:val="none" w:sz="0" w:space="0" w:color="auto"/>
        <w:right w:val="none" w:sz="0" w:space="0" w:color="auto"/>
      </w:divBdr>
      <w:divsChild>
        <w:div w:id="1429691818">
          <w:marLeft w:val="0"/>
          <w:marRight w:val="0"/>
          <w:marTop w:val="0"/>
          <w:marBottom w:val="0"/>
          <w:divBdr>
            <w:top w:val="none" w:sz="0" w:space="0" w:color="auto"/>
            <w:left w:val="none" w:sz="0" w:space="0" w:color="auto"/>
            <w:bottom w:val="none" w:sz="0" w:space="0" w:color="auto"/>
            <w:right w:val="none" w:sz="0" w:space="0" w:color="auto"/>
          </w:divBdr>
        </w:div>
      </w:divsChild>
    </w:div>
    <w:div w:id="1895121347">
      <w:marLeft w:val="0"/>
      <w:marRight w:val="0"/>
      <w:marTop w:val="0"/>
      <w:marBottom w:val="0"/>
      <w:divBdr>
        <w:top w:val="none" w:sz="0" w:space="0" w:color="auto"/>
        <w:left w:val="none" w:sz="0" w:space="0" w:color="auto"/>
        <w:bottom w:val="none" w:sz="0" w:space="0" w:color="auto"/>
        <w:right w:val="none" w:sz="0" w:space="0" w:color="auto"/>
      </w:divBdr>
    </w:div>
    <w:div w:id="1967661366">
      <w:marLeft w:val="0"/>
      <w:marRight w:val="0"/>
      <w:marTop w:val="0"/>
      <w:marBottom w:val="0"/>
      <w:divBdr>
        <w:top w:val="none" w:sz="0" w:space="0" w:color="auto"/>
        <w:left w:val="none" w:sz="0" w:space="0" w:color="auto"/>
        <w:bottom w:val="none" w:sz="0" w:space="0" w:color="auto"/>
        <w:right w:val="none" w:sz="0" w:space="0" w:color="auto"/>
      </w:divBdr>
    </w:div>
    <w:div w:id="20235809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DC94B-A849-4DC5-8424-3E1272E9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6588</Words>
  <Characters>2355</Characters>
  <Application>Microsoft Office Word</Application>
  <DocSecurity>0</DocSecurity>
  <Lines>19</Lines>
  <Paragraphs>17</Paragraphs>
  <ScaleCrop>false</ScaleCrop>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非货币FOF季报</dc:title>
  <dc:subject/>
  <dc:creator>yss</dc:creator>
  <cp:keywords/>
  <dc:description/>
  <cp:lastModifiedBy>Wenyu.Qiu@FA</cp:lastModifiedBy>
  <cp:revision>3</cp:revision>
  <dcterms:created xsi:type="dcterms:W3CDTF">2025-04-15T12:13:00Z</dcterms:created>
  <dcterms:modified xsi:type="dcterms:W3CDTF">2025-04-21T08:09:00Z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