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摩根尚睿混合型基金中基金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摩根尚睿混合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006042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37,517,479.25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通过优选基金，并结合严格的风险控制，实现基金资产的长期稳健增值。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在大类资产配置上，结合产品定位、风险收益特征以及管理人的长期资本市场观点确定基金的资产配置方案。</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综合运用定量分析和定性分析的方式，通过层层筛选，优选能持续创造超额收益的基金构建投资组合。</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首先，通过初步的定量指标筛选出历史业绩表现良好、规模适中、流动性较好的基金。在初步筛选的基础上，进一步通过尽职调查在基金管理公司层面进行考察，形成基金筛选基础池。</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其次，结合尽职调查结果以及公开数据，对基金经理进行深度访谈，筛选后将不同投资风格</w:t>
            </w:r>
            <w:r>
              <w:rPr>
                <w:rFonts w:eastAsiaTheme="minorEastAsia"/>
                <w:color w:val="000000" w:themeColor="text1"/>
                <w:kern w:val="0"/>
                <w:szCs w:val="21"/>
              </w:rPr>
              <w:t>/</w:t>
            </w:r>
            <w:r>
              <w:rPr>
                <w:rFonts w:eastAsiaTheme="minorEastAsia"/>
                <w:color w:val="000000" w:themeColor="text1"/>
                <w:kern w:val="0"/>
                <w:szCs w:val="21"/>
              </w:rPr>
              <w:t>策略的代表性基金列入未来基金构建投资组合的核心池。</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结合不同债券品种的到期收益率、流动性、市场规模等情况，并根据对债券收益率曲线形态、息差变化的预测，对债券组合进行动态调整。</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、中小企业私募债投资策略</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本基金对中小企业私募债的投资主要从自上而下判断景气周期和自下而上精选标的两个角度出发，结合信用分析和信用评估进行。</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、证券公司短期公司债投资策略</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主要从分析证券行业整体情况、证券公司基本面情况入手，分析证券公司短期公司债券的违约风险及合理的利差水平，对其进行独立、客观的价值评估。</w:t>
            </w:r>
          </w:p>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综合考虑市场利率、发行条款、支持资产的构成及质量等因素，对资产支持证券的风险与收益状况进行评估，确定资产合理配置比例。</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本基金的业绩比较基准为：中证偏股型基金指数收益率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53510" w:rsidRDefault="0013353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本基金属于混合型基金中基金，预期风险和收益水平低于股票型基金，高于债券型和货币市场基金，属于较高风险收益水平的基金产品。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006042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35,395,910.95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2,121,568.30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-412,383.13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-23,329.97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-1,699,201.88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-86,769.18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-0.0462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43,476,893.45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2,585,876.38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1.2189</w:t>
            </w:r>
          </w:p>
        </w:tc>
      </w:tr>
    </w:tbl>
    <w:p w:rsidR="00F53510" w:rsidRDefault="001335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53510">
        <w:tc>
          <w:tcPr>
            <w:tcW w:w="1290" w:type="dxa"/>
            <w:vAlign w:val="center"/>
          </w:tcPr>
          <w:p w:rsidR="00F53510" w:rsidRDefault="00133535">
            <w:pPr>
              <w:jc w:val="left"/>
            </w:pPr>
            <w:r>
              <w:rPr>
                <w:rFonts w:eastAsiaTheme="minorEastAsia"/>
                <w:color w:val="000000" w:themeColor="text1"/>
                <w:szCs w:val="21"/>
              </w:rPr>
              <w:t>过去三个月</w:t>
            </w:r>
          </w:p>
        </w:tc>
        <w:tc>
          <w:tcPr>
            <w:tcW w:w="1291" w:type="dxa"/>
            <w:vAlign w:val="center"/>
          </w:tcPr>
          <w:p w:rsidR="00F53510" w:rsidRDefault="00133535">
            <w:pPr>
              <w:jc w:val="right"/>
            </w:pPr>
            <w:r>
              <w:rPr>
                <w:rFonts w:eastAsiaTheme="minorEastAsia"/>
                <w:color w:val="000000" w:themeColor="text1"/>
                <w:szCs w:val="21"/>
              </w:rPr>
              <w:t>-3.66%</w:t>
            </w:r>
          </w:p>
        </w:tc>
        <w:tc>
          <w:tcPr>
            <w:tcW w:w="1291" w:type="dxa"/>
            <w:vAlign w:val="center"/>
          </w:tcPr>
          <w:p w:rsidR="00F53510" w:rsidRDefault="00133535">
            <w:pPr>
              <w:jc w:val="right"/>
            </w:pPr>
            <w:r>
              <w:rPr>
                <w:rFonts w:eastAsiaTheme="minorEastAsia"/>
                <w:color w:val="000000" w:themeColor="text1"/>
                <w:szCs w:val="21"/>
              </w:rPr>
              <w:t>0.76%</w:t>
            </w:r>
          </w:p>
        </w:tc>
        <w:tc>
          <w:tcPr>
            <w:tcW w:w="1291" w:type="dxa"/>
            <w:vAlign w:val="center"/>
          </w:tcPr>
          <w:p w:rsidR="00F53510" w:rsidRDefault="00133535">
            <w:pPr>
              <w:jc w:val="right"/>
            </w:pPr>
            <w:r>
              <w:rPr>
                <w:rFonts w:eastAsiaTheme="minorEastAsia"/>
                <w:color w:val="000000" w:themeColor="text1"/>
                <w:szCs w:val="21"/>
              </w:rPr>
              <w:t>-4.41%</w:t>
            </w:r>
          </w:p>
        </w:tc>
        <w:tc>
          <w:tcPr>
            <w:tcW w:w="1291" w:type="dxa"/>
            <w:vAlign w:val="center"/>
          </w:tcPr>
          <w:p w:rsidR="00F53510" w:rsidRDefault="00133535">
            <w:pPr>
              <w:jc w:val="right"/>
            </w:pPr>
            <w:r>
              <w:rPr>
                <w:rFonts w:eastAsiaTheme="minorEastAsia"/>
                <w:color w:val="000000" w:themeColor="text1"/>
                <w:szCs w:val="21"/>
              </w:rPr>
              <w:t>0.61%</w:t>
            </w:r>
          </w:p>
        </w:tc>
        <w:tc>
          <w:tcPr>
            <w:tcW w:w="1291" w:type="dxa"/>
            <w:vAlign w:val="center"/>
          </w:tcPr>
          <w:p w:rsidR="00F53510" w:rsidRDefault="00133535">
            <w:pPr>
              <w:jc w:val="right"/>
            </w:pPr>
            <w:r>
              <w:rPr>
                <w:rFonts w:eastAsiaTheme="minorEastAsia"/>
                <w:color w:val="000000" w:themeColor="text1"/>
                <w:szCs w:val="21"/>
              </w:rPr>
              <w:t>0.75%</w:t>
            </w:r>
          </w:p>
        </w:tc>
        <w:tc>
          <w:tcPr>
            <w:tcW w:w="1291" w:type="dxa"/>
            <w:vAlign w:val="center"/>
          </w:tcPr>
          <w:p w:rsidR="00F53510" w:rsidRDefault="00133535">
            <w:pPr>
              <w:jc w:val="right"/>
            </w:pPr>
            <w:r>
              <w:rPr>
                <w:rFonts w:eastAsiaTheme="minorEastAsia"/>
                <w:color w:val="000000" w:themeColor="text1"/>
                <w:szCs w:val="21"/>
              </w:rPr>
              <w:t>0.15%</w:t>
            </w:r>
          </w:p>
        </w:tc>
      </w:tr>
      <w:tr w:rsidR="00F53510">
        <w:tc>
          <w:tcPr>
            <w:tcW w:w="1290" w:type="dxa"/>
            <w:vAlign w:val="center"/>
          </w:tcPr>
          <w:p w:rsidR="00F53510" w:rsidRDefault="00133535">
            <w:pPr>
              <w:jc w:val="left"/>
            </w:pPr>
            <w:r>
              <w:rPr>
                <w:rFonts w:eastAsiaTheme="minorEastAsia"/>
                <w:color w:val="000000" w:themeColor="text1"/>
                <w:szCs w:val="21"/>
              </w:rPr>
              <w:t>过去六个月</w:t>
            </w:r>
          </w:p>
        </w:tc>
        <w:tc>
          <w:tcPr>
            <w:tcW w:w="1291" w:type="dxa"/>
            <w:vAlign w:val="center"/>
          </w:tcPr>
          <w:p w:rsidR="00F53510" w:rsidRDefault="00133535">
            <w:pPr>
              <w:jc w:val="right"/>
            </w:pPr>
            <w:r>
              <w:rPr>
                <w:rFonts w:eastAsiaTheme="minorEastAsia"/>
                <w:color w:val="000000" w:themeColor="text1"/>
                <w:szCs w:val="21"/>
              </w:rPr>
              <w:t>0.52%</w:t>
            </w:r>
          </w:p>
        </w:tc>
        <w:tc>
          <w:tcPr>
            <w:tcW w:w="1291" w:type="dxa"/>
            <w:vAlign w:val="center"/>
          </w:tcPr>
          <w:p w:rsidR="00F53510" w:rsidRDefault="00133535">
            <w:pPr>
              <w:jc w:val="right"/>
            </w:pPr>
            <w:r>
              <w:rPr>
                <w:rFonts w:eastAsiaTheme="minorEastAsia"/>
                <w:color w:val="000000" w:themeColor="text1"/>
                <w:szCs w:val="21"/>
              </w:rPr>
              <w:t>0.73%</w:t>
            </w:r>
          </w:p>
        </w:tc>
        <w:tc>
          <w:tcPr>
            <w:tcW w:w="1291" w:type="dxa"/>
            <w:vAlign w:val="center"/>
          </w:tcPr>
          <w:p w:rsidR="00F53510" w:rsidRDefault="00133535">
            <w:pPr>
              <w:jc w:val="right"/>
            </w:pPr>
            <w:r>
              <w:rPr>
                <w:rFonts w:eastAsiaTheme="minorEastAsia"/>
                <w:color w:val="000000" w:themeColor="text1"/>
                <w:szCs w:val="21"/>
              </w:rPr>
              <w:t>-3.31%</w:t>
            </w:r>
          </w:p>
        </w:tc>
        <w:tc>
          <w:tcPr>
            <w:tcW w:w="1291" w:type="dxa"/>
            <w:vAlign w:val="center"/>
          </w:tcPr>
          <w:p w:rsidR="00F53510" w:rsidRDefault="00133535">
            <w:pPr>
              <w:jc w:val="right"/>
            </w:pPr>
            <w:r>
              <w:rPr>
                <w:rFonts w:eastAsiaTheme="minorEastAsia"/>
                <w:color w:val="000000" w:themeColor="text1"/>
                <w:szCs w:val="21"/>
              </w:rPr>
              <w:t>0.58%</w:t>
            </w:r>
          </w:p>
        </w:tc>
        <w:tc>
          <w:tcPr>
            <w:tcW w:w="1291" w:type="dxa"/>
            <w:vAlign w:val="center"/>
          </w:tcPr>
          <w:p w:rsidR="00F53510" w:rsidRDefault="00133535">
            <w:pPr>
              <w:jc w:val="right"/>
            </w:pPr>
            <w:r>
              <w:rPr>
                <w:rFonts w:eastAsiaTheme="minorEastAsia"/>
                <w:color w:val="000000" w:themeColor="text1"/>
                <w:szCs w:val="21"/>
              </w:rPr>
              <w:t>3.83%</w:t>
            </w:r>
          </w:p>
        </w:tc>
        <w:tc>
          <w:tcPr>
            <w:tcW w:w="1291" w:type="dxa"/>
            <w:vAlign w:val="center"/>
          </w:tcPr>
          <w:p w:rsidR="00F53510" w:rsidRDefault="00133535">
            <w:pPr>
              <w:jc w:val="right"/>
            </w:pPr>
            <w:r>
              <w:rPr>
                <w:rFonts w:eastAsiaTheme="minorEastAsia"/>
                <w:color w:val="000000" w:themeColor="text1"/>
                <w:szCs w:val="21"/>
              </w:rPr>
              <w:t>0.15%</w:t>
            </w:r>
          </w:p>
        </w:tc>
      </w:tr>
      <w:tr w:rsidR="00F53510">
        <w:tc>
          <w:tcPr>
            <w:tcW w:w="1290" w:type="dxa"/>
            <w:vAlign w:val="center"/>
          </w:tcPr>
          <w:p w:rsidR="00F53510" w:rsidRDefault="00133535">
            <w:pPr>
              <w:jc w:val="left"/>
            </w:pPr>
            <w:r>
              <w:rPr>
                <w:rFonts w:eastAsiaTheme="minorEastAsia"/>
                <w:color w:val="000000" w:themeColor="text1"/>
                <w:szCs w:val="21"/>
              </w:rPr>
              <w:t>过去一年</w:t>
            </w:r>
          </w:p>
        </w:tc>
        <w:tc>
          <w:tcPr>
            <w:tcW w:w="1291" w:type="dxa"/>
            <w:vAlign w:val="center"/>
          </w:tcPr>
          <w:p w:rsidR="00F53510" w:rsidRDefault="00133535">
            <w:pPr>
              <w:jc w:val="right"/>
            </w:pPr>
            <w:r>
              <w:rPr>
                <w:rFonts w:eastAsiaTheme="minorEastAsia"/>
                <w:color w:val="000000" w:themeColor="text1"/>
                <w:szCs w:val="21"/>
              </w:rPr>
              <w:t>-8.87%</w:t>
            </w:r>
          </w:p>
        </w:tc>
        <w:tc>
          <w:tcPr>
            <w:tcW w:w="1291" w:type="dxa"/>
            <w:vAlign w:val="center"/>
          </w:tcPr>
          <w:p w:rsidR="00F53510" w:rsidRDefault="00133535">
            <w:pPr>
              <w:jc w:val="right"/>
            </w:pPr>
            <w:r>
              <w:rPr>
                <w:rFonts w:eastAsiaTheme="minorEastAsia"/>
                <w:color w:val="000000" w:themeColor="text1"/>
                <w:szCs w:val="21"/>
              </w:rPr>
              <w:t>0.79%</w:t>
            </w:r>
          </w:p>
        </w:tc>
        <w:tc>
          <w:tcPr>
            <w:tcW w:w="1291" w:type="dxa"/>
            <w:vAlign w:val="center"/>
          </w:tcPr>
          <w:p w:rsidR="00F53510" w:rsidRDefault="00133535">
            <w:pPr>
              <w:jc w:val="right"/>
            </w:pPr>
            <w:r>
              <w:rPr>
                <w:rFonts w:eastAsiaTheme="minorEastAsia"/>
                <w:color w:val="000000" w:themeColor="text1"/>
                <w:szCs w:val="21"/>
              </w:rPr>
              <w:t>-10.27%</w:t>
            </w:r>
          </w:p>
        </w:tc>
        <w:tc>
          <w:tcPr>
            <w:tcW w:w="1291" w:type="dxa"/>
            <w:vAlign w:val="center"/>
          </w:tcPr>
          <w:p w:rsidR="00F53510" w:rsidRDefault="00133535">
            <w:pPr>
              <w:jc w:val="right"/>
            </w:pPr>
            <w:r>
              <w:rPr>
                <w:rFonts w:eastAsiaTheme="minorEastAsia"/>
                <w:color w:val="000000" w:themeColor="text1"/>
                <w:szCs w:val="21"/>
              </w:rPr>
              <w:t>0.61%</w:t>
            </w:r>
          </w:p>
        </w:tc>
        <w:tc>
          <w:tcPr>
            <w:tcW w:w="1291" w:type="dxa"/>
            <w:vAlign w:val="center"/>
          </w:tcPr>
          <w:p w:rsidR="00F53510" w:rsidRDefault="00133535">
            <w:pPr>
              <w:jc w:val="right"/>
            </w:pPr>
            <w:r>
              <w:rPr>
                <w:rFonts w:eastAsiaTheme="minorEastAsia"/>
                <w:color w:val="000000" w:themeColor="text1"/>
                <w:szCs w:val="21"/>
              </w:rPr>
              <w:t>1.40%</w:t>
            </w:r>
          </w:p>
        </w:tc>
        <w:tc>
          <w:tcPr>
            <w:tcW w:w="1291" w:type="dxa"/>
            <w:vAlign w:val="center"/>
          </w:tcPr>
          <w:p w:rsidR="00F53510" w:rsidRDefault="00133535">
            <w:pPr>
              <w:jc w:val="right"/>
            </w:pPr>
            <w:r>
              <w:rPr>
                <w:rFonts w:eastAsiaTheme="minorEastAsia"/>
                <w:color w:val="000000" w:themeColor="text1"/>
                <w:szCs w:val="21"/>
              </w:rPr>
              <w:t>0.18%</w:t>
            </w:r>
          </w:p>
        </w:tc>
      </w:tr>
      <w:tr w:rsidR="00F53510">
        <w:tc>
          <w:tcPr>
            <w:tcW w:w="1290" w:type="dxa"/>
            <w:vAlign w:val="center"/>
          </w:tcPr>
          <w:p w:rsidR="00F53510" w:rsidRDefault="00133535">
            <w:pPr>
              <w:jc w:val="left"/>
            </w:pPr>
            <w:r>
              <w:rPr>
                <w:rFonts w:eastAsiaTheme="minorEastAsia"/>
                <w:color w:val="000000" w:themeColor="text1"/>
                <w:szCs w:val="21"/>
              </w:rPr>
              <w:t>过去三年</w:t>
            </w:r>
          </w:p>
        </w:tc>
        <w:tc>
          <w:tcPr>
            <w:tcW w:w="1291" w:type="dxa"/>
            <w:vAlign w:val="center"/>
          </w:tcPr>
          <w:p w:rsidR="00F53510" w:rsidRDefault="00133535">
            <w:pPr>
              <w:jc w:val="right"/>
            </w:pPr>
            <w:r>
              <w:rPr>
                <w:rFonts w:eastAsiaTheme="minorEastAsia"/>
                <w:color w:val="000000" w:themeColor="text1"/>
                <w:szCs w:val="21"/>
              </w:rPr>
              <w:t>-3.00%</w:t>
            </w:r>
          </w:p>
        </w:tc>
        <w:tc>
          <w:tcPr>
            <w:tcW w:w="1291" w:type="dxa"/>
            <w:vAlign w:val="center"/>
          </w:tcPr>
          <w:p w:rsidR="00F53510" w:rsidRDefault="00133535">
            <w:pPr>
              <w:jc w:val="right"/>
            </w:pPr>
            <w:r>
              <w:rPr>
                <w:rFonts w:eastAsiaTheme="minorEastAsia"/>
                <w:color w:val="000000" w:themeColor="text1"/>
                <w:szCs w:val="21"/>
              </w:rPr>
              <w:t>0.85%</w:t>
            </w:r>
          </w:p>
        </w:tc>
        <w:tc>
          <w:tcPr>
            <w:tcW w:w="1291" w:type="dxa"/>
            <w:vAlign w:val="center"/>
          </w:tcPr>
          <w:p w:rsidR="00F53510" w:rsidRDefault="00133535">
            <w:pPr>
              <w:jc w:val="right"/>
            </w:pPr>
            <w:r>
              <w:rPr>
                <w:rFonts w:eastAsiaTheme="minorEastAsia"/>
                <w:color w:val="000000" w:themeColor="text1"/>
                <w:szCs w:val="21"/>
              </w:rPr>
              <w:t>-3.09%</w:t>
            </w:r>
          </w:p>
        </w:tc>
        <w:tc>
          <w:tcPr>
            <w:tcW w:w="1291" w:type="dxa"/>
            <w:vAlign w:val="center"/>
          </w:tcPr>
          <w:p w:rsidR="00F53510" w:rsidRDefault="00133535">
            <w:pPr>
              <w:jc w:val="right"/>
            </w:pPr>
            <w:r>
              <w:rPr>
                <w:rFonts w:eastAsiaTheme="minorEastAsia"/>
                <w:color w:val="000000" w:themeColor="text1"/>
                <w:szCs w:val="21"/>
              </w:rPr>
              <w:t>0.70%</w:t>
            </w:r>
          </w:p>
        </w:tc>
        <w:tc>
          <w:tcPr>
            <w:tcW w:w="1291" w:type="dxa"/>
            <w:vAlign w:val="center"/>
          </w:tcPr>
          <w:p w:rsidR="00F53510" w:rsidRDefault="00133535">
            <w:pPr>
              <w:jc w:val="right"/>
            </w:pPr>
            <w:r>
              <w:rPr>
                <w:rFonts w:eastAsiaTheme="minorEastAsia"/>
                <w:color w:val="000000" w:themeColor="text1"/>
                <w:szCs w:val="21"/>
              </w:rPr>
              <w:t>0.09%</w:t>
            </w:r>
          </w:p>
        </w:tc>
        <w:tc>
          <w:tcPr>
            <w:tcW w:w="1291" w:type="dxa"/>
            <w:vAlign w:val="center"/>
          </w:tcPr>
          <w:p w:rsidR="00F53510" w:rsidRDefault="00133535">
            <w:pPr>
              <w:jc w:val="right"/>
            </w:pPr>
            <w:r>
              <w:rPr>
                <w:rFonts w:eastAsiaTheme="minorEastAsia"/>
                <w:color w:val="000000" w:themeColor="text1"/>
                <w:szCs w:val="21"/>
              </w:rPr>
              <w:t>0.15%</w:t>
            </w:r>
          </w:p>
        </w:tc>
      </w:tr>
      <w:tr w:rsidR="00F53510">
        <w:tc>
          <w:tcPr>
            <w:tcW w:w="1290" w:type="dxa"/>
            <w:vAlign w:val="center"/>
          </w:tcPr>
          <w:p w:rsidR="00F53510" w:rsidRDefault="00133535">
            <w:pPr>
              <w:jc w:val="left"/>
            </w:pPr>
            <w:r>
              <w:rPr>
                <w:rFonts w:eastAsiaTheme="minorEastAsia"/>
                <w:color w:val="000000" w:themeColor="text1"/>
                <w:szCs w:val="21"/>
              </w:rPr>
              <w:t>过去五年</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r>
      <w:tr w:rsidR="00F53510">
        <w:tc>
          <w:tcPr>
            <w:tcW w:w="1290" w:type="dxa"/>
            <w:vAlign w:val="center"/>
          </w:tcPr>
          <w:p w:rsidR="00F53510" w:rsidRDefault="00133535">
            <w:pPr>
              <w:jc w:val="left"/>
            </w:pPr>
            <w:r>
              <w:rPr>
                <w:rFonts w:eastAsiaTheme="minorEastAsia"/>
                <w:color w:val="000000" w:themeColor="text1"/>
                <w:szCs w:val="21"/>
              </w:rPr>
              <w:t>自基金合同生效起至今</w:t>
            </w:r>
          </w:p>
        </w:tc>
        <w:tc>
          <w:tcPr>
            <w:tcW w:w="1291" w:type="dxa"/>
            <w:vAlign w:val="center"/>
          </w:tcPr>
          <w:p w:rsidR="00F53510" w:rsidRDefault="00133535">
            <w:pPr>
              <w:jc w:val="right"/>
            </w:pPr>
            <w:r>
              <w:rPr>
                <w:rFonts w:eastAsiaTheme="minorEastAsia"/>
                <w:color w:val="000000" w:themeColor="text1"/>
                <w:szCs w:val="21"/>
              </w:rPr>
              <w:t>22.83%</w:t>
            </w:r>
          </w:p>
        </w:tc>
        <w:tc>
          <w:tcPr>
            <w:tcW w:w="1291" w:type="dxa"/>
            <w:vAlign w:val="center"/>
          </w:tcPr>
          <w:p w:rsidR="00F53510" w:rsidRDefault="00133535">
            <w:pPr>
              <w:jc w:val="right"/>
            </w:pPr>
            <w:r>
              <w:rPr>
                <w:rFonts w:eastAsiaTheme="minorEastAsia"/>
                <w:color w:val="000000" w:themeColor="text1"/>
                <w:szCs w:val="21"/>
              </w:rPr>
              <w:t>0.80%</w:t>
            </w:r>
          </w:p>
        </w:tc>
        <w:tc>
          <w:tcPr>
            <w:tcW w:w="1291" w:type="dxa"/>
            <w:vAlign w:val="center"/>
          </w:tcPr>
          <w:p w:rsidR="00F53510" w:rsidRDefault="00133535">
            <w:pPr>
              <w:jc w:val="right"/>
            </w:pPr>
            <w:r>
              <w:rPr>
                <w:rFonts w:eastAsiaTheme="minorEastAsia"/>
                <w:color w:val="000000" w:themeColor="text1"/>
                <w:szCs w:val="21"/>
              </w:rPr>
              <w:t>13.25%</w:t>
            </w:r>
          </w:p>
        </w:tc>
        <w:tc>
          <w:tcPr>
            <w:tcW w:w="1291" w:type="dxa"/>
            <w:vAlign w:val="center"/>
          </w:tcPr>
          <w:p w:rsidR="00F53510" w:rsidRDefault="00133535">
            <w:pPr>
              <w:jc w:val="right"/>
            </w:pPr>
            <w:r>
              <w:rPr>
                <w:rFonts w:eastAsiaTheme="minorEastAsia"/>
                <w:color w:val="000000" w:themeColor="text1"/>
                <w:szCs w:val="21"/>
              </w:rPr>
              <w:t>0.76%</w:t>
            </w:r>
          </w:p>
        </w:tc>
        <w:tc>
          <w:tcPr>
            <w:tcW w:w="1291" w:type="dxa"/>
            <w:vAlign w:val="center"/>
          </w:tcPr>
          <w:p w:rsidR="00F53510" w:rsidRDefault="00133535">
            <w:pPr>
              <w:jc w:val="right"/>
            </w:pPr>
            <w:r>
              <w:rPr>
                <w:rFonts w:eastAsiaTheme="minorEastAsia"/>
                <w:color w:val="000000" w:themeColor="text1"/>
                <w:szCs w:val="21"/>
              </w:rPr>
              <w:t>9.58%</w:t>
            </w:r>
          </w:p>
        </w:tc>
        <w:tc>
          <w:tcPr>
            <w:tcW w:w="1291" w:type="dxa"/>
            <w:vAlign w:val="center"/>
          </w:tcPr>
          <w:p w:rsidR="00F53510" w:rsidRDefault="00133535">
            <w:pPr>
              <w:jc w:val="right"/>
            </w:pPr>
            <w:r>
              <w:rPr>
                <w:rFonts w:eastAsiaTheme="minorEastAsia"/>
                <w:color w:val="000000" w:themeColor="text1"/>
                <w:szCs w:val="21"/>
              </w:rPr>
              <w:t>0.04%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摩根尚睿混合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53510">
        <w:tc>
          <w:tcPr>
            <w:tcW w:w="1290" w:type="dxa"/>
            <w:vAlign w:val="center"/>
          </w:tcPr>
          <w:p w:rsidR="00F53510" w:rsidRDefault="00133535">
            <w:pPr>
              <w:jc w:val="left"/>
            </w:pPr>
            <w:r>
              <w:rPr>
                <w:rFonts w:eastAsiaTheme="minorEastAsia"/>
                <w:color w:val="000000" w:themeColor="text1"/>
                <w:szCs w:val="21"/>
              </w:rPr>
              <w:t>过去三个月</w:t>
            </w:r>
          </w:p>
        </w:tc>
        <w:tc>
          <w:tcPr>
            <w:tcW w:w="1291" w:type="dxa"/>
            <w:vAlign w:val="center"/>
          </w:tcPr>
          <w:p w:rsidR="00F53510" w:rsidRDefault="00133535">
            <w:pPr>
              <w:jc w:val="right"/>
            </w:pPr>
            <w:r>
              <w:rPr>
                <w:rFonts w:eastAsiaTheme="minorEastAsia"/>
                <w:color w:val="000000" w:themeColor="text1"/>
                <w:szCs w:val="21"/>
              </w:rPr>
              <w:t>-3.80%</w:t>
            </w:r>
          </w:p>
        </w:tc>
        <w:tc>
          <w:tcPr>
            <w:tcW w:w="1291" w:type="dxa"/>
            <w:vAlign w:val="center"/>
          </w:tcPr>
          <w:p w:rsidR="00F53510" w:rsidRDefault="00133535">
            <w:pPr>
              <w:jc w:val="right"/>
            </w:pPr>
            <w:r>
              <w:rPr>
                <w:rFonts w:eastAsiaTheme="minorEastAsia"/>
                <w:color w:val="000000" w:themeColor="text1"/>
                <w:szCs w:val="21"/>
              </w:rPr>
              <w:t>0.76%</w:t>
            </w:r>
          </w:p>
        </w:tc>
        <w:tc>
          <w:tcPr>
            <w:tcW w:w="1291" w:type="dxa"/>
            <w:vAlign w:val="center"/>
          </w:tcPr>
          <w:p w:rsidR="00F53510" w:rsidRDefault="00133535">
            <w:pPr>
              <w:jc w:val="right"/>
            </w:pPr>
            <w:r>
              <w:rPr>
                <w:rFonts w:eastAsiaTheme="minorEastAsia"/>
                <w:color w:val="000000" w:themeColor="text1"/>
                <w:szCs w:val="21"/>
              </w:rPr>
              <w:t>-4.41%</w:t>
            </w:r>
          </w:p>
        </w:tc>
        <w:tc>
          <w:tcPr>
            <w:tcW w:w="1291" w:type="dxa"/>
            <w:vAlign w:val="center"/>
          </w:tcPr>
          <w:p w:rsidR="00F53510" w:rsidRDefault="00133535">
            <w:pPr>
              <w:jc w:val="right"/>
            </w:pPr>
            <w:r>
              <w:rPr>
                <w:rFonts w:eastAsiaTheme="minorEastAsia"/>
                <w:color w:val="000000" w:themeColor="text1"/>
                <w:szCs w:val="21"/>
              </w:rPr>
              <w:t>0.61%</w:t>
            </w:r>
          </w:p>
        </w:tc>
        <w:tc>
          <w:tcPr>
            <w:tcW w:w="1291" w:type="dxa"/>
            <w:vAlign w:val="center"/>
          </w:tcPr>
          <w:p w:rsidR="00F53510" w:rsidRDefault="00133535">
            <w:pPr>
              <w:jc w:val="right"/>
            </w:pPr>
            <w:r>
              <w:rPr>
                <w:rFonts w:eastAsiaTheme="minorEastAsia"/>
                <w:color w:val="000000" w:themeColor="text1"/>
                <w:szCs w:val="21"/>
              </w:rPr>
              <w:t>0.61%</w:t>
            </w:r>
          </w:p>
        </w:tc>
        <w:tc>
          <w:tcPr>
            <w:tcW w:w="1291" w:type="dxa"/>
            <w:vAlign w:val="center"/>
          </w:tcPr>
          <w:p w:rsidR="00F53510" w:rsidRDefault="00133535">
            <w:pPr>
              <w:jc w:val="right"/>
            </w:pPr>
            <w:r>
              <w:rPr>
                <w:rFonts w:eastAsiaTheme="minorEastAsia"/>
                <w:color w:val="000000" w:themeColor="text1"/>
                <w:szCs w:val="21"/>
              </w:rPr>
              <w:t>0.15%</w:t>
            </w:r>
          </w:p>
        </w:tc>
      </w:tr>
      <w:tr w:rsidR="00F53510">
        <w:tc>
          <w:tcPr>
            <w:tcW w:w="1290" w:type="dxa"/>
            <w:vAlign w:val="center"/>
          </w:tcPr>
          <w:p w:rsidR="00F53510" w:rsidRDefault="00133535">
            <w:pPr>
              <w:jc w:val="left"/>
            </w:pPr>
            <w:r>
              <w:rPr>
                <w:rFonts w:eastAsiaTheme="minorEastAsia"/>
                <w:color w:val="000000" w:themeColor="text1"/>
                <w:szCs w:val="21"/>
              </w:rPr>
              <w:t>过去六个月</w:t>
            </w:r>
          </w:p>
        </w:tc>
        <w:tc>
          <w:tcPr>
            <w:tcW w:w="1291" w:type="dxa"/>
            <w:vAlign w:val="center"/>
          </w:tcPr>
          <w:p w:rsidR="00F53510" w:rsidRDefault="00133535">
            <w:pPr>
              <w:jc w:val="right"/>
            </w:pPr>
            <w:r>
              <w:rPr>
                <w:rFonts w:eastAsiaTheme="minorEastAsia"/>
                <w:color w:val="000000" w:themeColor="text1"/>
                <w:szCs w:val="21"/>
              </w:rPr>
              <w:t>0.22%</w:t>
            </w:r>
          </w:p>
        </w:tc>
        <w:tc>
          <w:tcPr>
            <w:tcW w:w="1291" w:type="dxa"/>
            <w:vAlign w:val="center"/>
          </w:tcPr>
          <w:p w:rsidR="00F53510" w:rsidRDefault="00133535">
            <w:pPr>
              <w:jc w:val="right"/>
            </w:pPr>
            <w:r>
              <w:rPr>
                <w:rFonts w:eastAsiaTheme="minorEastAsia"/>
                <w:color w:val="000000" w:themeColor="text1"/>
                <w:szCs w:val="21"/>
              </w:rPr>
              <w:t>0.73%</w:t>
            </w:r>
          </w:p>
        </w:tc>
        <w:tc>
          <w:tcPr>
            <w:tcW w:w="1291" w:type="dxa"/>
            <w:vAlign w:val="center"/>
          </w:tcPr>
          <w:p w:rsidR="00F53510" w:rsidRDefault="00133535">
            <w:pPr>
              <w:jc w:val="right"/>
            </w:pPr>
            <w:r>
              <w:rPr>
                <w:rFonts w:eastAsiaTheme="minorEastAsia"/>
                <w:color w:val="000000" w:themeColor="text1"/>
                <w:szCs w:val="21"/>
              </w:rPr>
              <w:t>-3.31%</w:t>
            </w:r>
          </w:p>
        </w:tc>
        <w:tc>
          <w:tcPr>
            <w:tcW w:w="1291" w:type="dxa"/>
            <w:vAlign w:val="center"/>
          </w:tcPr>
          <w:p w:rsidR="00F53510" w:rsidRDefault="00133535">
            <w:pPr>
              <w:jc w:val="right"/>
            </w:pPr>
            <w:r>
              <w:rPr>
                <w:rFonts w:eastAsiaTheme="minorEastAsia"/>
                <w:color w:val="000000" w:themeColor="text1"/>
                <w:szCs w:val="21"/>
              </w:rPr>
              <w:t>0.58%</w:t>
            </w:r>
          </w:p>
        </w:tc>
        <w:tc>
          <w:tcPr>
            <w:tcW w:w="1291" w:type="dxa"/>
            <w:vAlign w:val="center"/>
          </w:tcPr>
          <w:p w:rsidR="00F53510" w:rsidRDefault="00133535">
            <w:pPr>
              <w:jc w:val="right"/>
            </w:pPr>
            <w:r>
              <w:rPr>
                <w:rFonts w:eastAsiaTheme="minorEastAsia"/>
                <w:color w:val="000000" w:themeColor="text1"/>
                <w:szCs w:val="21"/>
              </w:rPr>
              <w:t>3.53%</w:t>
            </w:r>
          </w:p>
        </w:tc>
        <w:tc>
          <w:tcPr>
            <w:tcW w:w="1291" w:type="dxa"/>
            <w:vAlign w:val="center"/>
          </w:tcPr>
          <w:p w:rsidR="00F53510" w:rsidRDefault="00133535">
            <w:pPr>
              <w:jc w:val="right"/>
            </w:pPr>
            <w:r>
              <w:rPr>
                <w:rFonts w:eastAsiaTheme="minorEastAsia"/>
                <w:color w:val="000000" w:themeColor="text1"/>
                <w:szCs w:val="21"/>
              </w:rPr>
              <w:t>0.15%</w:t>
            </w:r>
          </w:p>
        </w:tc>
      </w:tr>
      <w:tr w:rsidR="00F53510">
        <w:tc>
          <w:tcPr>
            <w:tcW w:w="1290" w:type="dxa"/>
            <w:vAlign w:val="center"/>
          </w:tcPr>
          <w:p w:rsidR="00F53510" w:rsidRDefault="00133535">
            <w:pPr>
              <w:jc w:val="left"/>
            </w:pPr>
            <w:r>
              <w:rPr>
                <w:rFonts w:eastAsiaTheme="minorEastAsia"/>
                <w:color w:val="000000" w:themeColor="text1"/>
                <w:szCs w:val="21"/>
              </w:rPr>
              <w:t>过去一年</w:t>
            </w:r>
          </w:p>
        </w:tc>
        <w:tc>
          <w:tcPr>
            <w:tcW w:w="1291" w:type="dxa"/>
            <w:vAlign w:val="center"/>
          </w:tcPr>
          <w:p w:rsidR="00F53510" w:rsidRDefault="00133535">
            <w:pPr>
              <w:jc w:val="right"/>
            </w:pPr>
            <w:r>
              <w:rPr>
                <w:rFonts w:eastAsiaTheme="minorEastAsia"/>
                <w:color w:val="000000" w:themeColor="text1"/>
                <w:szCs w:val="21"/>
              </w:rPr>
              <w:t>-9.42%</w:t>
            </w:r>
          </w:p>
        </w:tc>
        <w:tc>
          <w:tcPr>
            <w:tcW w:w="1291" w:type="dxa"/>
            <w:vAlign w:val="center"/>
          </w:tcPr>
          <w:p w:rsidR="00F53510" w:rsidRDefault="00133535">
            <w:pPr>
              <w:jc w:val="right"/>
            </w:pPr>
            <w:r>
              <w:rPr>
                <w:rFonts w:eastAsiaTheme="minorEastAsia"/>
                <w:color w:val="000000" w:themeColor="text1"/>
                <w:szCs w:val="21"/>
              </w:rPr>
              <w:t>0.80%</w:t>
            </w:r>
          </w:p>
        </w:tc>
        <w:tc>
          <w:tcPr>
            <w:tcW w:w="1291" w:type="dxa"/>
            <w:vAlign w:val="center"/>
          </w:tcPr>
          <w:p w:rsidR="00F53510" w:rsidRDefault="00133535">
            <w:pPr>
              <w:jc w:val="right"/>
            </w:pPr>
            <w:r>
              <w:rPr>
                <w:rFonts w:eastAsiaTheme="minorEastAsia"/>
                <w:color w:val="000000" w:themeColor="text1"/>
                <w:szCs w:val="21"/>
              </w:rPr>
              <w:t>-10.27%</w:t>
            </w:r>
          </w:p>
        </w:tc>
        <w:tc>
          <w:tcPr>
            <w:tcW w:w="1291" w:type="dxa"/>
            <w:vAlign w:val="center"/>
          </w:tcPr>
          <w:p w:rsidR="00F53510" w:rsidRDefault="00133535">
            <w:pPr>
              <w:jc w:val="right"/>
            </w:pPr>
            <w:r>
              <w:rPr>
                <w:rFonts w:eastAsiaTheme="minorEastAsia"/>
                <w:color w:val="000000" w:themeColor="text1"/>
                <w:szCs w:val="21"/>
              </w:rPr>
              <w:t>0.61%</w:t>
            </w:r>
          </w:p>
        </w:tc>
        <w:tc>
          <w:tcPr>
            <w:tcW w:w="1291" w:type="dxa"/>
            <w:vAlign w:val="center"/>
          </w:tcPr>
          <w:p w:rsidR="00F53510" w:rsidRDefault="00133535">
            <w:pPr>
              <w:jc w:val="right"/>
            </w:pPr>
            <w:r>
              <w:rPr>
                <w:rFonts w:eastAsiaTheme="minorEastAsia"/>
                <w:color w:val="000000" w:themeColor="text1"/>
                <w:szCs w:val="21"/>
              </w:rPr>
              <w:t>0.85%</w:t>
            </w:r>
          </w:p>
        </w:tc>
        <w:tc>
          <w:tcPr>
            <w:tcW w:w="1291" w:type="dxa"/>
            <w:vAlign w:val="center"/>
          </w:tcPr>
          <w:p w:rsidR="00F53510" w:rsidRDefault="00133535">
            <w:pPr>
              <w:jc w:val="right"/>
            </w:pPr>
            <w:r>
              <w:rPr>
                <w:rFonts w:eastAsiaTheme="minorEastAsia"/>
                <w:color w:val="000000" w:themeColor="text1"/>
                <w:szCs w:val="21"/>
              </w:rPr>
              <w:t>0.19%</w:t>
            </w:r>
          </w:p>
        </w:tc>
      </w:tr>
      <w:tr w:rsidR="00F53510">
        <w:tc>
          <w:tcPr>
            <w:tcW w:w="1290" w:type="dxa"/>
            <w:vAlign w:val="center"/>
          </w:tcPr>
          <w:p w:rsidR="00F53510" w:rsidRDefault="00133535">
            <w:pPr>
              <w:jc w:val="left"/>
            </w:pPr>
            <w:r>
              <w:rPr>
                <w:rFonts w:eastAsiaTheme="minorEastAsia"/>
                <w:color w:val="000000" w:themeColor="text1"/>
                <w:szCs w:val="21"/>
              </w:rPr>
              <w:t>过去三年</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r>
      <w:tr w:rsidR="00F53510">
        <w:tc>
          <w:tcPr>
            <w:tcW w:w="1290" w:type="dxa"/>
            <w:vAlign w:val="center"/>
          </w:tcPr>
          <w:p w:rsidR="00F53510" w:rsidRDefault="00133535">
            <w:pPr>
              <w:jc w:val="left"/>
            </w:pPr>
            <w:r>
              <w:rPr>
                <w:rFonts w:eastAsiaTheme="minorEastAsia"/>
                <w:color w:val="000000" w:themeColor="text1"/>
                <w:szCs w:val="21"/>
              </w:rPr>
              <w:t>过去五年</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c>
          <w:tcPr>
            <w:tcW w:w="1291" w:type="dxa"/>
            <w:vAlign w:val="center"/>
          </w:tcPr>
          <w:p w:rsidR="00F53510" w:rsidRDefault="00133535">
            <w:pPr>
              <w:jc w:val="right"/>
            </w:pPr>
            <w:r>
              <w:rPr>
                <w:rFonts w:eastAsiaTheme="minorEastAsia"/>
                <w:color w:val="000000" w:themeColor="text1"/>
                <w:szCs w:val="21"/>
              </w:rPr>
              <w:t>-</w:t>
            </w:r>
          </w:p>
        </w:tc>
      </w:tr>
      <w:tr w:rsidR="00F53510">
        <w:tc>
          <w:tcPr>
            <w:tcW w:w="1290" w:type="dxa"/>
            <w:vAlign w:val="center"/>
          </w:tcPr>
          <w:p w:rsidR="00F53510" w:rsidRDefault="00133535">
            <w:pPr>
              <w:jc w:val="left"/>
            </w:pPr>
            <w:r>
              <w:rPr>
                <w:rFonts w:eastAsiaTheme="minorEastAsia"/>
                <w:color w:val="000000" w:themeColor="text1"/>
                <w:szCs w:val="21"/>
              </w:rPr>
              <w:t>自基金合同生效起至今</w:t>
            </w:r>
          </w:p>
        </w:tc>
        <w:tc>
          <w:tcPr>
            <w:tcW w:w="1291" w:type="dxa"/>
            <w:vAlign w:val="center"/>
          </w:tcPr>
          <w:p w:rsidR="00F53510" w:rsidRDefault="00133535">
            <w:pPr>
              <w:jc w:val="right"/>
            </w:pPr>
            <w:r>
              <w:rPr>
                <w:rFonts w:eastAsiaTheme="minorEastAsia"/>
                <w:color w:val="000000" w:themeColor="text1"/>
                <w:szCs w:val="21"/>
              </w:rPr>
              <w:t>-13.76%</w:t>
            </w:r>
          </w:p>
        </w:tc>
        <w:tc>
          <w:tcPr>
            <w:tcW w:w="1291" w:type="dxa"/>
            <w:vAlign w:val="center"/>
          </w:tcPr>
          <w:p w:rsidR="00F53510" w:rsidRDefault="00133535">
            <w:pPr>
              <w:jc w:val="right"/>
            </w:pPr>
            <w:r>
              <w:rPr>
                <w:rFonts w:eastAsiaTheme="minorEastAsia"/>
                <w:color w:val="000000" w:themeColor="text1"/>
                <w:szCs w:val="21"/>
              </w:rPr>
              <w:t>0.89%</w:t>
            </w:r>
          </w:p>
        </w:tc>
        <w:tc>
          <w:tcPr>
            <w:tcW w:w="1291" w:type="dxa"/>
            <w:vAlign w:val="center"/>
          </w:tcPr>
          <w:p w:rsidR="00F53510" w:rsidRDefault="00133535">
            <w:pPr>
              <w:jc w:val="right"/>
            </w:pPr>
            <w:r>
              <w:rPr>
                <w:rFonts w:eastAsiaTheme="minorEastAsia"/>
                <w:color w:val="000000" w:themeColor="text1"/>
                <w:szCs w:val="21"/>
              </w:rPr>
              <w:t>-11.98%</w:t>
            </w:r>
          </w:p>
        </w:tc>
        <w:tc>
          <w:tcPr>
            <w:tcW w:w="1291" w:type="dxa"/>
            <w:vAlign w:val="center"/>
          </w:tcPr>
          <w:p w:rsidR="00F53510" w:rsidRDefault="00133535">
            <w:pPr>
              <w:jc w:val="right"/>
            </w:pPr>
            <w:r>
              <w:rPr>
                <w:rFonts w:eastAsiaTheme="minorEastAsia"/>
                <w:color w:val="000000" w:themeColor="text1"/>
                <w:szCs w:val="21"/>
              </w:rPr>
              <w:t>0.71%</w:t>
            </w:r>
          </w:p>
        </w:tc>
        <w:tc>
          <w:tcPr>
            <w:tcW w:w="1291" w:type="dxa"/>
            <w:vAlign w:val="center"/>
          </w:tcPr>
          <w:p w:rsidR="00F53510" w:rsidRDefault="00133535">
            <w:pPr>
              <w:jc w:val="right"/>
            </w:pPr>
            <w:r>
              <w:rPr>
                <w:rFonts w:eastAsiaTheme="minorEastAsia"/>
                <w:color w:val="000000" w:themeColor="text1"/>
                <w:szCs w:val="21"/>
              </w:rPr>
              <w:t>-1.78%</w:t>
            </w:r>
          </w:p>
        </w:tc>
        <w:tc>
          <w:tcPr>
            <w:tcW w:w="1291" w:type="dxa"/>
            <w:vAlign w:val="center"/>
          </w:tcPr>
          <w:p w:rsidR="00F53510" w:rsidRDefault="00133535">
            <w:pPr>
              <w:jc w:val="right"/>
            </w:pPr>
            <w:r>
              <w:rPr>
                <w:rFonts w:eastAsiaTheme="minorEastAsia"/>
                <w:color w:val="000000" w:themeColor="text1"/>
                <w:szCs w:val="21"/>
              </w:rPr>
              <w:t>0.18%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摩根尚睿混合型基金中基金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．摩根尚睿混合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5E6DF3"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3D4A5B" w:rsidRPr="00B27A29" w:rsidRDefault="003D4A5B" w:rsidP="003D4A5B">
      <w:pPr>
        <w:spacing w:line="360" w:lineRule="auto"/>
        <w:ind w:firstLineChars="200" w:firstLine="420"/>
        <w:rPr>
          <w:rFonts w:eastAsiaTheme="minorEastAsia"/>
          <w:color w:val="000000" w:themeColor="text1"/>
          <w:szCs w:val="21"/>
        </w:rPr>
      </w:pPr>
      <w:r w:rsidRPr="003D4A5B">
        <w:rPr>
          <w:rFonts w:eastAsiaTheme="minorEastAsia" w:hint="eastAsia"/>
          <w:color w:val="000000" w:themeColor="text1"/>
          <w:szCs w:val="21"/>
        </w:rPr>
        <w:t>本基金自</w:t>
      </w:r>
      <w:r w:rsidRPr="003D4A5B">
        <w:rPr>
          <w:rFonts w:eastAsiaTheme="minorEastAsia" w:hint="eastAsia"/>
          <w:color w:val="000000" w:themeColor="text1"/>
          <w:szCs w:val="21"/>
        </w:rPr>
        <w:t>2023</w:t>
      </w:r>
      <w:r w:rsidRPr="003D4A5B">
        <w:rPr>
          <w:rFonts w:eastAsiaTheme="minorEastAsia" w:hint="eastAsia"/>
          <w:color w:val="000000" w:themeColor="text1"/>
          <w:szCs w:val="21"/>
        </w:rPr>
        <w:t>年</w:t>
      </w:r>
      <w:r w:rsidRPr="003D4A5B">
        <w:rPr>
          <w:rFonts w:eastAsiaTheme="minorEastAsia" w:hint="eastAsia"/>
          <w:color w:val="000000" w:themeColor="text1"/>
          <w:szCs w:val="21"/>
        </w:rPr>
        <w:t>2</w:t>
      </w:r>
      <w:r w:rsidRPr="003D4A5B">
        <w:rPr>
          <w:rFonts w:eastAsiaTheme="minorEastAsia" w:hint="eastAsia"/>
          <w:color w:val="000000" w:themeColor="text1"/>
          <w:szCs w:val="21"/>
        </w:rPr>
        <w:t>月</w:t>
      </w:r>
      <w:r w:rsidRPr="003D4A5B">
        <w:rPr>
          <w:rFonts w:eastAsiaTheme="minorEastAsia" w:hint="eastAsia"/>
          <w:color w:val="000000" w:themeColor="text1"/>
          <w:szCs w:val="21"/>
        </w:rPr>
        <w:t>14</w:t>
      </w:r>
      <w:r w:rsidRPr="003D4A5B">
        <w:rPr>
          <w:rFonts w:eastAsiaTheme="minorEastAsia" w:hint="eastAsia"/>
          <w:color w:val="000000" w:themeColor="text1"/>
          <w:szCs w:val="21"/>
        </w:rPr>
        <w:t>日起，将基金业绩比较基准由“中证</w:t>
      </w:r>
      <w:r w:rsidRPr="003D4A5B">
        <w:rPr>
          <w:rFonts w:eastAsiaTheme="minorEastAsia" w:hint="eastAsia"/>
          <w:color w:val="000000" w:themeColor="text1"/>
          <w:szCs w:val="21"/>
        </w:rPr>
        <w:t xml:space="preserve"> 800 </w:t>
      </w:r>
      <w:r w:rsidRPr="003D4A5B">
        <w:rPr>
          <w:rFonts w:eastAsiaTheme="minorEastAsia" w:hint="eastAsia"/>
          <w:color w:val="000000" w:themeColor="text1"/>
          <w:szCs w:val="21"/>
        </w:rPr>
        <w:t>指数收益率</w:t>
      </w:r>
      <w:r w:rsidRPr="003D4A5B">
        <w:rPr>
          <w:rFonts w:eastAsiaTheme="minorEastAsia" w:hint="eastAsia"/>
          <w:color w:val="000000" w:themeColor="text1"/>
          <w:szCs w:val="21"/>
        </w:rPr>
        <w:t>*60%+</w:t>
      </w:r>
      <w:r w:rsidRPr="003D4A5B">
        <w:rPr>
          <w:rFonts w:eastAsiaTheme="minorEastAsia" w:hint="eastAsia"/>
          <w:color w:val="000000" w:themeColor="text1"/>
          <w:szCs w:val="21"/>
        </w:rPr>
        <w:t>中证综合债指数收益率</w:t>
      </w:r>
      <w:r w:rsidRPr="003D4A5B">
        <w:rPr>
          <w:rFonts w:eastAsiaTheme="minorEastAsia" w:hint="eastAsia"/>
          <w:color w:val="000000" w:themeColor="text1"/>
          <w:szCs w:val="21"/>
        </w:rPr>
        <w:t>*40%</w:t>
      </w:r>
      <w:r w:rsidRPr="003D4A5B">
        <w:rPr>
          <w:rFonts w:eastAsiaTheme="minorEastAsia" w:hint="eastAsia"/>
          <w:color w:val="000000" w:themeColor="text1"/>
          <w:szCs w:val="21"/>
        </w:rPr>
        <w:t>”变更为“中证偏股型基金指数收益率</w:t>
      </w:r>
      <w:r w:rsidRPr="003D4A5B">
        <w:rPr>
          <w:rFonts w:eastAsiaTheme="minorEastAsia" w:hint="eastAsia"/>
          <w:color w:val="000000" w:themeColor="text1"/>
          <w:szCs w:val="21"/>
        </w:rPr>
        <w:t>*80%+</w:t>
      </w:r>
      <w:r w:rsidRPr="003D4A5B">
        <w:rPr>
          <w:rFonts w:eastAsiaTheme="minorEastAsia" w:hint="eastAsia"/>
          <w:color w:val="000000" w:themeColor="text1"/>
          <w:szCs w:val="21"/>
        </w:rPr>
        <w:t>中证债券型基金指数收益率</w:t>
      </w:r>
      <w:r w:rsidRPr="003D4A5B">
        <w:rPr>
          <w:rFonts w:eastAsiaTheme="minorEastAsia" w:hint="eastAsia"/>
          <w:color w:val="000000" w:themeColor="text1"/>
          <w:szCs w:val="21"/>
        </w:rPr>
        <w:t>*15%+</w:t>
      </w:r>
      <w:r w:rsidRPr="003D4A5B">
        <w:rPr>
          <w:rFonts w:eastAsiaTheme="minorEastAsia" w:hint="eastAsia"/>
          <w:color w:val="000000" w:themeColor="text1"/>
          <w:szCs w:val="21"/>
        </w:rPr>
        <w:t>活期存款利率（税后）</w:t>
      </w:r>
      <w:r w:rsidRPr="003D4A5B">
        <w:rPr>
          <w:rFonts w:eastAsiaTheme="minorEastAsia" w:hint="eastAsia"/>
          <w:color w:val="000000" w:themeColor="text1"/>
          <w:szCs w:val="21"/>
        </w:rPr>
        <w:t>*5%</w:t>
      </w:r>
      <w:r w:rsidRPr="003D4A5B">
        <w:rPr>
          <w:rFonts w:eastAsiaTheme="minorEastAsia" w:hint="eastAsia"/>
          <w:color w:val="000000" w:themeColor="text1"/>
          <w:szCs w:val="21"/>
        </w:rPr>
        <w:t>”</w:t>
      </w:r>
    </w:p>
    <w:p w:rsidR="003D4A5B" w:rsidRPr="003D4A5B" w:rsidRDefault="003D4A5B">
      <w:pPr>
        <w:spacing w:line="360" w:lineRule="auto"/>
        <w:ind w:firstLineChars="200" w:firstLine="420"/>
        <w:rPr>
          <w:rFonts w:eastAsiaTheme="minorEastAsia"/>
          <w:color w:val="000000" w:themeColor="text1"/>
          <w:szCs w:val="21"/>
        </w:rPr>
      </w:pP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．摩根尚睿混合</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3D4A5B" w:rsidP="003D4A5B">
      <w:pPr>
        <w:spacing w:line="360" w:lineRule="auto"/>
        <w:ind w:firstLineChars="200" w:firstLine="420"/>
        <w:rPr>
          <w:rFonts w:eastAsiaTheme="minorEastAsia"/>
          <w:color w:val="000000" w:themeColor="text1"/>
          <w:szCs w:val="21"/>
        </w:rPr>
      </w:pPr>
      <w:r w:rsidRPr="003D4A5B">
        <w:rPr>
          <w:rFonts w:eastAsiaTheme="minorEastAsia" w:hint="eastAsia"/>
          <w:color w:val="000000" w:themeColor="text1"/>
          <w:szCs w:val="21"/>
        </w:rPr>
        <w:t>本基金自</w:t>
      </w:r>
      <w:r w:rsidRPr="003D4A5B">
        <w:rPr>
          <w:rFonts w:eastAsiaTheme="minorEastAsia" w:hint="eastAsia"/>
          <w:color w:val="000000" w:themeColor="text1"/>
          <w:szCs w:val="21"/>
        </w:rPr>
        <w:t>2023</w:t>
      </w:r>
      <w:r w:rsidRPr="003D4A5B">
        <w:rPr>
          <w:rFonts w:eastAsiaTheme="minorEastAsia" w:hint="eastAsia"/>
          <w:color w:val="000000" w:themeColor="text1"/>
          <w:szCs w:val="21"/>
        </w:rPr>
        <w:t>年</w:t>
      </w:r>
      <w:r w:rsidRPr="003D4A5B">
        <w:rPr>
          <w:rFonts w:eastAsiaTheme="minorEastAsia" w:hint="eastAsia"/>
          <w:color w:val="000000" w:themeColor="text1"/>
          <w:szCs w:val="21"/>
        </w:rPr>
        <w:t>2</w:t>
      </w:r>
      <w:r w:rsidRPr="003D4A5B">
        <w:rPr>
          <w:rFonts w:eastAsiaTheme="minorEastAsia" w:hint="eastAsia"/>
          <w:color w:val="000000" w:themeColor="text1"/>
          <w:szCs w:val="21"/>
        </w:rPr>
        <w:t>月</w:t>
      </w:r>
      <w:r w:rsidRPr="003D4A5B">
        <w:rPr>
          <w:rFonts w:eastAsiaTheme="minorEastAsia" w:hint="eastAsia"/>
          <w:color w:val="000000" w:themeColor="text1"/>
          <w:szCs w:val="21"/>
        </w:rPr>
        <w:t>14</w:t>
      </w:r>
      <w:r w:rsidRPr="003D4A5B">
        <w:rPr>
          <w:rFonts w:eastAsiaTheme="minorEastAsia" w:hint="eastAsia"/>
          <w:color w:val="000000" w:themeColor="text1"/>
          <w:szCs w:val="21"/>
        </w:rPr>
        <w:t>日起，将基金业绩比较基准由“中证</w:t>
      </w:r>
      <w:r w:rsidRPr="003D4A5B">
        <w:rPr>
          <w:rFonts w:eastAsiaTheme="minorEastAsia" w:hint="eastAsia"/>
          <w:color w:val="000000" w:themeColor="text1"/>
          <w:szCs w:val="21"/>
        </w:rPr>
        <w:t xml:space="preserve"> 800 </w:t>
      </w:r>
      <w:r w:rsidRPr="003D4A5B">
        <w:rPr>
          <w:rFonts w:eastAsiaTheme="minorEastAsia" w:hint="eastAsia"/>
          <w:color w:val="000000" w:themeColor="text1"/>
          <w:szCs w:val="21"/>
        </w:rPr>
        <w:t>指数收益率</w:t>
      </w:r>
      <w:r w:rsidRPr="003D4A5B">
        <w:rPr>
          <w:rFonts w:eastAsiaTheme="minorEastAsia" w:hint="eastAsia"/>
          <w:color w:val="000000" w:themeColor="text1"/>
          <w:szCs w:val="21"/>
        </w:rPr>
        <w:t>*60%+</w:t>
      </w:r>
      <w:r w:rsidRPr="003D4A5B">
        <w:rPr>
          <w:rFonts w:eastAsiaTheme="minorEastAsia" w:hint="eastAsia"/>
          <w:color w:val="000000" w:themeColor="text1"/>
          <w:szCs w:val="21"/>
        </w:rPr>
        <w:t>中证综合债指数收益率</w:t>
      </w:r>
      <w:r w:rsidRPr="003D4A5B">
        <w:rPr>
          <w:rFonts w:eastAsiaTheme="minorEastAsia" w:hint="eastAsia"/>
          <w:color w:val="000000" w:themeColor="text1"/>
          <w:szCs w:val="21"/>
        </w:rPr>
        <w:t>*40%</w:t>
      </w:r>
      <w:r w:rsidRPr="003D4A5B">
        <w:rPr>
          <w:rFonts w:eastAsiaTheme="minorEastAsia" w:hint="eastAsia"/>
          <w:color w:val="000000" w:themeColor="text1"/>
          <w:szCs w:val="21"/>
        </w:rPr>
        <w:t>”变更为“中证偏股型基金指数收益率</w:t>
      </w:r>
      <w:r w:rsidRPr="003D4A5B">
        <w:rPr>
          <w:rFonts w:eastAsiaTheme="minorEastAsia" w:hint="eastAsia"/>
          <w:color w:val="000000" w:themeColor="text1"/>
          <w:szCs w:val="21"/>
        </w:rPr>
        <w:t>*80%+</w:t>
      </w:r>
      <w:r w:rsidRPr="003D4A5B">
        <w:rPr>
          <w:rFonts w:eastAsiaTheme="minorEastAsia" w:hint="eastAsia"/>
          <w:color w:val="000000" w:themeColor="text1"/>
          <w:szCs w:val="21"/>
        </w:rPr>
        <w:t>中证债券型基金指数收益率</w:t>
      </w:r>
      <w:r w:rsidRPr="003D4A5B">
        <w:rPr>
          <w:rFonts w:eastAsiaTheme="minorEastAsia" w:hint="eastAsia"/>
          <w:color w:val="000000" w:themeColor="text1"/>
          <w:szCs w:val="21"/>
        </w:rPr>
        <w:t>*15%+</w:t>
      </w:r>
      <w:r w:rsidRPr="003D4A5B">
        <w:rPr>
          <w:rFonts w:eastAsiaTheme="minorEastAsia" w:hint="eastAsia"/>
          <w:color w:val="000000" w:themeColor="text1"/>
          <w:szCs w:val="21"/>
        </w:rPr>
        <w:t>活期存款利率（税后）</w:t>
      </w:r>
      <w:r w:rsidRPr="003D4A5B">
        <w:rPr>
          <w:rFonts w:eastAsiaTheme="minorEastAsia" w:hint="eastAsia"/>
          <w:color w:val="000000" w:themeColor="text1"/>
          <w:szCs w:val="21"/>
        </w:rPr>
        <w:t>*5%</w:t>
      </w:r>
      <w:r w:rsidRPr="003D4A5B">
        <w:rPr>
          <w:rFonts w:eastAsiaTheme="minorEastAsia" w:hint="eastAsia"/>
          <w:color w:val="000000" w:themeColor="text1"/>
          <w:szCs w:val="21"/>
        </w:rPr>
        <w:t>”</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53510">
        <w:tc>
          <w:tcPr>
            <w:tcW w:w="952" w:type="dxa"/>
            <w:vAlign w:val="center"/>
          </w:tcPr>
          <w:p w:rsidR="00F53510" w:rsidRDefault="00133535">
            <w:pPr>
              <w:jc w:val="center"/>
            </w:pPr>
            <w:r>
              <w:rPr>
                <w:rFonts w:eastAsiaTheme="minorEastAsia"/>
                <w:color w:val="000000" w:themeColor="text1"/>
                <w:szCs w:val="21"/>
              </w:rPr>
              <w:t>刘凌云</w:t>
            </w:r>
          </w:p>
        </w:tc>
        <w:tc>
          <w:tcPr>
            <w:tcW w:w="930" w:type="dxa"/>
            <w:vAlign w:val="center"/>
          </w:tcPr>
          <w:p w:rsidR="00F53510" w:rsidRDefault="00133535">
            <w:pPr>
              <w:jc w:val="center"/>
            </w:pPr>
            <w:r>
              <w:rPr>
                <w:rFonts w:eastAsiaTheme="minorEastAsia"/>
                <w:color w:val="000000" w:themeColor="text1"/>
                <w:szCs w:val="21"/>
              </w:rPr>
              <w:t>本基金基金经理、组合基金投资部总监</w:t>
            </w:r>
          </w:p>
        </w:tc>
        <w:tc>
          <w:tcPr>
            <w:tcW w:w="1210" w:type="dxa"/>
            <w:vAlign w:val="center"/>
          </w:tcPr>
          <w:p w:rsidR="00F53510" w:rsidRDefault="00133535">
            <w:pPr>
              <w:jc w:val="center"/>
            </w:pPr>
            <w:r>
              <w:rPr>
                <w:rFonts w:eastAsiaTheme="minorEastAsia"/>
                <w:color w:val="000000" w:themeColor="text1"/>
                <w:szCs w:val="21"/>
              </w:rPr>
              <w:t>2018-08-15</w:t>
            </w:r>
          </w:p>
        </w:tc>
        <w:tc>
          <w:tcPr>
            <w:tcW w:w="1309" w:type="dxa"/>
            <w:vAlign w:val="center"/>
          </w:tcPr>
          <w:p w:rsidR="00F53510" w:rsidRDefault="00133535">
            <w:pPr>
              <w:jc w:val="center"/>
            </w:pPr>
            <w:r>
              <w:rPr>
                <w:rFonts w:eastAsiaTheme="minorEastAsia"/>
                <w:color w:val="000000" w:themeColor="text1"/>
                <w:szCs w:val="21"/>
              </w:rPr>
              <w:t>-</w:t>
            </w:r>
          </w:p>
        </w:tc>
        <w:tc>
          <w:tcPr>
            <w:tcW w:w="1254" w:type="dxa"/>
            <w:vAlign w:val="center"/>
          </w:tcPr>
          <w:p w:rsidR="00F53510" w:rsidRDefault="00133535">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F53510" w:rsidRDefault="00133535">
            <w:r>
              <w:rPr>
                <w:rFonts w:eastAsiaTheme="minorEastAsia"/>
                <w:color w:val="000000" w:themeColor="text1"/>
                <w:szCs w:val="21"/>
              </w:rPr>
              <w:t>刘凌云女士曾任中海基金管理有限公司产品研发经理。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月起加入摩根基金管理（中国）有限公司（原上投摩根基金管理有限公司），历任产品经理、高级投资组合经理、客户投资组合总监，组合基金投资部总监，现任组合基金投资部总监兼基金经理。</w:t>
            </w:r>
          </w:p>
        </w:tc>
      </w:tr>
      <w:tr w:rsidR="00F53510">
        <w:tc>
          <w:tcPr>
            <w:tcW w:w="952" w:type="dxa"/>
            <w:vAlign w:val="center"/>
          </w:tcPr>
          <w:p w:rsidR="00F53510" w:rsidRDefault="00133535">
            <w:pPr>
              <w:jc w:val="center"/>
            </w:pPr>
            <w:r>
              <w:rPr>
                <w:rFonts w:eastAsiaTheme="minorEastAsia"/>
                <w:color w:val="000000" w:themeColor="text1"/>
                <w:szCs w:val="21"/>
              </w:rPr>
              <w:t>杜习杰</w:t>
            </w:r>
          </w:p>
        </w:tc>
        <w:tc>
          <w:tcPr>
            <w:tcW w:w="930" w:type="dxa"/>
            <w:vAlign w:val="center"/>
          </w:tcPr>
          <w:p w:rsidR="00F53510" w:rsidRDefault="00133535">
            <w:pPr>
              <w:jc w:val="center"/>
            </w:pPr>
            <w:r>
              <w:rPr>
                <w:rFonts w:eastAsiaTheme="minorEastAsia"/>
                <w:color w:val="000000" w:themeColor="text1"/>
                <w:szCs w:val="21"/>
              </w:rPr>
              <w:t>本基金基金经理</w:t>
            </w:r>
          </w:p>
        </w:tc>
        <w:tc>
          <w:tcPr>
            <w:tcW w:w="1210" w:type="dxa"/>
            <w:vAlign w:val="center"/>
          </w:tcPr>
          <w:p w:rsidR="00F53510" w:rsidRDefault="00133535">
            <w:pPr>
              <w:jc w:val="center"/>
            </w:pPr>
            <w:r>
              <w:rPr>
                <w:rFonts w:eastAsiaTheme="minorEastAsia"/>
                <w:color w:val="000000" w:themeColor="text1"/>
                <w:szCs w:val="21"/>
              </w:rPr>
              <w:t>2020-12-11</w:t>
            </w:r>
          </w:p>
        </w:tc>
        <w:tc>
          <w:tcPr>
            <w:tcW w:w="1309" w:type="dxa"/>
            <w:vAlign w:val="center"/>
          </w:tcPr>
          <w:p w:rsidR="00F53510" w:rsidRDefault="00133535">
            <w:pPr>
              <w:jc w:val="center"/>
            </w:pPr>
            <w:r>
              <w:rPr>
                <w:rFonts w:eastAsiaTheme="minorEastAsia"/>
                <w:color w:val="000000" w:themeColor="text1"/>
                <w:szCs w:val="21"/>
              </w:rPr>
              <w:t>-</w:t>
            </w:r>
          </w:p>
        </w:tc>
        <w:tc>
          <w:tcPr>
            <w:tcW w:w="1254" w:type="dxa"/>
            <w:vAlign w:val="center"/>
          </w:tcPr>
          <w:p w:rsidR="00F53510" w:rsidRDefault="00133535">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F53510" w:rsidRDefault="00133535">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F53510">
        <w:tc>
          <w:tcPr>
            <w:tcW w:w="952" w:type="dxa"/>
            <w:vAlign w:val="center"/>
          </w:tcPr>
          <w:p w:rsidR="00F53510" w:rsidRDefault="00133535">
            <w:pPr>
              <w:jc w:val="center"/>
            </w:pPr>
            <w:r>
              <w:rPr>
                <w:rFonts w:eastAsiaTheme="minorEastAsia"/>
                <w:color w:val="000000" w:themeColor="text1"/>
                <w:szCs w:val="21"/>
              </w:rPr>
              <w:t>吴春杰</w:t>
            </w:r>
          </w:p>
        </w:tc>
        <w:tc>
          <w:tcPr>
            <w:tcW w:w="930" w:type="dxa"/>
            <w:vAlign w:val="center"/>
          </w:tcPr>
          <w:p w:rsidR="00F53510" w:rsidRDefault="00133535">
            <w:pPr>
              <w:jc w:val="center"/>
            </w:pPr>
            <w:r>
              <w:rPr>
                <w:rFonts w:eastAsiaTheme="minorEastAsia"/>
                <w:color w:val="000000" w:themeColor="text1"/>
                <w:szCs w:val="21"/>
              </w:rPr>
              <w:t>本基金基金经理</w:t>
            </w:r>
          </w:p>
        </w:tc>
        <w:tc>
          <w:tcPr>
            <w:tcW w:w="1210" w:type="dxa"/>
            <w:vAlign w:val="center"/>
          </w:tcPr>
          <w:p w:rsidR="00F53510" w:rsidRDefault="00133535">
            <w:pPr>
              <w:jc w:val="center"/>
            </w:pPr>
            <w:r>
              <w:rPr>
                <w:rFonts w:eastAsiaTheme="minorEastAsia"/>
                <w:color w:val="000000" w:themeColor="text1"/>
                <w:szCs w:val="21"/>
              </w:rPr>
              <w:t>2022-03-04</w:t>
            </w:r>
          </w:p>
        </w:tc>
        <w:tc>
          <w:tcPr>
            <w:tcW w:w="1309" w:type="dxa"/>
            <w:vAlign w:val="center"/>
          </w:tcPr>
          <w:p w:rsidR="00F53510" w:rsidRDefault="00133535">
            <w:pPr>
              <w:jc w:val="center"/>
            </w:pPr>
            <w:r>
              <w:rPr>
                <w:rFonts w:eastAsiaTheme="minorEastAsia"/>
                <w:color w:val="000000" w:themeColor="text1"/>
                <w:szCs w:val="21"/>
              </w:rPr>
              <w:t>-</w:t>
            </w:r>
          </w:p>
        </w:tc>
        <w:tc>
          <w:tcPr>
            <w:tcW w:w="1254" w:type="dxa"/>
            <w:vAlign w:val="center"/>
          </w:tcPr>
          <w:p w:rsidR="00F53510" w:rsidRDefault="00133535">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F53510" w:rsidRDefault="00133535">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F53510" w:rsidRDefault="001335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F53510" w:rsidRDefault="001335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刘凌云女士为本基金首任基金经理，其任职日期为本基金基金合同生效之日；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回顾上半年，一季度国内实际</w:t>
      </w:r>
      <w:r>
        <w:rPr>
          <w:rFonts w:eastAsiaTheme="minorEastAsia"/>
          <w:color w:val="000000" w:themeColor="text1"/>
          <w:szCs w:val="21"/>
        </w:rPr>
        <w:t>GDP</w:t>
      </w:r>
      <w:r>
        <w:rPr>
          <w:rFonts w:eastAsiaTheme="minorEastAsia"/>
          <w:color w:val="000000" w:themeColor="text1"/>
          <w:szCs w:val="21"/>
        </w:rPr>
        <w:t>同比增长</w:t>
      </w:r>
      <w:r>
        <w:rPr>
          <w:rFonts w:eastAsiaTheme="minorEastAsia"/>
          <w:color w:val="000000" w:themeColor="text1"/>
          <w:szCs w:val="21"/>
        </w:rPr>
        <w:t>4.5%</w:t>
      </w:r>
      <w:r>
        <w:rPr>
          <w:rFonts w:eastAsiaTheme="minorEastAsia"/>
          <w:color w:val="000000" w:themeColor="text1"/>
          <w:szCs w:val="21"/>
        </w:rPr>
        <w:t>，实现了良好的开局。二季度多项经济数据不及预期，一方面，去年底防疫政策调整后的经济脉冲恢复动能减弱；另一方面，中期经济面临的结构问题有一些显现，比如房地产市场、就业等问题。短期、中期的经济悲观预期叠加下，国内股票市场回吐年初以来的涨幅。在流动性宽松的环境中，人工智能、中特估等主题成为资金追逐的方向。国内债券市场表现较好，</w:t>
      </w:r>
      <w:r>
        <w:rPr>
          <w:rFonts w:eastAsiaTheme="minorEastAsia"/>
          <w:color w:val="000000" w:themeColor="text1"/>
          <w:szCs w:val="21"/>
        </w:rPr>
        <w:t>10</w:t>
      </w:r>
      <w:r>
        <w:rPr>
          <w:rFonts w:eastAsiaTheme="minorEastAsia"/>
          <w:color w:val="000000" w:themeColor="text1"/>
          <w:szCs w:val="21"/>
        </w:rPr>
        <w:t>年期国债收益率下行至</w:t>
      </w:r>
      <w:r>
        <w:rPr>
          <w:rFonts w:eastAsiaTheme="minorEastAsia"/>
          <w:color w:val="000000" w:themeColor="text1"/>
          <w:szCs w:val="21"/>
        </w:rPr>
        <w:t>2.67%</w:t>
      </w:r>
      <w:r>
        <w:rPr>
          <w:rFonts w:eastAsiaTheme="minorEastAsia"/>
          <w:color w:val="000000" w:themeColor="text1"/>
          <w:szCs w:val="21"/>
        </w:rPr>
        <w:t>。</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海外资产方面，二季度美国就业市场韧性强于预期，市场对于美国经济陷入衰退的预期下降，美股表现亮眼，纳斯达克指数上涨超过</w:t>
      </w:r>
      <w:r>
        <w:rPr>
          <w:rFonts w:eastAsiaTheme="minorEastAsia"/>
          <w:color w:val="000000" w:themeColor="text1"/>
          <w:szCs w:val="21"/>
        </w:rPr>
        <w:t>10%</w:t>
      </w:r>
      <w:r>
        <w:rPr>
          <w:rFonts w:eastAsiaTheme="minorEastAsia"/>
          <w:color w:val="000000" w:themeColor="text1"/>
          <w:szCs w:val="21"/>
        </w:rPr>
        <w:t>。尽管美联储在</w:t>
      </w:r>
      <w:r>
        <w:rPr>
          <w:rFonts w:eastAsiaTheme="minorEastAsia"/>
          <w:color w:val="000000" w:themeColor="text1"/>
          <w:szCs w:val="21"/>
        </w:rPr>
        <w:t>6</w:t>
      </w:r>
      <w:r>
        <w:rPr>
          <w:rFonts w:eastAsiaTheme="minorEastAsia"/>
          <w:color w:val="000000" w:themeColor="text1"/>
          <w:szCs w:val="21"/>
        </w:rPr>
        <w:t>月议息会议上暂停加息，但提示年内仍有</w:t>
      </w:r>
      <w:r>
        <w:rPr>
          <w:rFonts w:eastAsiaTheme="minorEastAsia"/>
          <w:color w:val="000000" w:themeColor="text1"/>
          <w:szCs w:val="21"/>
        </w:rPr>
        <w:t>2</w:t>
      </w:r>
      <w:r>
        <w:rPr>
          <w:rFonts w:eastAsiaTheme="minorEastAsia"/>
          <w:color w:val="000000" w:themeColor="text1"/>
          <w:szCs w:val="21"/>
        </w:rPr>
        <w:t>次加息的可能性，</w:t>
      </w:r>
      <w:r>
        <w:rPr>
          <w:rFonts w:eastAsiaTheme="minorEastAsia"/>
          <w:color w:val="000000" w:themeColor="text1"/>
          <w:szCs w:val="21"/>
        </w:rPr>
        <w:t>10</w:t>
      </w:r>
      <w:r>
        <w:rPr>
          <w:rFonts w:eastAsiaTheme="minorEastAsia"/>
          <w:color w:val="000000" w:themeColor="text1"/>
          <w:szCs w:val="21"/>
        </w:rPr>
        <w:t>年期美债收益率升至</w:t>
      </w:r>
      <w:r>
        <w:rPr>
          <w:rFonts w:eastAsiaTheme="minorEastAsia"/>
          <w:color w:val="000000" w:themeColor="text1"/>
          <w:szCs w:val="21"/>
        </w:rPr>
        <w:t>3.87%</w:t>
      </w:r>
      <w:r>
        <w:rPr>
          <w:rFonts w:eastAsiaTheme="minorEastAsia"/>
          <w:color w:val="000000" w:themeColor="text1"/>
          <w:szCs w:val="21"/>
        </w:rPr>
        <w:t>，黄金价格有所回落。</w:t>
      </w:r>
      <w:r>
        <w:rPr>
          <w:rFonts w:eastAsiaTheme="minorEastAsia"/>
          <w:color w:val="000000" w:themeColor="text1"/>
          <w:szCs w:val="21"/>
        </w:rPr>
        <w:t xml:space="preserve"> </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对于国内权益来讲，当前历史估值分位、相对债券资产的估值处均在具备吸引力的水平，为长期投资提供一定安全边际。二季度国内经济复苏进程曲折，但</w:t>
      </w:r>
      <w:r>
        <w:rPr>
          <w:rFonts w:eastAsiaTheme="minorEastAsia"/>
          <w:color w:val="000000" w:themeColor="text1"/>
          <w:szCs w:val="21"/>
        </w:rPr>
        <w:t>5</w:t>
      </w:r>
      <w:r>
        <w:rPr>
          <w:rFonts w:eastAsiaTheme="minorEastAsia"/>
          <w:color w:val="000000" w:themeColor="text1"/>
          <w:szCs w:val="21"/>
        </w:rPr>
        <w:t>月底以来，已经看到宏观经济政策的积极调整，包括逆回购、</w:t>
      </w:r>
      <w:r>
        <w:rPr>
          <w:rFonts w:eastAsiaTheme="minorEastAsia"/>
          <w:color w:val="000000" w:themeColor="text1"/>
          <w:szCs w:val="21"/>
        </w:rPr>
        <w:t>MLF</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等利率下调、房地产企业股权再融资获批、新能源汽车购置税减免延期等。后续仍有可能有增量政策出台，下半年经济增速较二季度有所提高还是可以期待的。结构上，关注受益于稳内需政策加码的领域，包括地产后周期与基建、信创与自主可控等领域，以及中报业绩改善的方向。</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对于国内债券来讲，国内托底经济增长发力，内外利差仍为负值，相对配置价值处在偏低的位置。考虑到</w:t>
      </w:r>
      <w:r>
        <w:rPr>
          <w:rFonts w:eastAsiaTheme="minorEastAsia"/>
          <w:color w:val="000000" w:themeColor="text1"/>
          <w:szCs w:val="21"/>
        </w:rPr>
        <w:t>6</w:t>
      </w:r>
      <w:r>
        <w:rPr>
          <w:rFonts w:eastAsiaTheme="minorEastAsia"/>
          <w:color w:val="000000" w:themeColor="text1"/>
          <w:szCs w:val="21"/>
        </w:rPr>
        <w:t>月央行降息以及后续潜在的延续，国内债券的下行风险也相对可控。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加息周期接近尾声，美债中期机会逐步显现。海外权益面临的盈利下调风险在增大，银行风险事件以及可能持续更久的高利率会导致一定程度的信用收缩，并向需求传导。我们倾向于认为可以等待更好的时机配置发达国家资产。对于港股，估值仍在历史较低位置，平台经济监管政策趋于呵护，叠加国内经济基本面修复，具有较好的配置价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本报告期摩根尚睿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:-3.66%</w:t>
      </w:r>
      <w:r>
        <w:rPr>
          <w:rFonts w:eastAsiaTheme="minorEastAsia"/>
          <w:color w:val="000000" w:themeColor="text1"/>
          <w:szCs w:val="21"/>
        </w:rPr>
        <w:t>，同期业绩比较基准收益率为</w:t>
      </w:r>
      <w:r>
        <w:rPr>
          <w:rFonts w:eastAsiaTheme="minorEastAsia"/>
          <w:color w:val="000000" w:themeColor="text1"/>
          <w:szCs w:val="21"/>
        </w:rPr>
        <w:t>:-4.41%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摩根尚睿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:-3.80%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:-4.41%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F53510" w:rsidRDefault="0013353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133535">
      <w:pPr>
        <w:spacing w:line="360" w:lineRule="auto"/>
        <w:ind w:firstLineChars="200" w:firstLine="420"/>
        <w:rPr>
          <w:rFonts w:eastAsiaTheme="minorEastAsia"/>
          <w:color w:val="000000" w:themeColor="text1"/>
          <w:szCs w:val="21"/>
        </w:rPr>
      </w:pPr>
      <w:r w:rsidRPr="00133535">
        <w:rPr>
          <w:rFonts w:eastAsiaTheme="minorEastAsia" w:hint="eastAsia"/>
          <w:color w:val="000000" w:themeColor="text1"/>
          <w:kern w:val="0"/>
          <w:szCs w:val="21"/>
        </w:rPr>
        <w:t>基金管理人拟持续营销，若</w:t>
      </w:r>
      <w:r w:rsidRPr="00133535">
        <w:rPr>
          <w:rFonts w:eastAsiaTheme="minorEastAsia" w:hint="eastAsia"/>
          <w:color w:val="000000" w:themeColor="text1"/>
          <w:kern w:val="0"/>
          <w:szCs w:val="21"/>
        </w:rPr>
        <w:t>2023</w:t>
      </w:r>
      <w:r w:rsidRPr="00133535">
        <w:rPr>
          <w:rFonts w:eastAsiaTheme="minorEastAsia" w:hint="eastAsia"/>
          <w:color w:val="000000" w:themeColor="text1"/>
          <w:kern w:val="0"/>
          <w:szCs w:val="21"/>
        </w:rPr>
        <w:t>年</w:t>
      </w:r>
      <w:r w:rsidRPr="00133535">
        <w:rPr>
          <w:rFonts w:eastAsiaTheme="minorEastAsia" w:hint="eastAsia"/>
          <w:color w:val="000000" w:themeColor="text1"/>
          <w:kern w:val="0"/>
          <w:szCs w:val="21"/>
        </w:rPr>
        <w:t>8</w:t>
      </w:r>
      <w:r w:rsidRPr="00133535">
        <w:rPr>
          <w:rFonts w:eastAsiaTheme="minorEastAsia" w:hint="eastAsia"/>
          <w:color w:val="000000" w:themeColor="text1"/>
          <w:kern w:val="0"/>
          <w:szCs w:val="21"/>
        </w:rPr>
        <w:t>月底仍未达到</w:t>
      </w:r>
      <w:r w:rsidRPr="00133535">
        <w:rPr>
          <w:rFonts w:eastAsiaTheme="minorEastAsia" w:hint="eastAsia"/>
          <w:color w:val="000000" w:themeColor="text1"/>
          <w:kern w:val="0"/>
          <w:szCs w:val="21"/>
        </w:rPr>
        <w:t>5000</w:t>
      </w:r>
      <w:r w:rsidRPr="00133535">
        <w:rPr>
          <w:rFonts w:eastAsiaTheme="minorEastAsia" w:hint="eastAsia"/>
          <w:color w:val="000000" w:themeColor="text1"/>
          <w:kern w:val="0"/>
          <w:szCs w:val="21"/>
        </w:rPr>
        <w:t>万，公司将启动清盘计划和相应的准备工作。</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43,196,263.58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92.75</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2,035,957.81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4.37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2,035,957.81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4.37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1,324,760.29</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2.84</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15,012.59</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46,571,994.27</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2,035,957.81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2,035,957.81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53510">
        <w:tc>
          <w:tcPr>
            <w:tcW w:w="1504" w:type="dxa"/>
            <w:vAlign w:val="center"/>
          </w:tcPr>
          <w:p w:rsidR="00F53510" w:rsidRDefault="00133535">
            <w:pPr>
              <w:jc w:val="center"/>
            </w:pPr>
            <w:r>
              <w:rPr>
                <w:rFonts w:eastAsiaTheme="minorEastAsia"/>
                <w:color w:val="000000" w:themeColor="text1"/>
                <w:szCs w:val="21"/>
              </w:rPr>
              <w:t>1</w:t>
            </w:r>
          </w:p>
        </w:tc>
        <w:tc>
          <w:tcPr>
            <w:tcW w:w="1504" w:type="dxa"/>
            <w:vAlign w:val="center"/>
          </w:tcPr>
          <w:p w:rsidR="00F53510" w:rsidRDefault="00133535">
            <w:pPr>
              <w:jc w:val="center"/>
            </w:pPr>
            <w:r>
              <w:rPr>
                <w:rFonts w:eastAsiaTheme="minorEastAsia"/>
                <w:color w:val="000000" w:themeColor="text1"/>
                <w:szCs w:val="21"/>
              </w:rPr>
              <w:t>019679</w:t>
            </w:r>
          </w:p>
        </w:tc>
        <w:tc>
          <w:tcPr>
            <w:tcW w:w="1504" w:type="dxa"/>
            <w:vAlign w:val="center"/>
          </w:tcPr>
          <w:p w:rsidR="00F53510" w:rsidRDefault="00133535">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F53510" w:rsidRDefault="00133535">
            <w:pPr>
              <w:jc w:val="right"/>
            </w:pPr>
            <w:r>
              <w:rPr>
                <w:rFonts w:eastAsiaTheme="minorEastAsia"/>
                <w:color w:val="000000" w:themeColor="text1"/>
                <w:szCs w:val="21"/>
              </w:rPr>
              <w:t>20,000</w:t>
            </w:r>
          </w:p>
        </w:tc>
        <w:tc>
          <w:tcPr>
            <w:tcW w:w="1503" w:type="dxa"/>
            <w:vAlign w:val="center"/>
          </w:tcPr>
          <w:p w:rsidR="00F53510" w:rsidRDefault="00133535">
            <w:pPr>
              <w:jc w:val="right"/>
            </w:pPr>
            <w:r>
              <w:rPr>
                <w:rFonts w:eastAsiaTheme="minorEastAsia"/>
                <w:color w:val="000000" w:themeColor="text1"/>
                <w:szCs w:val="21"/>
              </w:rPr>
              <w:t>2,035,957.81</w:t>
            </w:r>
          </w:p>
        </w:tc>
        <w:tc>
          <w:tcPr>
            <w:tcW w:w="1503" w:type="dxa"/>
            <w:vAlign w:val="center"/>
          </w:tcPr>
          <w:p w:rsidR="00F53510" w:rsidRDefault="00133535">
            <w:pPr>
              <w:jc w:val="right"/>
            </w:pPr>
            <w:r>
              <w:rPr>
                <w:rFonts w:eastAsiaTheme="minorEastAsia"/>
                <w:color w:val="000000" w:themeColor="text1"/>
                <w:szCs w:val="21"/>
              </w:rPr>
              <w:t>4.42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1,843.37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13,169.22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15,012.59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F53510">
        <w:tc>
          <w:tcPr>
            <w:tcW w:w="817" w:type="dxa"/>
            <w:vAlign w:val="center"/>
          </w:tcPr>
          <w:p w:rsidR="00F53510" w:rsidRDefault="00133535">
            <w:pPr>
              <w:jc w:val="center"/>
            </w:pPr>
            <w:r>
              <w:rPr>
                <w:sz w:val="24"/>
              </w:rPr>
              <w:t>1</w:t>
            </w:r>
          </w:p>
        </w:tc>
        <w:tc>
          <w:tcPr>
            <w:tcW w:w="1133" w:type="dxa"/>
            <w:vAlign w:val="center"/>
          </w:tcPr>
          <w:p w:rsidR="00F53510" w:rsidRDefault="00133535">
            <w:pPr>
              <w:jc w:val="center"/>
            </w:pPr>
            <w:r>
              <w:rPr>
                <w:sz w:val="24"/>
              </w:rPr>
              <w:t>377240</w:t>
            </w:r>
          </w:p>
        </w:tc>
        <w:tc>
          <w:tcPr>
            <w:tcW w:w="1135" w:type="dxa"/>
            <w:vAlign w:val="center"/>
          </w:tcPr>
          <w:p w:rsidR="00F53510" w:rsidRDefault="00133535">
            <w:pPr>
              <w:jc w:val="center"/>
            </w:pPr>
            <w:r>
              <w:rPr>
                <w:sz w:val="24"/>
              </w:rPr>
              <w:t>摩根新兴动力混合</w:t>
            </w:r>
            <w:r>
              <w:rPr>
                <w:sz w:val="24"/>
              </w:rPr>
              <w:t>A</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435,596.55</w:t>
            </w:r>
          </w:p>
        </w:tc>
        <w:tc>
          <w:tcPr>
            <w:tcW w:w="1276" w:type="dxa"/>
            <w:vAlign w:val="center"/>
          </w:tcPr>
          <w:p w:rsidR="00F53510" w:rsidRDefault="00133535">
            <w:pPr>
              <w:jc w:val="center"/>
            </w:pPr>
            <w:r>
              <w:rPr>
                <w:sz w:val="24"/>
              </w:rPr>
              <w:t>2,482,290.50</w:t>
            </w:r>
          </w:p>
        </w:tc>
        <w:tc>
          <w:tcPr>
            <w:tcW w:w="1135" w:type="dxa"/>
            <w:vAlign w:val="center"/>
          </w:tcPr>
          <w:p w:rsidR="00F53510" w:rsidRDefault="00133535">
            <w:pPr>
              <w:jc w:val="center"/>
            </w:pPr>
            <w:r>
              <w:rPr>
                <w:sz w:val="24"/>
              </w:rPr>
              <w:t>5.39%</w:t>
            </w:r>
          </w:p>
        </w:tc>
        <w:tc>
          <w:tcPr>
            <w:tcW w:w="1272" w:type="dxa"/>
            <w:vAlign w:val="center"/>
          </w:tcPr>
          <w:p w:rsidR="00F53510" w:rsidRDefault="00133535">
            <w:pPr>
              <w:jc w:val="center"/>
            </w:pPr>
            <w:r>
              <w:rPr>
                <w:sz w:val="24"/>
              </w:rPr>
              <w:t>是</w:t>
            </w:r>
          </w:p>
        </w:tc>
      </w:tr>
      <w:tr w:rsidR="00F53510">
        <w:tc>
          <w:tcPr>
            <w:tcW w:w="817" w:type="dxa"/>
            <w:vAlign w:val="center"/>
          </w:tcPr>
          <w:p w:rsidR="00F53510" w:rsidRDefault="00133535">
            <w:pPr>
              <w:jc w:val="center"/>
            </w:pPr>
            <w:r>
              <w:rPr>
                <w:sz w:val="24"/>
              </w:rPr>
              <w:t>2</w:t>
            </w:r>
          </w:p>
        </w:tc>
        <w:tc>
          <w:tcPr>
            <w:tcW w:w="1133" w:type="dxa"/>
            <w:vAlign w:val="center"/>
          </w:tcPr>
          <w:p w:rsidR="00F53510" w:rsidRDefault="00133535">
            <w:pPr>
              <w:jc w:val="center"/>
            </w:pPr>
            <w:r>
              <w:rPr>
                <w:sz w:val="24"/>
              </w:rPr>
              <w:t>512070</w:t>
            </w:r>
          </w:p>
        </w:tc>
        <w:tc>
          <w:tcPr>
            <w:tcW w:w="1135" w:type="dxa"/>
            <w:vAlign w:val="center"/>
          </w:tcPr>
          <w:p w:rsidR="00F53510" w:rsidRDefault="00133535">
            <w:pPr>
              <w:jc w:val="center"/>
            </w:pPr>
            <w:r>
              <w:rPr>
                <w:sz w:val="24"/>
              </w:rPr>
              <w:t>易方达沪深</w:t>
            </w:r>
            <w:r>
              <w:rPr>
                <w:sz w:val="24"/>
              </w:rPr>
              <w:t>300</w:t>
            </w:r>
            <w:r>
              <w:rPr>
                <w:sz w:val="24"/>
              </w:rPr>
              <w:t>非银</w:t>
            </w:r>
            <w:r>
              <w:rPr>
                <w:sz w:val="24"/>
              </w:rPr>
              <w:t>ETF</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3,487,200.00</w:t>
            </w:r>
          </w:p>
        </w:tc>
        <w:tc>
          <w:tcPr>
            <w:tcW w:w="1276" w:type="dxa"/>
            <w:vAlign w:val="center"/>
          </w:tcPr>
          <w:p w:rsidR="00F53510" w:rsidRDefault="00133535">
            <w:pPr>
              <w:jc w:val="center"/>
            </w:pPr>
            <w:r>
              <w:rPr>
                <w:sz w:val="24"/>
              </w:rPr>
              <w:t>2,165,551.20</w:t>
            </w:r>
          </w:p>
        </w:tc>
        <w:tc>
          <w:tcPr>
            <w:tcW w:w="1135" w:type="dxa"/>
            <w:vAlign w:val="center"/>
          </w:tcPr>
          <w:p w:rsidR="00F53510" w:rsidRDefault="00133535">
            <w:pPr>
              <w:jc w:val="center"/>
            </w:pPr>
            <w:r>
              <w:rPr>
                <w:sz w:val="24"/>
              </w:rPr>
              <w:t>4.70%</w:t>
            </w:r>
          </w:p>
        </w:tc>
        <w:tc>
          <w:tcPr>
            <w:tcW w:w="1272" w:type="dxa"/>
            <w:vAlign w:val="center"/>
          </w:tcPr>
          <w:p w:rsidR="00F53510" w:rsidRDefault="00133535">
            <w:pPr>
              <w:jc w:val="center"/>
            </w:pPr>
            <w:r>
              <w:rPr>
                <w:sz w:val="24"/>
              </w:rPr>
              <w:t>否</w:t>
            </w:r>
          </w:p>
        </w:tc>
      </w:tr>
      <w:tr w:rsidR="00F53510">
        <w:tc>
          <w:tcPr>
            <w:tcW w:w="817" w:type="dxa"/>
            <w:vAlign w:val="center"/>
          </w:tcPr>
          <w:p w:rsidR="00F53510" w:rsidRDefault="00133535">
            <w:pPr>
              <w:jc w:val="center"/>
            </w:pPr>
            <w:r>
              <w:rPr>
                <w:sz w:val="24"/>
              </w:rPr>
              <w:t>3</w:t>
            </w:r>
          </w:p>
        </w:tc>
        <w:tc>
          <w:tcPr>
            <w:tcW w:w="1133" w:type="dxa"/>
            <w:vAlign w:val="center"/>
          </w:tcPr>
          <w:p w:rsidR="00F53510" w:rsidRDefault="00133535">
            <w:pPr>
              <w:jc w:val="center"/>
            </w:pPr>
            <w:r>
              <w:rPr>
                <w:sz w:val="24"/>
              </w:rPr>
              <w:t>512760</w:t>
            </w:r>
          </w:p>
        </w:tc>
        <w:tc>
          <w:tcPr>
            <w:tcW w:w="1135" w:type="dxa"/>
            <w:vAlign w:val="center"/>
          </w:tcPr>
          <w:p w:rsidR="00F53510" w:rsidRDefault="00133535">
            <w:pPr>
              <w:jc w:val="center"/>
            </w:pPr>
            <w:r>
              <w:rPr>
                <w:sz w:val="24"/>
              </w:rPr>
              <w:t>国泰</w:t>
            </w:r>
            <w:r>
              <w:rPr>
                <w:sz w:val="24"/>
              </w:rPr>
              <w:t>CES</w:t>
            </w:r>
            <w:r>
              <w:rPr>
                <w:sz w:val="24"/>
              </w:rPr>
              <w:t>半导体芯片</w:t>
            </w:r>
            <w:r>
              <w:rPr>
                <w:sz w:val="24"/>
              </w:rPr>
              <w:t>ETF</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2,016,600.00</w:t>
            </w:r>
          </w:p>
        </w:tc>
        <w:tc>
          <w:tcPr>
            <w:tcW w:w="1276" w:type="dxa"/>
            <w:vAlign w:val="center"/>
          </w:tcPr>
          <w:p w:rsidR="00F53510" w:rsidRDefault="00133535">
            <w:pPr>
              <w:jc w:val="center"/>
            </w:pPr>
            <w:r>
              <w:rPr>
                <w:sz w:val="24"/>
              </w:rPr>
              <w:t>2,044,832.40</w:t>
            </w:r>
          </w:p>
        </w:tc>
        <w:tc>
          <w:tcPr>
            <w:tcW w:w="1135" w:type="dxa"/>
            <w:vAlign w:val="center"/>
          </w:tcPr>
          <w:p w:rsidR="00F53510" w:rsidRDefault="00133535">
            <w:pPr>
              <w:jc w:val="center"/>
            </w:pPr>
            <w:r>
              <w:rPr>
                <w:sz w:val="24"/>
              </w:rPr>
              <w:t>4.44%</w:t>
            </w:r>
          </w:p>
        </w:tc>
        <w:tc>
          <w:tcPr>
            <w:tcW w:w="1272" w:type="dxa"/>
            <w:vAlign w:val="center"/>
          </w:tcPr>
          <w:p w:rsidR="00F53510" w:rsidRDefault="00133535">
            <w:pPr>
              <w:jc w:val="center"/>
            </w:pPr>
            <w:r>
              <w:rPr>
                <w:sz w:val="24"/>
              </w:rPr>
              <w:t>否</w:t>
            </w:r>
          </w:p>
        </w:tc>
      </w:tr>
      <w:tr w:rsidR="00F53510">
        <w:tc>
          <w:tcPr>
            <w:tcW w:w="817" w:type="dxa"/>
            <w:vAlign w:val="center"/>
          </w:tcPr>
          <w:p w:rsidR="00F53510" w:rsidRDefault="00133535">
            <w:pPr>
              <w:jc w:val="center"/>
            </w:pPr>
            <w:r>
              <w:rPr>
                <w:sz w:val="24"/>
              </w:rPr>
              <w:t>4</w:t>
            </w:r>
          </w:p>
        </w:tc>
        <w:tc>
          <w:tcPr>
            <w:tcW w:w="1133" w:type="dxa"/>
            <w:vAlign w:val="center"/>
          </w:tcPr>
          <w:p w:rsidR="00F53510" w:rsidRDefault="00133535">
            <w:pPr>
              <w:jc w:val="center"/>
            </w:pPr>
            <w:r>
              <w:rPr>
                <w:sz w:val="24"/>
              </w:rPr>
              <w:t>006551</w:t>
            </w:r>
          </w:p>
        </w:tc>
        <w:tc>
          <w:tcPr>
            <w:tcW w:w="1135" w:type="dxa"/>
            <w:vAlign w:val="center"/>
          </w:tcPr>
          <w:p w:rsidR="00F53510" w:rsidRDefault="00133535">
            <w:pPr>
              <w:jc w:val="center"/>
            </w:pPr>
            <w:r>
              <w:rPr>
                <w:sz w:val="24"/>
              </w:rPr>
              <w:t>中庚价值领航混合</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885,398.71</w:t>
            </w:r>
          </w:p>
        </w:tc>
        <w:tc>
          <w:tcPr>
            <w:tcW w:w="1276" w:type="dxa"/>
            <w:vAlign w:val="center"/>
          </w:tcPr>
          <w:p w:rsidR="00F53510" w:rsidRDefault="00133535">
            <w:pPr>
              <w:jc w:val="center"/>
            </w:pPr>
            <w:r>
              <w:rPr>
                <w:sz w:val="24"/>
              </w:rPr>
              <w:t>1,987,720.10</w:t>
            </w:r>
          </w:p>
        </w:tc>
        <w:tc>
          <w:tcPr>
            <w:tcW w:w="1135" w:type="dxa"/>
            <w:vAlign w:val="center"/>
          </w:tcPr>
          <w:p w:rsidR="00F53510" w:rsidRDefault="00133535">
            <w:pPr>
              <w:jc w:val="center"/>
            </w:pPr>
            <w:r>
              <w:rPr>
                <w:sz w:val="24"/>
              </w:rPr>
              <w:t>4.32%</w:t>
            </w:r>
          </w:p>
        </w:tc>
        <w:tc>
          <w:tcPr>
            <w:tcW w:w="1272" w:type="dxa"/>
            <w:vAlign w:val="center"/>
          </w:tcPr>
          <w:p w:rsidR="00F53510" w:rsidRDefault="00133535">
            <w:pPr>
              <w:jc w:val="center"/>
            </w:pPr>
            <w:r>
              <w:rPr>
                <w:sz w:val="24"/>
              </w:rPr>
              <w:t>否</w:t>
            </w:r>
          </w:p>
        </w:tc>
      </w:tr>
      <w:tr w:rsidR="00F53510">
        <w:tc>
          <w:tcPr>
            <w:tcW w:w="817" w:type="dxa"/>
            <w:vAlign w:val="center"/>
          </w:tcPr>
          <w:p w:rsidR="00F53510" w:rsidRDefault="00133535">
            <w:pPr>
              <w:jc w:val="center"/>
            </w:pPr>
            <w:r>
              <w:rPr>
                <w:sz w:val="24"/>
              </w:rPr>
              <w:t>5</w:t>
            </w:r>
          </w:p>
        </w:tc>
        <w:tc>
          <w:tcPr>
            <w:tcW w:w="1133" w:type="dxa"/>
            <w:vAlign w:val="center"/>
          </w:tcPr>
          <w:p w:rsidR="00F53510" w:rsidRDefault="00133535">
            <w:pPr>
              <w:jc w:val="center"/>
            </w:pPr>
            <w:r>
              <w:rPr>
                <w:sz w:val="24"/>
              </w:rPr>
              <w:t>001856</w:t>
            </w:r>
          </w:p>
        </w:tc>
        <w:tc>
          <w:tcPr>
            <w:tcW w:w="1135" w:type="dxa"/>
            <w:vAlign w:val="center"/>
          </w:tcPr>
          <w:p w:rsidR="00F53510" w:rsidRDefault="00133535">
            <w:pPr>
              <w:jc w:val="center"/>
            </w:pPr>
            <w:r>
              <w:rPr>
                <w:sz w:val="24"/>
              </w:rPr>
              <w:t>易方达环保主题混合</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498,331.01</w:t>
            </w:r>
          </w:p>
        </w:tc>
        <w:tc>
          <w:tcPr>
            <w:tcW w:w="1276" w:type="dxa"/>
            <w:vAlign w:val="center"/>
          </w:tcPr>
          <w:p w:rsidR="00F53510" w:rsidRDefault="00133535">
            <w:pPr>
              <w:jc w:val="center"/>
            </w:pPr>
            <w:r>
              <w:rPr>
                <w:sz w:val="24"/>
              </w:rPr>
              <w:t>1,852,296.36</w:t>
            </w:r>
          </w:p>
        </w:tc>
        <w:tc>
          <w:tcPr>
            <w:tcW w:w="1135" w:type="dxa"/>
            <w:vAlign w:val="center"/>
          </w:tcPr>
          <w:p w:rsidR="00F53510" w:rsidRDefault="00133535">
            <w:pPr>
              <w:jc w:val="center"/>
            </w:pPr>
            <w:r>
              <w:rPr>
                <w:sz w:val="24"/>
              </w:rPr>
              <w:t>4.02%</w:t>
            </w:r>
          </w:p>
        </w:tc>
        <w:tc>
          <w:tcPr>
            <w:tcW w:w="1272" w:type="dxa"/>
            <w:vAlign w:val="center"/>
          </w:tcPr>
          <w:p w:rsidR="00F53510" w:rsidRDefault="00133535">
            <w:pPr>
              <w:jc w:val="center"/>
            </w:pPr>
            <w:r>
              <w:rPr>
                <w:sz w:val="24"/>
              </w:rPr>
              <w:t>否</w:t>
            </w:r>
          </w:p>
        </w:tc>
      </w:tr>
      <w:tr w:rsidR="00F53510">
        <w:tc>
          <w:tcPr>
            <w:tcW w:w="817" w:type="dxa"/>
            <w:vAlign w:val="center"/>
          </w:tcPr>
          <w:p w:rsidR="00F53510" w:rsidRDefault="00133535">
            <w:pPr>
              <w:jc w:val="center"/>
            </w:pPr>
            <w:r>
              <w:rPr>
                <w:sz w:val="24"/>
              </w:rPr>
              <w:t>6</w:t>
            </w:r>
          </w:p>
        </w:tc>
        <w:tc>
          <w:tcPr>
            <w:tcW w:w="1133" w:type="dxa"/>
            <w:vAlign w:val="center"/>
          </w:tcPr>
          <w:p w:rsidR="00F53510" w:rsidRDefault="00133535">
            <w:pPr>
              <w:jc w:val="center"/>
            </w:pPr>
            <w:r>
              <w:rPr>
                <w:sz w:val="24"/>
              </w:rPr>
              <w:t>090016</w:t>
            </w:r>
          </w:p>
        </w:tc>
        <w:tc>
          <w:tcPr>
            <w:tcW w:w="1135" w:type="dxa"/>
            <w:vAlign w:val="center"/>
          </w:tcPr>
          <w:p w:rsidR="00F53510" w:rsidRDefault="00133535">
            <w:pPr>
              <w:jc w:val="center"/>
            </w:pPr>
            <w:r>
              <w:rPr>
                <w:sz w:val="24"/>
              </w:rPr>
              <w:t>大成消费主题混合</w:t>
            </w:r>
            <w:r>
              <w:rPr>
                <w:sz w:val="24"/>
              </w:rPr>
              <w:t>A</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890,715.41</w:t>
            </w:r>
          </w:p>
        </w:tc>
        <w:tc>
          <w:tcPr>
            <w:tcW w:w="1276" w:type="dxa"/>
            <w:vAlign w:val="center"/>
          </w:tcPr>
          <w:p w:rsidR="00F53510" w:rsidRDefault="00133535">
            <w:pPr>
              <w:jc w:val="center"/>
            </w:pPr>
            <w:r>
              <w:rPr>
                <w:sz w:val="24"/>
              </w:rPr>
              <w:t>1,716,408.60</w:t>
            </w:r>
          </w:p>
        </w:tc>
        <w:tc>
          <w:tcPr>
            <w:tcW w:w="1135" w:type="dxa"/>
            <w:vAlign w:val="center"/>
          </w:tcPr>
          <w:p w:rsidR="00F53510" w:rsidRDefault="00133535">
            <w:pPr>
              <w:jc w:val="center"/>
            </w:pPr>
            <w:r>
              <w:rPr>
                <w:sz w:val="24"/>
              </w:rPr>
              <w:t>3.73%</w:t>
            </w:r>
          </w:p>
        </w:tc>
        <w:tc>
          <w:tcPr>
            <w:tcW w:w="1272" w:type="dxa"/>
            <w:vAlign w:val="center"/>
          </w:tcPr>
          <w:p w:rsidR="00F53510" w:rsidRDefault="00133535">
            <w:pPr>
              <w:jc w:val="center"/>
            </w:pPr>
            <w:r>
              <w:rPr>
                <w:sz w:val="24"/>
              </w:rPr>
              <w:t>否</w:t>
            </w:r>
          </w:p>
        </w:tc>
      </w:tr>
      <w:tr w:rsidR="00F53510">
        <w:tc>
          <w:tcPr>
            <w:tcW w:w="817" w:type="dxa"/>
            <w:vAlign w:val="center"/>
          </w:tcPr>
          <w:p w:rsidR="00F53510" w:rsidRDefault="00133535">
            <w:pPr>
              <w:jc w:val="center"/>
            </w:pPr>
            <w:r>
              <w:rPr>
                <w:sz w:val="24"/>
              </w:rPr>
              <w:t>7</w:t>
            </w:r>
          </w:p>
        </w:tc>
        <w:tc>
          <w:tcPr>
            <w:tcW w:w="1133" w:type="dxa"/>
            <w:vAlign w:val="center"/>
          </w:tcPr>
          <w:p w:rsidR="00F53510" w:rsidRDefault="00133535">
            <w:pPr>
              <w:jc w:val="center"/>
            </w:pPr>
            <w:r>
              <w:rPr>
                <w:sz w:val="24"/>
              </w:rPr>
              <w:t>519756</w:t>
            </w:r>
          </w:p>
        </w:tc>
        <w:tc>
          <w:tcPr>
            <w:tcW w:w="1135" w:type="dxa"/>
            <w:vAlign w:val="center"/>
          </w:tcPr>
          <w:p w:rsidR="00F53510" w:rsidRDefault="00133535">
            <w:pPr>
              <w:jc w:val="center"/>
            </w:pPr>
            <w:r>
              <w:rPr>
                <w:sz w:val="24"/>
              </w:rPr>
              <w:t>交银国企改革灵活配置混合</w:t>
            </w:r>
            <w:r>
              <w:rPr>
                <w:sz w:val="24"/>
              </w:rPr>
              <w:t>A</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940,713.51</w:t>
            </w:r>
          </w:p>
        </w:tc>
        <w:tc>
          <w:tcPr>
            <w:tcW w:w="1276" w:type="dxa"/>
            <w:vAlign w:val="center"/>
          </w:tcPr>
          <w:p w:rsidR="00F53510" w:rsidRDefault="00133535">
            <w:pPr>
              <w:jc w:val="center"/>
            </w:pPr>
            <w:r>
              <w:rPr>
                <w:sz w:val="24"/>
              </w:rPr>
              <w:t>1,692,813.96</w:t>
            </w:r>
          </w:p>
        </w:tc>
        <w:tc>
          <w:tcPr>
            <w:tcW w:w="1135" w:type="dxa"/>
            <w:vAlign w:val="center"/>
          </w:tcPr>
          <w:p w:rsidR="00F53510" w:rsidRDefault="00133535">
            <w:pPr>
              <w:jc w:val="center"/>
            </w:pPr>
            <w:r>
              <w:rPr>
                <w:sz w:val="24"/>
              </w:rPr>
              <w:t>3.68%</w:t>
            </w:r>
          </w:p>
        </w:tc>
        <w:tc>
          <w:tcPr>
            <w:tcW w:w="1272" w:type="dxa"/>
            <w:vAlign w:val="center"/>
          </w:tcPr>
          <w:p w:rsidR="00F53510" w:rsidRDefault="00133535">
            <w:pPr>
              <w:jc w:val="center"/>
            </w:pPr>
            <w:r>
              <w:rPr>
                <w:sz w:val="24"/>
              </w:rPr>
              <w:t>否</w:t>
            </w:r>
          </w:p>
        </w:tc>
      </w:tr>
      <w:tr w:rsidR="00F53510">
        <w:tc>
          <w:tcPr>
            <w:tcW w:w="817" w:type="dxa"/>
            <w:vAlign w:val="center"/>
          </w:tcPr>
          <w:p w:rsidR="00F53510" w:rsidRDefault="00133535">
            <w:pPr>
              <w:jc w:val="center"/>
            </w:pPr>
            <w:r>
              <w:rPr>
                <w:sz w:val="24"/>
              </w:rPr>
              <w:t>8</w:t>
            </w:r>
          </w:p>
        </w:tc>
        <w:tc>
          <w:tcPr>
            <w:tcW w:w="1133" w:type="dxa"/>
            <w:vAlign w:val="center"/>
          </w:tcPr>
          <w:p w:rsidR="00F53510" w:rsidRDefault="00133535">
            <w:pPr>
              <w:jc w:val="center"/>
            </w:pPr>
            <w:r>
              <w:rPr>
                <w:sz w:val="24"/>
              </w:rPr>
              <w:t>513180</w:t>
            </w:r>
          </w:p>
        </w:tc>
        <w:tc>
          <w:tcPr>
            <w:tcW w:w="1135" w:type="dxa"/>
            <w:vAlign w:val="center"/>
          </w:tcPr>
          <w:p w:rsidR="00F53510" w:rsidRDefault="00133535">
            <w:pPr>
              <w:jc w:val="center"/>
            </w:pPr>
            <w:r>
              <w:rPr>
                <w:sz w:val="24"/>
              </w:rPr>
              <w:t>华夏恒生科技</w:t>
            </w:r>
            <w:r>
              <w:rPr>
                <w:sz w:val="24"/>
              </w:rPr>
              <w:t>ETF(QDII)</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3,150,800.00</w:t>
            </w:r>
          </w:p>
        </w:tc>
        <w:tc>
          <w:tcPr>
            <w:tcW w:w="1276" w:type="dxa"/>
            <w:vAlign w:val="center"/>
          </w:tcPr>
          <w:p w:rsidR="00F53510" w:rsidRDefault="00133535">
            <w:pPr>
              <w:jc w:val="center"/>
            </w:pPr>
            <w:r>
              <w:rPr>
                <w:sz w:val="24"/>
              </w:rPr>
              <w:t>1,685,678.00</w:t>
            </w:r>
          </w:p>
        </w:tc>
        <w:tc>
          <w:tcPr>
            <w:tcW w:w="1135" w:type="dxa"/>
            <w:vAlign w:val="center"/>
          </w:tcPr>
          <w:p w:rsidR="00F53510" w:rsidRDefault="00133535">
            <w:pPr>
              <w:jc w:val="center"/>
            </w:pPr>
            <w:r>
              <w:rPr>
                <w:sz w:val="24"/>
              </w:rPr>
              <w:t>3.66%</w:t>
            </w:r>
          </w:p>
        </w:tc>
        <w:tc>
          <w:tcPr>
            <w:tcW w:w="1272" w:type="dxa"/>
            <w:vAlign w:val="center"/>
          </w:tcPr>
          <w:p w:rsidR="00F53510" w:rsidRDefault="00133535">
            <w:pPr>
              <w:jc w:val="center"/>
            </w:pPr>
            <w:r>
              <w:rPr>
                <w:sz w:val="24"/>
              </w:rPr>
              <w:t>否</w:t>
            </w:r>
          </w:p>
        </w:tc>
      </w:tr>
      <w:tr w:rsidR="00F53510">
        <w:tc>
          <w:tcPr>
            <w:tcW w:w="817" w:type="dxa"/>
            <w:vAlign w:val="center"/>
          </w:tcPr>
          <w:p w:rsidR="00F53510" w:rsidRDefault="00133535">
            <w:pPr>
              <w:jc w:val="center"/>
            </w:pPr>
            <w:r>
              <w:rPr>
                <w:sz w:val="24"/>
              </w:rPr>
              <w:t>9</w:t>
            </w:r>
          </w:p>
        </w:tc>
        <w:tc>
          <w:tcPr>
            <w:tcW w:w="1133" w:type="dxa"/>
            <w:vAlign w:val="center"/>
          </w:tcPr>
          <w:p w:rsidR="00F53510" w:rsidRDefault="00133535">
            <w:pPr>
              <w:jc w:val="center"/>
            </w:pPr>
            <w:r>
              <w:rPr>
                <w:sz w:val="24"/>
              </w:rPr>
              <w:t>512170</w:t>
            </w:r>
          </w:p>
        </w:tc>
        <w:tc>
          <w:tcPr>
            <w:tcW w:w="1135" w:type="dxa"/>
            <w:vAlign w:val="center"/>
          </w:tcPr>
          <w:p w:rsidR="00F53510" w:rsidRDefault="00133535">
            <w:pPr>
              <w:jc w:val="center"/>
            </w:pPr>
            <w:r>
              <w:rPr>
                <w:sz w:val="24"/>
              </w:rPr>
              <w:t>华宝中证医疗</w:t>
            </w:r>
            <w:r>
              <w:rPr>
                <w:sz w:val="24"/>
              </w:rPr>
              <w:t>ETF</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3,569,700.00</w:t>
            </w:r>
          </w:p>
        </w:tc>
        <w:tc>
          <w:tcPr>
            <w:tcW w:w="1276" w:type="dxa"/>
            <w:vAlign w:val="center"/>
          </w:tcPr>
          <w:p w:rsidR="00F53510" w:rsidRDefault="00133535">
            <w:pPr>
              <w:jc w:val="center"/>
            </w:pPr>
            <w:r>
              <w:rPr>
                <w:sz w:val="24"/>
              </w:rPr>
              <w:t>1,509,983.10</w:t>
            </w:r>
          </w:p>
        </w:tc>
        <w:tc>
          <w:tcPr>
            <w:tcW w:w="1135" w:type="dxa"/>
            <w:vAlign w:val="center"/>
          </w:tcPr>
          <w:p w:rsidR="00F53510" w:rsidRDefault="00133535">
            <w:pPr>
              <w:jc w:val="center"/>
            </w:pPr>
            <w:r>
              <w:rPr>
                <w:sz w:val="24"/>
              </w:rPr>
              <w:t>3.28%</w:t>
            </w:r>
          </w:p>
        </w:tc>
        <w:tc>
          <w:tcPr>
            <w:tcW w:w="1272" w:type="dxa"/>
            <w:vAlign w:val="center"/>
          </w:tcPr>
          <w:p w:rsidR="00F53510" w:rsidRDefault="00133535">
            <w:pPr>
              <w:jc w:val="center"/>
            </w:pPr>
            <w:r>
              <w:rPr>
                <w:sz w:val="24"/>
              </w:rPr>
              <w:t>否</w:t>
            </w:r>
          </w:p>
        </w:tc>
      </w:tr>
      <w:tr w:rsidR="00F53510">
        <w:tc>
          <w:tcPr>
            <w:tcW w:w="817" w:type="dxa"/>
            <w:vAlign w:val="center"/>
          </w:tcPr>
          <w:p w:rsidR="00F53510" w:rsidRDefault="00133535">
            <w:pPr>
              <w:jc w:val="center"/>
            </w:pPr>
            <w:r>
              <w:rPr>
                <w:sz w:val="24"/>
              </w:rPr>
              <w:t>10</w:t>
            </w:r>
          </w:p>
        </w:tc>
        <w:tc>
          <w:tcPr>
            <w:tcW w:w="1133" w:type="dxa"/>
            <w:vAlign w:val="center"/>
          </w:tcPr>
          <w:p w:rsidR="00F53510" w:rsidRDefault="00133535">
            <w:pPr>
              <w:jc w:val="center"/>
            </w:pPr>
            <w:r>
              <w:rPr>
                <w:sz w:val="24"/>
              </w:rPr>
              <w:t>512800</w:t>
            </w:r>
          </w:p>
        </w:tc>
        <w:tc>
          <w:tcPr>
            <w:tcW w:w="1135" w:type="dxa"/>
            <w:vAlign w:val="center"/>
          </w:tcPr>
          <w:p w:rsidR="00F53510" w:rsidRDefault="00133535">
            <w:pPr>
              <w:jc w:val="center"/>
            </w:pPr>
            <w:r>
              <w:rPr>
                <w:sz w:val="24"/>
              </w:rPr>
              <w:t>华宝中证银行</w:t>
            </w:r>
            <w:r>
              <w:rPr>
                <w:sz w:val="24"/>
              </w:rPr>
              <w:t>ETF</w:t>
            </w:r>
          </w:p>
        </w:tc>
        <w:tc>
          <w:tcPr>
            <w:tcW w:w="1135" w:type="dxa"/>
            <w:vAlign w:val="center"/>
          </w:tcPr>
          <w:p w:rsidR="00F53510" w:rsidRDefault="00133535">
            <w:pPr>
              <w:jc w:val="center"/>
            </w:pPr>
            <w:r>
              <w:rPr>
                <w:sz w:val="24"/>
              </w:rPr>
              <w:t>契约型开放式</w:t>
            </w:r>
          </w:p>
        </w:tc>
        <w:tc>
          <w:tcPr>
            <w:tcW w:w="1133" w:type="dxa"/>
            <w:vAlign w:val="center"/>
          </w:tcPr>
          <w:p w:rsidR="00F53510" w:rsidRDefault="00133535">
            <w:pPr>
              <w:jc w:val="center"/>
            </w:pPr>
            <w:r>
              <w:rPr>
                <w:sz w:val="24"/>
              </w:rPr>
              <w:t>1,361,900.00</w:t>
            </w:r>
          </w:p>
        </w:tc>
        <w:tc>
          <w:tcPr>
            <w:tcW w:w="1276" w:type="dxa"/>
            <w:vAlign w:val="center"/>
          </w:tcPr>
          <w:p w:rsidR="00F53510" w:rsidRDefault="00133535">
            <w:pPr>
              <w:jc w:val="center"/>
            </w:pPr>
            <w:r>
              <w:rPr>
                <w:sz w:val="24"/>
              </w:rPr>
              <w:t>1,462,680.60</w:t>
            </w:r>
          </w:p>
        </w:tc>
        <w:tc>
          <w:tcPr>
            <w:tcW w:w="1135" w:type="dxa"/>
            <w:vAlign w:val="center"/>
          </w:tcPr>
          <w:p w:rsidR="00F53510" w:rsidRDefault="00133535">
            <w:pPr>
              <w:jc w:val="center"/>
            </w:pPr>
            <w:r>
              <w:rPr>
                <w:sz w:val="24"/>
              </w:rPr>
              <w:t>3.18%</w:t>
            </w:r>
          </w:p>
        </w:tc>
        <w:tc>
          <w:tcPr>
            <w:tcW w:w="1272" w:type="dxa"/>
            <w:vAlign w:val="center"/>
          </w:tcPr>
          <w:p w:rsidR="00F53510" w:rsidRDefault="00133535">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10,396.04</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1,414.60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1,082.80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2,288.68</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105,910.75</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20,119.72</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18,257.46</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3,407.13</w:t>
            </w:r>
          </w:p>
        </w:tc>
      </w:tr>
      <w:tr w:rsidR="00F53510">
        <w:tc>
          <w:tcPr>
            <w:tcW w:w="3012" w:type="dxa"/>
            <w:vAlign w:val="center"/>
          </w:tcPr>
          <w:p w:rsidR="00F53510" w:rsidRDefault="00133535">
            <w:pPr>
              <w:jc w:val="left"/>
            </w:pPr>
            <w:r>
              <w:rPr>
                <w:rFonts w:eastAsiaTheme="minorEastAsia"/>
                <w:color w:val="000000" w:themeColor="text1"/>
                <w:sz w:val="24"/>
              </w:rPr>
              <w:t>当期交易基金产生的交易费（元）</w:t>
            </w:r>
          </w:p>
        </w:tc>
        <w:tc>
          <w:tcPr>
            <w:tcW w:w="3012" w:type="dxa"/>
            <w:vAlign w:val="center"/>
          </w:tcPr>
          <w:p w:rsidR="00F53510" w:rsidRDefault="00133535">
            <w:pPr>
              <w:jc w:val="right"/>
            </w:pPr>
            <w:r>
              <w:rPr>
                <w:rFonts w:eastAsiaTheme="minorEastAsia"/>
                <w:color w:val="000000" w:themeColor="text1"/>
                <w:sz w:val="24"/>
              </w:rPr>
              <w:t>1,236.31</w:t>
            </w:r>
          </w:p>
        </w:tc>
        <w:tc>
          <w:tcPr>
            <w:tcW w:w="3012" w:type="dxa"/>
            <w:vAlign w:val="center"/>
          </w:tcPr>
          <w:p w:rsidR="00F53510" w:rsidRDefault="00133535">
            <w:pPr>
              <w:jc w:val="right"/>
            </w:pPr>
            <w:r>
              <w:rPr>
                <w:rFonts w:eastAsiaTheme="minorEastAsia"/>
                <w:color w:val="000000" w:themeColor="text1"/>
                <w:sz w:val="24"/>
              </w:rPr>
              <w:t>-</w:t>
            </w:r>
          </w:p>
        </w:tc>
      </w:tr>
      <w:tr w:rsidR="00F53510">
        <w:tc>
          <w:tcPr>
            <w:tcW w:w="3012" w:type="dxa"/>
            <w:vAlign w:val="center"/>
          </w:tcPr>
          <w:p w:rsidR="00F53510" w:rsidRDefault="00133535">
            <w:pPr>
              <w:jc w:val="left"/>
            </w:pPr>
            <w:r>
              <w:rPr>
                <w:rFonts w:eastAsiaTheme="minorEastAsia"/>
                <w:color w:val="000000" w:themeColor="text1"/>
                <w:sz w:val="24"/>
              </w:rPr>
              <w:t>当期交易基金产生的转换费（元）</w:t>
            </w:r>
          </w:p>
        </w:tc>
        <w:tc>
          <w:tcPr>
            <w:tcW w:w="3012" w:type="dxa"/>
            <w:vAlign w:val="center"/>
          </w:tcPr>
          <w:p w:rsidR="00F53510" w:rsidRDefault="00133535">
            <w:pPr>
              <w:jc w:val="right"/>
            </w:pPr>
            <w:r>
              <w:rPr>
                <w:rFonts w:eastAsiaTheme="minorEastAsia"/>
                <w:color w:val="000000" w:themeColor="text1"/>
                <w:sz w:val="24"/>
              </w:rPr>
              <w:t>5,185.04</w:t>
            </w:r>
          </w:p>
        </w:tc>
        <w:tc>
          <w:tcPr>
            <w:tcW w:w="3012" w:type="dxa"/>
            <w:vAlign w:val="center"/>
          </w:tcPr>
          <w:p w:rsidR="00F53510" w:rsidRDefault="00133535">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摩根尚睿混合</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35,163,193.02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1,805,184.23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1,271,266.65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374,362.14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1,038,548.72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57,978.07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35,395,910.95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2,121,568.30</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（二）摩根尚睿混合型基金中基金</w:t>
      </w:r>
      <w:r>
        <w:rPr>
          <w:rFonts w:eastAsiaTheme="minorEastAsia"/>
          <w:color w:val="000000" w:themeColor="text1"/>
          <w:szCs w:val="21"/>
        </w:rPr>
        <w:t>(FOF)</w:t>
      </w:r>
      <w:r>
        <w:rPr>
          <w:rFonts w:eastAsiaTheme="minorEastAsia"/>
          <w:color w:val="000000" w:themeColor="text1"/>
          <w:szCs w:val="21"/>
        </w:rPr>
        <w:t>基金合同</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（三）摩根尚睿混合型基金中基金</w:t>
      </w:r>
      <w:r>
        <w:rPr>
          <w:rFonts w:eastAsiaTheme="minorEastAsia"/>
          <w:color w:val="000000" w:themeColor="text1"/>
          <w:szCs w:val="21"/>
        </w:rPr>
        <w:t>(FOF)</w:t>
      </w:r>
      <w:r>
        <w:rPr>
          <w:rFonts w:eastAsiaTheme="minorEastAsia"/>
          <w:color w:val="000000" w:themeColor="text1"/>
          <w:szCs w:val="21"/>
        </w:rPr>
        <w:t>托管协议</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F53510" w:rsidRDefault="00133535">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3C" w:rsidRDefault="00BA623C">
      <w:r>
        <w:separator/>
      </w:r>
    </w:p>
  </w:endnote>
  <w:endnote w:type="continuationSeparator" w:id="0">
    <w:p w:rsidR="00BA623C" w:rsidRDefault="00BA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A65C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A65C4">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A65C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3C" w:rsidRDefault="00BA623C">
      <w:r>
        <w:separator/>
      </w:r>
    </w:p>
  </w:footnote>
  <w:footnote w:type="continuationSeparator" w:id="0">
    <w:p w:rsidR="00BA623C" w:rsidRDefault="00BA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摩根尚睿混合型基金中基金</w:t>
    </w:r>
    <w:r>
      <w:t>(FOF)2023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3535"/>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65C4"/>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4A5B"/>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3510"/>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33FC6-5D61-4A9D-A80D-91CC7EB8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29</TotalTime>
  <Pages>16</Pages>
  <Words>1373</Words>
  <Characters>7830</Characters>
  <Application>Microsoft Office Word</Application>
  <DocSecurity>0</DocSecurity>
  <Lines>65</Lines>
  <Paragraphs>18</Paragraphs>
  <ScaleCrop>false</ScaleCrop>
  <Company>TRT. Ltd. Co.</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225</cp:revision>
  <cp:lastPrinted>2007-07-19T00:46:00Z</cp:lastPrinted>
  <dcterms:created xsi:type="dcterms:W3CDTF">2013-06-21T06:56:00Z</dcterms:created>
  <dcterms:modified xsi:type="dcterms:W3CDTF">2023-07-20T05:43:00Z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