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上投摩根尚睿混合型基金中基金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2021</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2021</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DD1B75" w:rsidRDefault="004061AC" w:rsidP="00C15CAC">
      <w:pPr>
        <w:spacing w:before="29" w:line="288" w:lineRule="auto"/>
        <w:jc w:val="center"/>
        <w:rPr>
          <w:b/>
          <w:bCs/>
          <w:color w:val="000000"/>
          <w:sz w:val="24"/>
          <w:szCs w:val="24"/>
        </w:rPr>
      </w:pPr>
      <w:bookmarkStart w:id="0" w:name="_GoBack"/>
      <w:bookmarkEnd w:id="0"/>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基金管理人：上投摩根基金管理有限公司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00E6E" w:rsidRDefault="002C14C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00E6E" w:rsidRDefault="002C14CD">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2021</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00E6E" w:rsidRDefault="002C14C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00E6E" w:rsidRDefault="002C14C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00E6E" w:rsidRDefault="002C14C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2021</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上投摩根尚睿混合</w:t>
            </w:r>
            <w:r w:rsidRPr="00414345">
              <w:rPr>
                <w:color w:val="000000"/>
                <w:kern w:val="0"/>
                <w:sz w:val="24"/>
                <w:szCs w:val="24"/>
              </w:rPr>
              <w:t>(FOF)</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006042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006042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17,123,707.75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通过优选基金，并结合严格的风险控制，实现基金资产的长期稳健增值。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B00E6E" w:rsidRDefault="002C14CD">
            <w:pPr>
              <w:adjustRightInd w:val="0"/>
              <w:spacing w:before="29" w:line="288" w:lineRule="auto"/>
              <w:ind w:left="17"/>
              <w:jc w:val="left"/>
              <w:rPr>
                <w:color w:val="000000"/>
                <w:sz w:val="24"/>
                <w:szCs w:val="24"/>
              </w:rPr>
            </w:pPr>
            <w:r>
              <w:rPr>
                <w:color w:val="000000"/>
                <w:kern w:val="0"/>
                <w:sz w:val="24"/>
                <w:szCs w:val="24"/>
              </w:rPr>
              <w:t>1</w:t>
            </w:r>
            <w:r>
              <w:rPr>
                <w:color w:val="000000"/>
                <w:kern w:val="0"/>
                <w:sz w:val="24"/>
                <w:szCs w:val="24"/>
              </w:rPr>
              <w:t>、资产配置策略</w:t>
            </w:r>
          </w:p>
          <w:p w:rsidR="00B00E6E" w:rsidRDefault="002C14CD">
            <w:pPr>
              <w:adjustRightInd w:val="0"/>
              <w:spacing w:before="29" w:line="288" w:lineRule="auto"/>
              <w:ind w:left="17"/>
              <w:jc w:val="left"/>
              <w:rPr>
                <w:color w:val="000000"/>
                <w:sz w:val="24"/>
                <w:szCs w:val="24"/>
              </w:rPr>
            </w:pPr>
            <w:r>
              <w:rPr>
                <w:color w:val="000000"/>
                <w:kern w:val="0"/>
                <w:sz w:val="24"/>
                <w:szCs w:val="24"/>
              </w:rPr>
              <w:t>在大类资产配置上，结合产品定位、风险收益特征以及管理人的长期资本市场观点确定基金的资产配置方案。</w:t>
            </w:r>
          </w:p>
          <w:p w:rsidR="00B00E6E" w:rsidRDefault="002C14CD">
            <w:pPr>
              <w:adjustRightInd w:val="0"/>
              <w:spacing w:before="29" w:line="288" w:lineRule="auto"/>
              <w:ind w:left="17"/>
              <w:jc w:val="left"/>
              <w:rPr>
                <w:color w:val="000000"/>
                <w:sz w:val="24"/>
                <w:szCs w:val="24"/>
              </w:rPr>
            </w:pPr>
            <w:r>
              <w:rPr>
                <w:color w:val="000000"/>
                <w:kern w:val="0"/>
                <w:sz w:val="24"/>
                <w:szCs w:val="24"/>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大类资产的长期战略配置比例。</w:t>
            </w:r>
          </w:p>
          <w:p w:rsidR="00B00E6E" w:rsidRDefault="002C14CD">
            <w:pPr>
              <w:adjustRightInd w:val="0"/>
              <w:spacing w:before="29" w:line="288" w:lineRule="auto"/>
              <w:ind w:left="17"/>
              <w:jc w:val="left"/>
              <w:rPr>
                <w:color w:val="000000"/>
                <w:sz w:val="24"/>
                <w:szCs w:val="24"/>
              </w:rPr>
            </w:pPr>
            <w:r>
              <w:rPr>
                <w:color w:val="000000"/>
                <w:kern w:val="0"/>
                <w:sz w:val="24"/>
                <w:szCs w:val="24"/>
              </w:rPr>
              <w:t>密切关注市场风险的变化以及各资产类别的风险收益</w:t>
            </w:r>
            <w:r>
              <w:rPr>
                <w:color w:val="000000"/>
                <w:kern w:val="0"/>
                <w:sz w:val="24"/>
                <w:szCs w:val="24"/>
              </w:rPr>
              <w:lastRenderedPageBreak/>
              <w:t>的相对变化趋势，适度调整中长期战略配置比例。当资本市场发生重大变化且管理人认为将影响各类资产的预期时，根据实际情况调整资产配置比例。</w:t>
            </w:r>
          </w:p>
          <w:p w:rsidR="00B00E6E" w:rsidRDefault="002C14CD">
            <w:pPr>
              <w:adjustRightInd w:val="0"/>
              <w:spacing w:before="29" w:line="288" w:lineRule="auto"/>
              <w:ind w:left="17"/>
              <w:jc w:val="left"/>
              <w:rPr>
                <w:color w:val="000000"/>
                <w:sz w:val="24"/>
                <w:szCs w:val="24"/>
              </w:rPr>
            </w:pPr>
            <w:r>
              <w:rPr>
                <w:color w:val="000000"/>
                <w:kern w:val="0"/>
                <w:sz w:val="24"/>
                <w:szCs w:val="24"/>
              </w:rPr>
              <w:t>2</w:t>
            </w:r>
            <w:r>
              <w:rPr>
                <w:color w:val="000000"/>
                <w:kern w:val="0"/>
                <w:sz w:val="24"/>
                <w:szCs w:val="24"/>
              </w:rPr>
              <w:t>、主动管理型基金投资策略</w:t>
            </w:r>
          </w:p>
          <w:p w:rsidR="00B00E6E" w:rsidRDefault="002C14CD">
            <w:pPr>
              <w:adjustRightInd w:val="0"/>
              <w:spacing w:before="29" w:line="288" w:lineRule="auto"/>
              <w:ind w:left="17"/>
              <w:jc w:val="left"/>
              <w:rPr>
                <w:color w:val="000000"/>
                <w:sz w:val="24"/>
                <w:szCs w:val="24"/>
              </w:rPr>
            </w:pPr>
            <w:r>
              <w:rPr>
                <w:color w:val="000000"/>
                <w:kern w:val="0"/>
                <w:sz w:val="24"/>
                <w:szCs w:val="24"/>
              </w:rPr>
              <w:t>综合运用定量分析和定性分析的方式，通过层层筛选，优选能持续创造超额收益的基金构建投资组合。</w:t>
            </w:r>
          </w:p>
          <w:p w:rsidR="00B00E6E" w:rsidRDefault="002C14CD">
            <w:pPr>
              <w:adjustRightInd w:val="0"/>
              <w:spacing w:before="29" w:line="288" w:lineRule="auto"/>
              <w:ind w:left="17"/>
              <w:jc w:val="left"/>
              <w:rPr>
                <w:color w:val="000000"/>
                <w:sz w:val="24"/>
                <w:szCs w:val="24"/>
              </w:rPr>
            </w:pPr>
            <w:r>
              <w:rPr>
                <w:color w:val="000000"/>
                <w:kern w:val="0"/>
                <w:sz w:val="24"/>
                <w:szCs w:val="24"/>
              </w:rPr>
              <w:t>首先，通过初步的定量指标筛选出历史业绩表现良好、规模适中、流动性较好的基金。在初步筛选的基础上，进一步通过尽职调查在基金管理公司层面进行考察，形成基金筛选基础池。</w:t>
            </w:r>
          </w:p>
          <w:p w:rsidR="00B00E6E" w:rsidRDefault="002C14CD">
            <w:pPr>
              <w:adjustRightInd w:val="0"/>
              <w:spacing w:before="29" w:line="288" w:lineRule="auto"/>
              <w:ind w:left="17"/>
              <w:jc w:val="left"/>
              <w:rPr>
                <w:color w:val="000000"/>
                <w:sz w:val="24"/>
                <w:szCs w:val="24"/>
              </w:rPr>
            </w:pPr>
            <w:r>
              <w:rPr>
                <w:color w:val="000000"/>
                <w:kern w:val="0"/>
                <w:sz w:val="24"/>
                <w:szCs w:val="24"/>
              </w:rPr>
              <w:t>其次，结合尽职调查结果以及公开数据，对基金经理进行深度访谈，筛选后将不同投资风格</w:t>
            </w:r>
            <w:r>
              <w:rPr>
                <w:color w:val="000000"/>
                <w:kern w:val="0"/>
                <w:sz w:val="24"/>
                <w:szCs w:val="24"/>
              </w:rPr>
              <w:t>/</w:t>
            </w:r>
            <w:r>
              <w:rPr>
                <w:color w:val="000000"/>
                <w:kern w:val="0"/>
                <w:sz w:val="24"/>
                <w:szCs w:val="24"/>
              </w:rPr>
              <w:t>策略的代表性基金列入未来基金构建投资组合的核心池。</w:t>
            </w:r>
          </w:p>
          <w:p w:rsidR="00B00E6E" w:rsidRDefault="002C14CD">
            <w:pPr>
              <w:adjustRightInd w:val="0"/>
              <w:spacing w:before="29" w:line="288" w:lineRule="auto"/>
              <w:ind w:left="17"/>
              <w:jc w:val="left"/>
              <w:rPr>
                <w:color w:val="000000"/>
                <w:sz w:val="24"/>
                <w:szCs w:val="24"/>
              </w:rPr>
            </w:pPr>
            <w:r>
              <w:rPr>
                <w:color w:val="000000"/>
                <w:kern w:val="0"/>
                <w:sz w:val="24"/>
                <w:szCs w:val="24"/>
              </w:rPr>
              <w:t>本基金目前将主要投资于本基金管理人旗下的公募基金，并根据定量及定性分析策略优选标的基金。未来本基金管理人本着审慎尽职的原则，可将投资范围逐步扩展至其他管理人旗下的公募基金。</w:t>
            </w:r>
          </w:p>
          <w:p w:rsidR="00B00E6E" w:rsidRDefault="002C14CD">
            <w:pPr>
              <w:adjustRightInd w:val="0"/>
              <w:spacing w:before="29" w:line="288" w:lineRule="auto"/>
              <w:ind w:left="17"/>
              <w:jc w:val="left"/>
              <w:rPr>
                <w:color w:val="000000"/>
                <w:sz w:val="24"/>
                <w:szCs w:val="24"/>
              </w:rPr>
            </w:pPr>
            <w:r>
              <w:rPr>
                <w:color w:val="000000"/>
                <w:kern w:val="0"/>
                <w:sz w:val="24"/>
                <w:szCs w:val="24"/>
              </w:rPr>
              <w:t>3</w:t>
            </w:r>
            <w:r>
              <w:rPr>
                <w:color w:val="000000"/>
                <w:kern w:val="0"/>
                <w:sz w:val="24"/>
                <w:szCs w:val="24"/>
              </w:rPr>
              <w:t>、指数基金投资策略</w:t>
            </w:r>
          </w:p>
          <w:p w:rsidR="00B00E6E" w:rsidRDefault="002C14CD">
            <w:pPr>
              <w:adjustRightInd w:val="0"/>
              <w:spacing w:before="29" w:line="288" w:lineRule="auto"/>
              <w:ind w:left="17"/>
              <w:jc w:val="left"/>
              <w:rPr>
                <w:color w:val="000000"/>
                <w:sz w:val="24"/>
                <w:szCs w:val="24"/>
              </w:rPr>
            </w:pPr>
            <w:r>
              <w:rPr>
                <w:color w:val="000000"/>
                <w:kern w:val="0"/>
                <w:sz w:val="24"/>
                <w:szCs w:val="24"/>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rsidR="00B00E6E" w:rsidRDefault="002C14CD">
            <w:pPr>
              <w:adjustRightInd w:val="0"/>
              <w:spacing w:before="29" w:line="288" w:lineRule="auto"/>
              <w:ind w:left="17"/>
              <w:jc w:val="left"/>
              <w:rPr>
                <w:color w:val="000000"/>
                <w:sz w:val="24"/>
                <w:szCs w:val="24"/>
              </w:rPr>
            </w:pPr>
            <w:r>
              <w:rPr>
                <w:color w:val="000000"/>
                <w:kern w:val="0"/>
                <w:sz w:val="24"/>
                <w:szCs w:val="24"/>
              </w:rPr>
              <w:t>4</w:t>
            </w:r>
            <w:r>
              <w:rPr>
                <w:color w:val="000000"/>
                <w:kern w:val="0"/>
                <w:sz w:val="24"/>
                <w:szCs w:val="24"/>
              </w:rPr>
              <w:t>、债券投资策略</w:t>
            </w:r>
          </w:p>
          <w:p w:rsidR="00B00E6E" w:rsidRDefault="002C14CD">
            <w:pPr>
              <w:adjustRightInd w:val="0"/>
              <w:spacing w:before="29" w:line="288" w:lineRule="auto"/>
              <w:ind w:left="17"/>
              <w:jc w:val="left"/>
              <w:rPr>
                <w:color w:val="000000"/>
                <w:sz w:val="24"/>
                <w:szCs w:val="24"/>
              </w:rPr>
            </w:pPr>
            <w:r>
              <w:rPr>
                <w:color w:val="000000"/>
                <w:kern w:val="0"/>
                <w:sz w:val="24"/>
                <w:szCs w:val="24"/>
              </w:rPr>
              <w:t>结合不同债券品种的到期收益率、流动性、市场规模等情况，并根据对债券收益率曲线形态、息差变化的预测，对债券组合进行动态调整。</w:t>
            </w:r>
          </w:p>
          <w:p w:rsidR="00B00E6E" w:rsidRDefault="002C14CD">
            <w:pPr>
              <w:adjustRightInd w:val="0"/>
              <w:spacing w:before="29" w:line="288" w:lineRule="auto"/>
              <w:ind w:left="17"/>
              <w:jc w:val="left"/>
              <w:rPr>
                <w:color w:val="000000"/>
                <w:sz w:val="24"/>
                <w:szCs w:val="24"/>
              </w:rPr>
            </w:pPr>
            <w:r>
              <w:rPr>
                <w:color w:val="000000"/>
                <w:kern w:val="0"/>
                <w:sz w:val="24"/>
                <w:szCs w:val="24"/>
              </w:rPr>
              <w:t>5</w:t>
            </w:r>
            <w:r>
              <w:rPr>
                <w:color w:val="000000"/>
                <w:kern w:val="0"/>
                <w:sz w:val="24"/>
                <w:szCs w:val="24"/>
              </w:rPr>
              <w:t>、中小企业私募债投资策略</w:t>
            </w:r>
          </w:p>
          <w:p w:rsidR="00B00E6E" w:rsidRDefault="002C14CD">
            <w:pPr>
              <w:adjustRightInd w:val="0"/>
              <w:spacing w:before="29" w:line="288" w:lineRule="auto"/>
              <w:ind w:left="17"/>
              <w:jc w:val="left"/>
              <w:rPr>
                <w:color w:val="000000"/>
                <w:sz w:val="24"/>
                <w:szCs w:val="24"/>
              </w:rPr>
            </w:pPr>
            <w:r>
              <w:rPr>
                <w:color w:val="000000"/>
                <w:kern w:val="0"/>
                <w:sz w:val="24"/>
                <w:szCs w:val="24"/>
              </w:rPr>
              <w:t>本基金对中小企业私募债的投资主要从自上而下判断景气周期和自下而上精选标的两个角度出发，结合信用分析和信用评估进行。</w:t>
            </w:r>
          </w:p>
          <w:p w:rsidR="00B00E6E" w:rsidRDefault="002C14CD">
            <w:pPr>
              <w:adjustRightInd w:val="0"/>
              <w:spacing w:before="29" w:line="288" w:lineRule="auto"/>
              <w:ind w:left="17"/>
              <w:jc w:val="left"/>
              <w:rPr>
                <w:color w:val="000000"/>
                <w:sz w:val="24"/>
                <w:szCs w:val="24"/>
              </w:rPr>
            </w:pPr>
            <w:r>
              <w:rPr>
                <w:color w:val="000000"/>
                <w:kern w:val="0"/>
                <w:sz w:val="24"/>
                <w:szCs w:val="24"/>
              </w:rPr>
              <w:t>6</w:t>
            </w:r>
            <w:r>
              <w:rPr>
                <w:color w:val="000000"/>
                <w:kern w:val="0"/>
                <w:sz w:val="24"/>
                <w:szCs w:val="24"/>
              </w:rPr>
              <w:t>、证券公司短期公司债投资策略</w:t>
            </w:r>
          </w:p>
          <w:p w:rsidR="00B00E6E" w:rsidRDefault="002C14CD">
            <w:pPr>
              <w:adjustRightInd w:val="0"/>
              <w:spacing w:before="29" w:line="288" w:lineRule="auto"/>
              <w:ind w:left="17"/>
              <w:jc w:val="left"/>
              <w:rPr>
                <w:color w:val="000000"/>
                <w:sz w:val="24"/>
                <w:szCs w:val="24"/>
              </w:rPr>
            </w:pPr>
            <w:r>
              <w:rPr>
                <w:color w:val="000000"/>
                <w:kern w:val="0"/>
                <w:sz w:val="24"/>
                <w:szCs w:val="24"/>
              </w:rPr>
              <w:t>主要从分析证券行业整体情况、证券公司基本面情况入手，分析证券公司短期公司债券的违约风险及合理的利差水平，对其进行独立、客观的价值评估。</w:t>
            </w:r>
          </w:p>
          <w:p w:rsidR="00B00E6E" w:rsidRDefault="002C14CD">
            <w:pPr>
              <w:adjustRightInd w:val="0"/>
              <w:spacing w:before="29" w:line="288" w:lineRule="auto"/>
              <w:ind w:left="17"/>
              <w:jc w:val="left"/>
              <w:rPr>
                <w:color w:val="000000"/>
                <w:sz w:val="24"/>
                <w:szCs w:val="24"/>
              </w:rPr>
            </w:pPr>
            <w:r>
              <w:rPr>
                <w:color w:val="000000"/>
                <w:kern w:val="0"/>
                <w:sz w:val="24"/>
                <w:szCs w:val="24"/>
              </w:rPr>
              <w:lastRenderedPageBreak/>
              <w:t>7</w:t>
            </w:r>
            <w:r>
              <w:rPr>
                <w:color w:val="000000"/>
                <w:kern w:val="0"/>
                <w:sz w:val="24"/>
                <w:szCs w:val="24"/>
              </w:rPr>
              <w:t>、资产支持证券投资策略</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综合考虑市场利率、发行条款、支持资产的构成及质量等因素，对资产支持证券的风险与收益状况进行评估，确定资产合理配置比例。</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本基金的业绩比较基准为：中证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B00E6E" w:rsidRDefault="002C14CD">
            <w:pPr>
              <w:adjustRightInd w:val="0"/>
              <w:spacing w:before="29" w:line="288" w:lineRule="auto"/>
              <w:ind w:left="17"/>
              <w:jc w:val="left"/>
              <w:rPr>
                <w:color w:val="000000"/>
                <w:sz w:val="24"/>
                <w:szCs w:val="24"/>
              </w:rPr>
            </w:pPr>
            <w:r>
              <w:rPr>
                <w:color w:val="000000"/>
                <w:kern w:val="0"/>
                <w:sz w:val="24"/>
                <w:szCs w:val="24"/>
              </w:rPr>
              <w:t>本基金属于混合型基金中基金，预期风险和收益水平低于股票型基金，高于债券型和货币市场基金，属于较高风险收益水平的基金产品。</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w:t>
            </w:r>
            <w:r w:rsidRPr="00414345">
              <w:rPr>
                <w:color w:val="000000"/>
                <w:kern w:val="0"/>
                <w:sz w:val="24"/>
                <w:szCs w:val="24"/>
              </w:rPr>
              <w:t>2017</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上投摩根基金管理有限公司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C14CD" w:rsidRPr="00414345" w:rsidTr="002C14C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(2021</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-2021</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C14CD" w:rsidRPr="00414345" w:rsidTr="002C14C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844,434.18</w:t>
            </w:r>
          </w:p>
        </w:tc>
      </w:tr>
      <w:tr w:rsidR="002C14CD" w:rsidRPr="00414345" w:rsidTr="002C14C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1,407,489.23</w:t>
            </w:r>
          </w:p>
        </w:tc>
      </w:tr>
      <w:tr w:rsidR="002C14CD" w:rsidRPr="00414345" w:rsidTr="002C14C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0.0768</w:t>
            </w:r>
          </w:p>
        </w:tc>
      </w:tr>
      <w:tr w:rsidR="002C14CD" w:rsidRPr="00414345" w:rsidTr="002C14C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26,086,715.00</w:t>
            </w:r>
          </w:p>
        </w:tc>
      </w:tr>
      <w:tr w:rsidR="002C14CD" w:rsidRPr="00414345" w:rsidTr="002C14C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1.5234</w:t>
            </w:r>
          </w:p>
        </w:tc>
      </w:tr>
    </w:tbl>
    <w:p w:rsidR="00B00E6E" w:rsidRDefault="002C14CD">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00E6E">
        <w:trPr>
          <w:jc w:val="center"/>
        </w:trPr>
        <w:tc>
          <w:tcPr>
            <w:tcW w:w="1701" w:type="dxa"/>
            <w:vAlign w:val="center"/>
          </w:tcPr>
          <w:p w:rsidR="00B00E6E" w:rsidRDefault="002C14CD">
            <w:pPr>
              <w:jc w:val="left"/>
            </w:pPr>
            <w:r>
              <w:rPr>
                <w:color w:val="000000"/>
                <w:sz w:val="24"/>
                <w:szCs w:val="24"/>
              </w:rPr>
              <w:t>过去三个月</w:t>
            </w:r>
          </w:p>
        </w:tc>
        <w:tc>
          <w:tcPr>
            <w:tcW w:w="1045" w:type="dxa"/>
            <w:vAlign w:val="center"/>
          </w:tcPr>
          <w:p w:rsidR="00B00E6E" w:rsidRDefault="002C14CD">
            <w:pPr>
              <w:jc w:val="center"/>
            </w:pPr>
            <w:r>
              <w:rPr>
                <w:color w:val="000000"/>
                <w:sz w:val="24"/>
                <w:szCs w:val="24"/>
              </w:rPr>
              <w:t>5.29%</w:t>
            </w:r>
          </w:p>
        </w:tc>
        <w:tc>
          <w:tcPr>
            <w:tcW w:w="1344" w:type="dxa"/>
            <w:vAlign w:val="center"/>
          </w:tcPr>
          <w:p w:rsidR="00B00E6E" w:rsidRDefault="002C14CD">
            <w:pPr>
              <w:jc w:val="center"/>
            </w:pPr>
            <w:r>
              <w:rPr>
                <w:color w:val="000000"/>
                <w:sz w:val="24"/>
                <w:szCs w:val="24"/>
              </w:rPr>
              <w:t>0.49%</w:t>
            </w:r>
          </w:p>
        </w:tc>
        <w:tc>
          <w:tcPr>
            <w:tcW w:w="1194" w:type="dxa"/>
            <w:vAlign w:val="center"/>
          </w:tcPr>
          <w:p w:rsidR="00B00E6E" w:rsidRDefault="002C14CD">
            <w:pPr>
              <w:jc w:val="center"/>
            </w:pPr>
            <w:r>
              <w:rPr>
                <w:color w:val="000000"/>
                <w:sz w:val="24"/>
                <w:szCs w:val="24"/>
              </w:rPr>
              <w:t>3.30%</w:t>
            </w:r>
          </w:p>
        </w:tc>
        <w:tc>
          <w:tcPr>
            <w:tcW w:w="1492" w:type="dxa"/>
            <w:vAlign w:val="center"/>
          </w:tcPr>
          <w:p w:rsidR="00B00E6E" w:rsidRDefault="002C14CD">
            <w:pPr>
              <w:jc w:val="center"/>
            </w:pPr>
            <w:r>
              <w:rPr>
                <w:color w:val="000000"/>
                <w:sz w:val="24"/>
                <w:szCs w:val="24"/>
              </w:rPr>
              <w:t>0.53%</w:t>
            </w:r>
          </w:p>
        </w:tc>
        <w:tc>
          <w:tcPr>
            <w:tcW w:w="1194" w:type="dxa"/>
            <w:vAlign w:val="center"/>
          </w:tcPr>
          <w:p w:rsidR="00B00E6E" w:rsidRDefault="002C14CD">
            <w:pPr>
              <w:jc w:val="center"/>
            </w:pPr>
            <w:r>
              <w:rPr>
                <w:color w:val="000000"/>
                <w:sz w:val="24"/>
                <w:szCs w:val="24"/>
              </w:rPr>
              <w:t>1.99%</w:t>
            </w:r>
          </w:p>
        </w:tc>
        <w:tc>
          <w:tcPr>
            <w:tcW w:w="898" w:type="dxa"/>
            <w:vAlign w:val="center"/>
          </w:tcPr>
          <w:p w:rsidR="00B00E6E" w:rsidRDefault="002C14CD">
            <w:pPr>
              <w:jc w:val="center"/>
            </w:pPr>
            <w:r>
              <w:rPr>
                <w:color w:val="000000"/>
                <w:sz w:val="24"/>
                <w:szCs w:val="24"/>
              </w:rPr>
              <w:t>-0.04%</w:t>
            </w:r>
          </w:p>
        </w:tc>
      </w:tr>
      <w:tr w:rsidR="00B00E6E">
        <w:trPr>
          <w:jc w:val="center"/>
        </w:trPr>
        <w:tc>
          <w:tcPr>
            <w:tcW w:w="1701" w:type="dxa"/>
            <w:vAlign w:val="center"/>
          </w:tcPr>
          <w:p w:rsidR="00B00E6E" w:rsidRDefault="002C14CD">
            <w:pPr>
              <w:jc w:val="left"/>
            </w:pPr>
            <w:r>
              <w:rPr>
                <w:color w:val="000000"/>
                <w:sz w:val="24"/>
                <w:szCs w:val="24"/>
              </w:rPr>
              <w:t>过去六个月</w:t>
            </w:r>
          </w:p>
        </w:tc>
        <w:tc>
          <w:tcPr>
            <w:tcW w:w="1045" w:type="dxa"/>
            <w:vAlign w:val="center"/>
          </w:tcPr>
          <w:p w:rsidR="00B00E6E" w:rsidRDefault="002C14CD">
            <w:pPr>
              <w:jc w:val="center"/>
            </w:pPr>
            <w:r>
              <w:rPr>
                <w:color w:val="000000"/>
                <w:sz w:val="24"/>
                <w:szCs w:val="24"/>
              </w:rPr>
              <w:t>6.04%</w:t>
            </w:r>
          </w:p>
        </w:tc>
        <w:tc>
          <w:tcPr>
            <w:tcW w:w="1344" w:type="dxa"/>
            <w:vAlign w:val="center"/>
          </w:tcPr>
          <w:p w:rsidR="00B00E6E" w:rsidRDefault="002C14CD">
            <w:pPr>
              <w:jc w:val="center"/>
            </w:pPr>
            <w:r>
              <w:rPr>
                <w:color w:val="000000"/>
                <w:sz w:val="24"/>
                <w:szCs w:val="24"/>
              </w:rPr>
              <w:t>0.78%</w:t>
            </w:r>
          </w:p>
        </w:tc>
        <w:tc>
          <w:tcPr>
            <w:tcW w:w="1194" w:type="dxa"/>
            <w:vAlign w:val="center"/>
          </w:tcPr>
          <w:p w:rsidR="00B00E6E" w:rsidRDefault="002C14CD">
            <w:pPr>
              <w:jc w:val="center"/>
            </w:pPr>
            <w:r>
              <w:rPr>
                <w:color w:val="000000"/>
                <w:sz w:val="24"/>
                <w:szCs w:val="24"/>
              </w:rPr>
              <w:t>1.91%</w:t>
            </w:r>
          </w:p>
        </w:tc>
        <w:tc>
          <w:tcPr>
            <w:tcW w:w="1492" w:type="dxa"/>
            <w:vAlign w:val="center"/>
          </w:tcPr>
          <w:p w:rsidR="00B00E6E" w:rsidRDefault="002C14CD">
            <w:pPr>
              <w:jc w:val="center"/>
            </w:pPr>
            <w:r>
              <w:rPr>
                <w:color w:val="000000"/>
                <w:sz w:val="24"/>
                <w:szCs w:val="24"/>
              </w:rPr>
              <w:t>0.73%</w:t>
            </w:r>
          </w:p>
        </w:tc>
        <w:tc>
          <w:tcPr>
            <w:tcW w:w="1194" w:type="dxa"/>
            <w:vAlign w:val="center"/>
          </w:tcPr>
          <w:p w:rsidR="00B00E6E" w:rsidRDefault="002C14CD">
            <w:pPr>
              <w:jc w:val="center"/>
            </w:pPr>
            <w:r>
              <w:rPr>
                <w:color w:val="000000"/>
                <w:sz w:val="24"/>
                <w:szCs w:val="24"/>
              </w:rPr>
              <w:t>4.13%</w:t>
            </w:r>
          </w:p>
        </w:tc>
        <w:tc>
          <w:tcPr>
            <w:tcW w:w="898" w:type="dxa"/>
            <w:vAlign w:val="center"/>
          </w:tcPr>
          <w:p w:rsidR="00B00E6E" w:rsidRDefault="002C14CD">
            <w:pPr>
              <w:jc w:val="center"/>
            </w:pPr>
            <w:r>
              <w:rPr>
                <w:color w:val="000000"/>
                <w:sz w:val="24"/>
                <w:szCs w:val="24"/>
              </w:rPr>
              <w:t>0.05%</w:t>
            </w:r>
          </w:p>
        </w:tc>
      </w:tr>
      <w:tr w:rsidR="00B00E6E">
        <w:trPr>
          <w:jc w:val="center"/>
        </w:trPr>
        <w:tc>
          <w:tcPr>
            <w:tcW w:w="1701" w:type="dxa"/>
            <w:vAlign w:val="center"/>
          </w:tcPr>
          <w:p w:rsidR="00B00E6E" w:rsidRDefault="002C14CD">
            <w:pPr>
              <w:jc w:val="left"/>
            </w:pPr>
            <w:r>
              <w:rPr>
                <w:color w:val="000000"/>
                <w:sz w:val="24"/>
                <w:szCs w:val="24"/>
              </w:rPr>
              <w:t>过去一年</w:t>
            </w:r>
          </w:p>
        </w:tc>
        <w:tc>
          <w:tcPr>
            <w:tcW w:w="1045" w:type="dxa"/>
            <w:vAlign w:val="center"/>
          </w:tcPr>
          <w:p w:rsidR="00B00E6E" w:rsidRDefault="002C14CD">
            <w:pPr>
              <w:jc w:val="center"/>
            </w:pPr>
            <w:r>
              <w:rPr>
                <w:color w:val="000000"/>
                <w:sz w:val="24"/>
                <w:szCs w:val="24"/>
              </w:rPr>
              <w:t>20.30%</w:t>
            </w:r>
          </w:p>
        </w:tc>
        <w:tc>
          <w:tcPr>
            <w:tcW w:w="1344" w:type="dxa"/>
            <w:vAlign w:val="center"/>
          </w:tcPr>
          <w:p w:rsidR="00B00E6E" w:rsidRDefault="002C14CD">
            <w:pPr>
              <w:jc w:val="center"/>
            </w:pPr>
            <w:r>
              <w:rPr>
                <w:color w:val="000000"/>
                <w:sz w:val="24"/>
                <w:szCs w:val="24"/>
              </w:rPr>
              <w:t>0.83%</w:t>
            </w:r>
          </w:p>
        </w:tc>
        <w:tc>
          <w:tcPr>
            <w:tcW w:w="1194" w:type="dxa"/>
            <w:vAlign w:val="center"/>
          </w:tcPr>
          <w:p w:rsidR="00B00E6E" w:rsidRDefault="002C14CD">
            <w:pPr>
              <w:jc w:val="center"/>
            </w:pPr>
            <w:r>
              <w:rPr>
                <w:color w:val="000000"/>
                <w:sz w:val="24"/>
                <w:szCs w:val="24"/>
              </w:rPr>
              <w:t>15.00%</w:t>
            </w:r>
          </w:p>
        </w:tc>
        <w:tc>
          <w:tcPr>
            <w:tcW w:w="1492" w:type="dxa"/>
            <w:vAlign w:val="center"/>
          </w:tcPr>
          <w:p w:rsidR="00B00E6E" w:rsidRDefault="002C14CD">
            <w:pPr>
              <w:jc w:val="center"/>
            </w:pPr>
            <w:r>
              <w:rPr>
                <w:color w:val="000000"/>
                <w:sz w:val="24"/>
                <w:szCs w:val="24"/>
              </w:rPr>
              <w:t>0.77%</w:t>
            </w:r>
          </w:p>
        </w:tc>
        <w:tc>
          <w:tcPr>
            <w:tcW w:w="1194" w:type="dxa"/>
            <w:vAlign w:val="center"/>
          </w:tcPr>
          <w:p w:rsidR="00B00E6E" w:rsidRDefault="002C14CD">
            <w:pPr>
              <w:jc w:val="center"/>
            </w:pPr>
            <w:r>
              <w:rPr>
                <w:color w:val="000000"/>
                <w:sz w:val="24"/>
                <w:szCs w:val="24"/>
              </w:rPr>
              <w:t>5.30%</w:t>
            </w:r>
          </w:p>
        </w:tc>
        <w:tc>
          <w:tcPr>
            <w:tcW w:w="898" w:type="dxa"/>
            <w:vAlign w:val="center"/>
          </w:tcPr>
          <w:p w:rsidR="00B00E6E" w:rsidRDefault="002C14CD">
            <w:pPr>
              <w:jc w:val="center"/>
            </w:pPr>
            <w:r>
              <w:rPr>
                <w:color w:val="000000"/>
                <w:sz w:val="24"/>
                <w:szCs w:val="24"/>
              </w:rPr>
              <w:t>0.06%</w:t>
            </w:r>
          </w:p>
        </w:tc>
      </w:tr>
      <w:tr w:rsidR="00B00E6E">
        <w:trPr>
          <w:jc w:val="center"/>
        </w:trPr>
        <w:tc>
          <w:tcPr>
            <w:tcW w:w="1701" w:type="dxa"/>
            <w:vAlign w:val="center"/>
          </w:tcPr>
          <w:p w:rsidR="00B00E6E" w:rsidRDefault="002C14CD">
            <w:pPr>
              <w:jc w:val="left"/>
            </w:pPr>
            <w:r>
              <w:rPr>
                <w:color w:val="000000"/>
                <w:sz w:val="24"/>
                <w:szCs w:val="24"/>
              </w:rPr>
              <w:t>过去三年</w:t>
            </w:r>
          </w:p>
        </w:tc>
        <w:tc>
          <w:tcPr>
            <w:tcW w:w="1045" w:type="dxa"/>
            <w:vAlign w:val="center"/>
          </w:tcPr>
          <w:p w:rsidR="00B00E6E" w:rsidRDefault="002C14CD">
            <w:pPr>
              <w:jc w:val="center"/>
            </w:pPr>
            <w:r>
              <w:rPr>
                <w:color w:val="000000"/>
                <w:sz w:val="24"/>
                <w:szCs w:val="24"/>
              </w:rPr>
              <w:t>-</w:t>
            </w:r>
          </w:p>
        </w:tc>
        <w:tc>
          <w:tcPr>
            <w:tcW w:w="1344" w:type="dxa"/>
            <w:vAlign w:val="center"/>
          </w:tcPr>
          <w:p w:rsidR="00B00E6E" w:rsidRDefault="002C14CD">
            <w:pPr>
              <w:jc w:val="center"/>
            </w:pPr>
            <w:r>
              <w:rPr>
                <w:color w:val="000000"/>
                <w:sz w:val="24"/>
                <w:szCs w:val="24"/>
              </w:rPr>
              <w:t>-</w:t>
            </w:r>
          </w:p>
        </w:tc>
        <w:tc>
          <w:tcPr>
            <w:tcW w:w="1194" w:type="dxa"/>
            <w:vAlign w:val="center"/>
          </w:tcPr>
          <w:p w:rsidR="00B00E6E" w:rsidRDefault="002C14CD">
            <w:pPr>
              <w:jc w:val="center"/>
            </w:pPr>
            <w:r>
              <w:rPr>
                <w:color w:val="000000"/>
                <w:sz w:val="24"/>
                <w:szCs w:val="24"/>
              </w:rPr>
              <w:t>-</w:t>
            </w:r>
          </w:p>
        </w:tc>
        <w:tc>
          <w:tcPr>
            <w:tcW w:w="1492" w:type="dxa"/>
            <w:vAlign w:val="center"/>
          </w:tcPr>
          <w:p w:rsidR="00B00E6E" w:rsidRDefault="002C14CD">
            <w:pPr>
              <w:jc w:val="center"/>
            </w:pPr>
            <w:r>
              <w:rPr>
                <w:color w:val="000000"/>
                <w:sz w:val="24"/>
                <w:szCs w:val="24"/>
              </w:rPr>
              <w:t>-</w:t>
            </w:r>
          </w:p>
        </w:tc>
        <w:tc>
          <w:tcPr>
            <w:tcW w:w="1194" w:type="dxa"/>
            <w:vAlign w:val="center"/>
          </w:tcPr>
          <w:p w:rsidR="00B00E6E" w:rsidRDefault="002C14CD">
            <w:pPr>
              <w:jc w:val="center"/>
            </w:pPr>
            <w:r>
              <w:rPr>
                <w:color w:val="000000"/>
                <w:sz w:val="24"/>
                <w:szCs w:val="24"/>
              </w:rPr>
              <w:t>-</w:t>
            </w:r>
          </w:p>
        </w:tc>
        <w:tc>
          <w:tcPr>
            <w:tcW w:w="898" w:type="dxa"/>
            <w:vAlign w:val="center"/>
          </w:tcPr>
          <w:p w:rsidR="00B00E6E" w:rsidRDefault="002C14CD">
            <w:pPr>
              <w:jc w:val="center"/>
            </w:pPr>
            <w:r>
              <w:rPr>
                <w:color w:val="000000"/>
                <w:sz w:val="24"/>
                <w:szCs w:val="24"/>
              </w:rPr>
              <w:t>-</w:t>
            </w:r>
          </w:p>
        </w:tc>
      </w:tr>
      <w:tr w:rsidR="00B00E6E">
        <w:trPr>
          <w:jc w:val="center"/>
        </w:trPr>
        <w:tc>
          <w:tcPr>
            <w:tcW w:w="1701" w:type="dxa"/>
            <w:vAlign w:val="center"/>
          </w:tcPr>
          <w:p w:rsidR="00B00E6E" w:rsidRDefault="002C14CD">
            <w:pPr>
              <w:jc w:val="left"/>
            </w:pPr>
            <w:r>
              <w:rPr>
                <w:color w:val="000000"/>
                <w:sz w:val="24"/>
                <w:szCs w:val="24"/>
              </w:rPr>
              <w:t>过去五年</w:t>
            </w:r>
          </w:p>
        </w:tc>
        <w:tc>
          <w:tcPr>
            <w:tcW w:w="1045" w:type="dxa"/>
            <w:vAlign w:val="center"/>
          </w:tcPr>
          <w:p w:rsidR="00B00E6E" w:rsidRDefault="002C14CD">
            <w:pPr>
              <w:jc w:val="center"/>
            </w:pPr>
            <w:r>
              <w:rPr>
                <w:color w:val="000000"/>
                <w:sz w:val="24"/>
                <w:szCs w:val="24"/>
              </w:rPr>
              <w:t>-</w:t>
            </w:r>
          </w:p>
        </w:tc>
        <w:tc>
          <w:tcPr>
            <w:tcW w:w="1344" w:type="dxa"/>
            <w:vAlign w:val="center"/>
          </w:tcPr>
          <w:p w:rsidR="00B00E6E" w:rsidRDefault="002C14CD">
            <w:pPr>
              <w:jc w:val="center"/>
            </w:pPr>
            <w:r>
              <w:rPr>
                <w:color w:val="000000"/>
                <w:sz w:val="24"/>
                <w:szCs w:val="24"/>
              </w:rPr>
              <w:t>-</w:t>
            </w:r>
          </w:p>
        </w:tc>
        <w:tc>
          <w:tcPr>
            <w:tcW w:w="1194" w:type="dxa"/>
            <w:vAlign w:val="center"/>
          </w:tcPr>
          <w:p w:rsidR="00B00E6E" w:rsidRDefault="002C14CD">
            <w:pPr>
              <w:jc w:val="center"/>
            </w:pPr>
            <w:r>
              <w:rPr>
                <w:color w:val="000000"/>
                <w:sz w:val="24"/>
                <w:szCs w:val="24"/>
              </w:rPr>
              <w:t>-</w:t>
            </w:r>
          </w:p>
        </w:tc>
        <w:tc>
          <w:tcPr>
            <w:tcW w:w="1492" w:type="dxa"/>
            <w:vAlign w:val="center"/>
          </w:tcPr>
          <w:p w:rsidR="00B00E6E" w:rsidRDefault="002C14CD">
            <w:pPr>
              <w:jc w:val="center"/>
            </w:pPr>
            <w:r>
              <w:rPr>
                <w:color w:val="000000"/>
                <w:sz w:val="24"/>
                <w:szCs w:val="24"/>
              </w:rPr>
              <w:t>-</w:t>
            </w:r>
          </w:p>
        </w:tc>
        <w:tc>
          <w:tcPr>
            <w:tcW w:w="1194" w:type="dxa"/>
            <w:vAlign w:val="center"/>
          </w:tcPr>
          <w:p w:rsidR="00B00E6E" w:rsidRDefault="002C14CD">
            <w:pPr>
              <w:jc w:val="center"/>
            </w:pPr>
            <w:r>
              <w:rPr>
                <w:color w:val="000000"/>
                <w:sz w:val="24"/>
                <w:szCs w:val="24"/>
              </w:rPr>
              <w:t>-</w:t>
            </w:r>
          </w:p>
        </w:tc>
        <w:tc>
          <w:tcPr>
            <w:tcW w:w="898" w:type="dxa"/>
            <w:vAlign w:val="center"/>
          </w:tcPr>
          <w:p w:rsidR="00B00E6E" w:rsidRDefault="002C14CD">
            <w:pPr>
              <w:jc w:val="center"/>
            </w:pPr>
            <w:r>
              <w:rPr>
                <w:color w:val="000000"/>
                <w:sz w:val="24"/>
                <w:szCs w:val="24"/>
              </w:rPr>
              <w:t>-</w:t>
            </w:r>
          </w:p>
        </w:tc>
      </w:tr>
      <w:tr w:rsidR="00B00E6E">
        <w:trPr>
          <w:jc w:val="center"/>
        </w:trPr>
        <w:tc>
          <w:tcPr>
            <w:tcW w:w="1701" w:type="dxa"/>
            <w:vAlign w:val="center"/>
          </w:tcPr>
          <w:p w:rsidR="00B00E6E" w:rsidRDefault="002C14CD">
            <w:pPr>
              <w:jc w:val="left"/>
            </w:pPr>
            <w:r>
              <w:rPr>
                <w:color w:val="000000"/>
                <w:sz w:val="24"/>
                <w:szCs w:val="24"/>
              </w:rPr>
              <w:t>自基金合同生效起至今</w:t>
            </w:r>
          </w:p>
        </w:tc>
        <w:tc>
          <w:tcPr>
            <w:tcW w:w="1045" w:type="dxa"/>
            <w:vAlign w:val="center"/>
          </w:tcPr>
          <w:p w:rsidR="00B00E6E" w:rsidRDefault="002C14CD">
            <w:pPr>
              <w:jc w:val="center"/>
            </w:pPr>
            <w:r>
              <w:rPr>
                <w:color w:val="000000"/>
                <w:sz w:val="24"/>
                <w:szCs w:val="24"/>
              </w:rPr>
              <w:t>52.34%</w:t>
            </w:r>
          </w:p>
        </w:tc>
        <w:tc>
          <w:tcPr>
            <w:tcW w:w="1344" w:type="dxa"/>
            <w:vAlign w:val="center"/>
          </w:tcPr>
          <w:p w:rsidR="00B00E6E" w:rsidRDefault="002C14CD">
            <w:pPr>
              <w:jc w:val="center"/>
            </w:pPr>
            <w:r>
              <w:rPr>
                <w:color w:val="000000"/>
                <w:sz w:val="24"/>
                <w:szCs w:val="24"/>
              </w:rPr>
              <w:t>0.75%</w:t>
            </w:r>
          </w:p>
        </w:tc>
        <w:tc>
          <w:tcPr>
            <w:tcW w:w="1194" w:type="dxa"/>
            <w:vAlign w:val="center"/>
          </w:tcPr>
          <w:p w:rsidR="00B00E6E" w:rsidRDefault="002C14CD">
            <w:pPr>
              <w:jc w:val="center"/>
            </w:pPr>
            <w:r>
              <w:rPr>
                <w:color w:val="000000"/>
                <w:sz w:val="24"/>
                <w:szCs w:val="24"/>
              </w:rPr>
              <w:t>35.22%</w:t>
            </w:r>
          </w:p>
        </w:tc>
        <w:tc>
          <w:tcPr>
            <w:tcW w:w="1492" w:type="dxa"/>
            <w:vAlign w:val="center"/>
          </w:tcPr>
          <w:p w:rsidR="00B00E6E" w:rsidRDefault="002C14CD">
            <w:pPr>
              <w:jc w:val="center"/>
            </w:pPr>
            <w:r>
              <w:rPr>
                <w:color w:val="000000"/>
                <w:sz w:val="24"/>
                <w:szCs w:val="24"/>
              </w:rPr>
              <w:t>0.81%</w:t>
            </w:r>
          </w:p>
        </w:tc>
        <w:tc>
          <w:tcPr>
            <w:tcW w:w="1194" w:type="dxa"/>
            <w:vAlign w:val="center"/>
          </w:tcPr>
          <w:p w:rsidR="00B00E6E" w:rsidRDefault="002C14CD">
            <w:pPr>
              <w:jc w:val="center"/>
            </w:pPr>
            <w:r>
              <w:rPr>
                <w:color w:val="000000"/>
                <w:sz w:val="24"/>
                <w:szCs w:val="24"/>
              </w:rPr>
              <w:t>17.12%</w:t>
            </w:r>
          </w:p>
        </w:tc>
        <w:tc>
          <w:tcPr>
            <w:tcW w:w="898" w:type="dxa"/>
            <w:vAlign w:val="center"/>
          </w:tcPr>
          <w:p w:rsidR="00B00E6E" w:rsidRDefault="002C14CD">
            <w:pPr>
              <w:jc w:val="center"/>
            </w:pPr>
            <w:r>
              <w:rPr>
                <w:color w:val="000000"/>
                <w:sz w:val="24"/>
                <w:szCs w:val="24"/>
              </w:rPr>
              <w:t>-0.06%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上投摩根尚睿混合型基金中基金</w:t>
      </w:r>
      <w:r w:rsidRPr="00414345">
        <w:rPr>
          <w:color w:val="000000"/>
          <w:sz w:val="24"/>
          <w:szCs w:val="24"/>
        </w:rPr>
        <w:t>(FOF)</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2021</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701EE165" wp14:editId="6BB9C99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B00E6E" w:rsidRDefault="002C14CD">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15</w:t>
      </w:r>
      <w:r>
        <w:rPr>
          <w:color w:val="000000"/>
          <w:sz w:val="24"/>
          <w:szCs w:val="24"/>
        </w:rPr>
        <w:t>日，图示的时间段为合同生效日至本报告期末。</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本基金建仓期为本基金合同生效日起</w:t>
      </w:r>
      <w:r w:rsidRPr="00414345">
        <w:rPr>
          <w:color w:val="000000"/>
          <w:sz w:val="24"/>
          <w:szCs w:val="24"/>
        </w:rPr>
        <w:t>6</w:t>
      </w:r>
      <w:r w:rsidRPr="00414345">
        <w:rPr>
          <w:color w:val="000000"/>
          <w:sz w:val="24"/>
          <w:szCs w:val="24"/>
        </w:rPr>
        <w:t>个月，建仓期结束时资产配置比例符合本基金基金合同规定。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627E2D" w:rsidRPr="00414345" w:rsidRDefault="00627E2D" w:rsidP="00C15CAC">
      <w:pPr>
        <w:autoSpaceDE w:val="0"/>
        <w:autoSpaceDN w:val="0"/>
        <w:adjustRightInd w:val="0"/>
        <w:spacing w:before="29" w:line="288" w:lineRule="auto"/>
        <w:jc w:val="left"/>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00E6E">
        <w:trPr>
          <w:jc w:val="center"/>
        </w:trPr>
        <w:tc>
          <w:tcPr>
            <w:tcW w:w="846" w:type="dxa"/>
            <w:vAlign w:val="center"/>
          </w:tcPr>
          <w:p w:rsidR="00B00E6E" w:rsidRDefault="002C14CD">
            <w:pPr>
              <w:jc w:val="center"/>
            </w:pPr>
            <w:r>
              <w:rPr>
                <w:color w:val="000000"/>
                <w:sz w:val="24"/>
                <w:szCs w:val="24"/>
              </w:rPr>
              <w:t>刘凌云</w:t>
            </w:r>
          </w:p>
        </w:tc>
        <w:tc>
          <w:tcPr>
            <w:tcW w:w="845" w:type="dxa"/>
            <w:vAlign w:val="center"/>
          </w:tcPr>
          <w:p w:rsidR="00B00E6E" w:rsidRDefault="002C14CD">
            <w:pPr>
              <w:jc w:val="center"/>
            </w:pPr>
            <w:r>
              <w:rPr>
                <w:color w:val="000000"/>
                <w:sz w:val="24"/>
                <w:szCs w:val="24"/>
              </w:rPr>
              <w:t>本基金基金经理、组合基金投资部总监</w:t>
            </w:r>
          </w:p>
        </w:tc>
        <w:tc>
          <w:tcPr>
            <w:tcW w:w="1549" w:type="dxa"/>
            <w:vAlign w:val="center"/>
          </w:tcPr>
          <w:p w:rsidR="00B00E6E" w:rsidRDefault="002C14CD">
            <w:pPr>
              <w:jc w:val="center"/>
            </w:pPr>
            <w:r>
              <w:rPr>
                <w:color w:val="000000"/>
                <w:sz w:val="24"/>
                <w:szCs w:val="24"/>
              </w:rPr>
              <w:t>2018-08-15</w:t>
            </w:r>
          </w:p>
        </w:tc>
        <w:tc>
          <w:tcPr>
            <w:tcW w:w="1548" w:type="dxa"/>
            <w:vAlign w:val="center"/>
          </w:tcPr>
          <w:p w:rsidR="00B00E6E" w:rsidRDefault="002C14CD">
            <w:pPr>
              <w:jc w:val="center"/>
            </w:pPr>
            <w:r>
              <w:rPr>
                <w:color w:val="000000"/>
                <w:sz w:val="24"/>
                <w:szCs w:val="24"/>
              </w:rPr>
              <w:t>-</w:t>
            </w:r>
          </w:p>
        </w:tc>
        <w:tc>
          <w:tcPr>
            <w:tcW w:w="1407" w:type="dxa"/>
            <w:vAlign w:val="center"/>
          </w:tcPr>
          <w:p w:rsidR="00B00E6E" w:rsidRDefault="002C14CD">
            <w:pPr>
              <w:jc w:val="center"/>
            </w:pPr>
            <w:r>
              <w:rPr>
                <w:color w:val="000000"/>
                <w:sz w:val="24"/>
                <w:szCs w:val="24"/>
              </w:rPr>
              <w:t>13</w:t>
            </w:r>
            <w:r>
              <w:rPr>
                <w:color w:val="000000"/>
                <w:sz w:val="24"/>
                <w:szCs w:val="24"/>
              </w:rPr>
              <w:t>年</w:t>
            </w:r>
          </w:p>
        </w:tc>
        <w:tc>
          <w:tcPr>
            <w:tcW w:w="2673" w:type="dxa"/>
            <w:vAlign w:val="center"/>
          </w:tcPr>
          <w:p w:rsidR="00B00E6E" w:rsidRDefault="002C14CD">
            <w:r>
              <w:rPr>
                <w:color w:val="000000"/>
                <w:sz w:val="24"/>
                <w:szCs w:val="24"/>
              </w:rPr>
              <w:t>刘凌云女士，上海社会科学院经济学博士。自</w:t>
            </w:r>
            <w:r>
              <w:rPr>
                <w:color w:val="000000"/>
                <w:sz w:val="24"/>
                <w:szCs w:val="24"/>
              </w:rPr>
              <w:t>2008</w:t>
            </w:r>
            <w:r>
              <w:rPr>
                <w:color w:val="000000"/>
                <w:sz w:val="24"/>
                <w:szCs w:val="24"/>
              </w:rPr>
              <w:t>年</w:t>
            </w:r>
            <w:r>
              <w:rPr>
                <w:color w:val="000000"/>
                <w:sz w:val="24"/>
                <w:szCs w:val="24"/>
              </w:rPr>
              <w:t>6</w:t>
            </w:r>
            <w:r>
              <w:rPr>
                <w:color w:val="000000"/>
                <w:sz w:val="24"/>
                <w:szCs w:val="24"/>
              </w:rPr>
              <w:t>月至</w:t>
            </w:r>
            <w:r>
              <w:rPr>
                <w:color w:val="000000"/>
                <w:sz w:val="24"/>
                <w:szCs w:val="24"/>
              </w:rPr>
              <w:t>2009</w:t>
            </w:r>
            <w:r>
              <w:rPr>
                <w:color w:val="000000"/>
                <w:sz w:val="24"/>
                <w:szCs w:val="24"/>
              </w:rPr>
              <w:t>年</w:t>
            </w:r>
            <w:r>
              <w:rPr>
                <w:color w:val="000000"/>
                <w:sz w:val="24"/>
                <w:szCs w:val="24"/>
              </w:rPr>
              <w:t>7</w:t>
            </w:r>
            <w:r>
              <w:rPr>
                <w:color w:val="000000"/>
                <w:sz w:val="24"/>
                <w:szCs w:val="24"/>
              </w:rPr>
              <w:t>月，在中海基金管理有限公司担任产品研发经理，负责策略及产品设计；自</w:t>
            </w:r>
            <w:r>
              <w:rPr>
                <w:color w:val="000000"/>
                <w:sz w:val="24"/>
                <w:szCs w:val="24"/>
              </w:rPr>
              <w:t>2009</w:t>
            </w:r>
            <w:r>
              <w:rPr>
                <w:color w:val="000000"/>
                <w:sz w:val="24"/>
                <w:szCs w:val="24"/>
              </w:rPr>
              <w:t>年</w:t>
            </w:r>
            <w:r>
              <w:rPr>
                <w:color w:val="000000"/>
                <w:sz w:val="24"/>
                <w:szCs w:val="24"/>
              </w:rPr>
              <w:t>7</w:t>
            </w:r>
            <w:r>
              <w:rPr>
                <w:color w:val="000000"/>
                <w:sz w:val="24"/>
                <w:szCs w:val="24"/>
              </w:rPr>
              <w:t>月起加入上投摩根基金管理有限公司，历任产品经理、高级投资组合经理、客户投资组合总监，现任组合基金投资部总监兼基金经理；自</w:t>
            </w:r>
            <w:r>
              <w:rPr>
                <w:color w:val="000000"/>
                <w:sz w:val="24"/>
                <w:szCs w:val="24"/>
              </w:rPr>
              <w:t>2018</w:t>
            </w:r>
            <w:r>
              <w:rPr>
                <w:color w:val="000000"/>
                <w:sz w:val="24"/>
                <w:szCs w:val="24"/>
              </w:rPr>
              <w:t>年</w:t>
            </w:r>
            <w:r>
              <w:rPr>
                <w:color w:val="000000"/>
                <w:sz w:val="24"/>
                <w:szCs w:val="24"/>
              </w:rPr>
              <w:t>8</w:t>
            </w:r>
            <w:r>
              <w:rPr>
                <w:color w:val="000000"/>
                <w:sz w:val="24"/>
                <w:szCs w:val="24"/>
              </w:rPr>
              <w:t>月起担任上投摩根尚睿混合型基金中基金（</w:t>
            </w:r>
            <w:r>
              <w:rPr>
                <w:color w:val="000000"/>
                <w:sz w:val="24"/>
                <w:szCs w:val="24"/>
              </w:rPr>
              <w:t>FOF</w:t>
            </w:r>
            <w:r>
              <w:rPr>
                <w:color w:val="000000"/>
                <w:sz w:val="24"/>
                <w:szCs w:val="24"/>
              </w:rPr>
              <w:t>）基金经理。</w:t>
            </w:r>
          </w:p>
        </w:tc>
      </w:tr>
      <w:tr w:rsidR="00B00E6E">
        <w:trPr>
          <w:jc w:val="center"/>
        </w:trPr>
        <w:tc>
          <w:tcPr>
            <w:tcW w:w="846" w:type="dxa"/>
            <w:vAlign w:val="center"/>
          </w:tcPr>
          <w:p w:rsidR="00B00E6E" w:rsidRDefault="002C14CD">
            <w:pPr>
              <w:jc w:val="center"/>
            </w:pPr>
            <w:r>
              <w:rPr>
                <w:color w:val="000000"/>
                <w:sz w:val="24"/>
                <w:szCs w:val="24"/>
              </w:rPr>
              <w:t>杜习杰</w:t>
            </w:r>
          </w:p>
        </w:tc>
        <w:tc>
          <w:tcPr>
            <w:tcW w:w="845" w:type="dxa"/>
            <w:vAlign w:val="center"/>
          </w:tcPr>
          <w:p w:rsidR="00B00E6E" w:rsidRDefault="002C14CD">
            <w:pPr>
              <w:jc w:val="center"/>
            </w:pPr>
            <w:r>
              <w:rPr>
                <w:color w:val="000000"/>
                <w:sz w:val="24"/>
                <w:szCs w:val="24"/>
              </w:rPr>
              <w:t>本基金基金经理</w:t>
            </w:r>
          </w:p>
        </w:tc>
        <w:tc>
          <w:tcPr>
            <w:tcW w:w="1549" w:type="dxa"/>
            <w:vAlign w:val="center"/>
          </w:tcPr>
          <w:p w:rsidR="00B00E6E" w:rsidRDefault="002C14CD">
            <w:pPr>
              <w:jc w:val="center"/>
            </w:pPr>
            <w:r>
              <w:rPr>
                <w:color w:val="000000"/>
                <w:sz w:val="24"/>
                <w:szCs w:val="24"/>
              </w:rPr>
              <w:t>2020-12-11</w:t>
            </w:r>
          </w:p>
        </w:tc>
        <w:tc>
          <w:tcPr>
            <w:tcW w:w="1548" w:type="dxa"/>
            <w:vAlign w:val="center"/>
          </w:tcPr>
          <w:p w:rsidR="00B00E6E" w:rsidRDefault="002C14CD">
            <w:pPr>
              <w:jc w:val="center"/>
            </w:pPr>
            <w:r>
              <w:rPr>
                <w:color w:val="000000"/>
                <w:sz w:val="24"/>
                <w:szCs w:val="24"/>
              </w:rPr>
              <w:t>-</w:t>
            </w:r>
          </w:p>
        </w:tc>
        <w:tc>
          <w:tcPr>
            <w:tcW w:w="1407" w:type="dxa"/>
            <w:vAlign w:val="center"/>
          </w:tcPr>
          <w:p w:rsidR="00B00E6E" w:rsidRDefault="002C14CD">
            <w:pPr>
              <w:jc w:val="center"/>
            </w:pPr>
            <w:r>
              <w:rPr>
                <w:color w:val="000000"/>
                <w:sz w:val="24"/>
                <w:szCs w:val="24"/>
              </w:rPr>
              <w:t>13</w:t>
            </w:r>
            <w:r>
              <w:rPr>
                <w:color w:val="000000"/>
                <w:sz w:val="24"/>
                <w:szCs w:val="24"/>
              </w:rPr>
              <w:t>年</w:t>
            </w:r>
          </w:p>
        </w:tc>
        <w:tc>
          <w:tcPr>
            <w:tcW w:w="2673" w:type="dxa"/>
            <w:vAlign w:val="center"/>
          </w:tcPr>
          <w:p w:rsidR="00B00E6E" w:rsidRDefault="002C14CD">
            <w:r>
              <w:rPr>
                <w:color w:val="000000"/>
                <w:sz w:val="24"/>
                <w:szCs w:val="24"/>
              </w:rPr>
              <w:t>杜习杰先生，上海财经大学金融学硕士。自</w:t>
            </w:r>
            <w:r>
              <w:rPr>
                <w:color w:val="000000"/>
                <w:sz w:val="24"/>
                <w:szCs w:val="24"/>
              </w:rPr>
              <w:t>2008</w:t>
            </w:r>
            <w:r>
              <w:rPr>
                <w:color w:val="000000"/>
                <w:sz w:val="24"/>
                <w:szCs w:val="24"/>
              </w:rPr>
              <w:t>年</w:t>
            </w:r>
            <w:r>
              <w:rPr>
                <w:color w:val="000000"/>
                <w:sz w:val="24"/>
                <w:szCs w:val="24"/>
              </w:rPr>
              <w:t>7</w:t>
            </w:r>
            <w:r>
              <w:rPr>
                <w:color w:val="000000"/>
                <w:sz w:val="24"/>
                <w:szCs w:val="24"/>
              </w:rPr>
              <w:t>月至</w:t>
            </w:r>
            <w:r>
              <w:rPr>
                <w:color w:val="000000"/>
                <w:sz w:val="24"/>
                <w:szCs w:val="24"/>
              </w:rPr>
              <w:t>2011</w:t>
            </w:r>
            <w:r>
              <w:rPr>
                <w:color w:val="000000"/>
                <w:sz w:val="24"/>
                <w:szCs w:val="24"/>
              </w:rPr>
              <w:t>年</w:t>
            </w:r>
            <w:r>
              <w:rPr>
                <w:color w:val="000000"/>
                <w:sz w:val="24"/>
                <w:szCs w:val="24"/>
              </w:rPr>
              <w:t>5</w:t>
            </w:r>
            <w:r>
              <w:rPr>
                <w:color w:val="000000"/>
                <w:sz w:val="24"/>
                <w:szCs w:val="24"/>
              </w:rPr>
              <w:t>月在长信基金任研究员；</w:t>
            </w:r>
            <w:r>
              <w:rPr>
                <w:color w:val="000000"/>
                <w:sz w:val="24"/>
                <w:szCs w:val="24"/>
              </w:rPr>
              <w:t>2011</w:t>
            </w:r>
            <w:r>
              <w:rPr>
                <w:color w:val="000000"/>
                <w:sz w:val="24"/>
                <w:szCs w:val="24"/>
              </w:rPr>
              <w:t>年</w:t>
            </w:r>
            <w:r>
              <w:rPr>
                <w:color w:val="000000"/>
                <w:sz w:val="24"/>
                <w:szCs w:val="24"/>
              </w:rPr>
              <w:t>6</w:t>
            </w:r>
            <w:r>
              <w:rPr>
                <w:color w:val="000000"/>
                <w:sz w:val="24"/>
                <w:szCs w:val="24"/>
              </w:rPr>
              <w:t>月起加入上投摩根基金管理有限公司，历任研究员、投资经理兼研究员，现任组合基金投资部基金经理。自</w:t>
            </w:r>
            <w:r>
              <w:rPr>
                <w:color w:val="000000"/>
                <w:sz w:val="24"/>
                <w:szCs w:val="24"/>
              </w:rPr>
              <w:t>2019</w:t>
            </w:r>
            <w:r>
              <w:rPr>
                <w:color w:val="000000"/>
                <w:sz w:val="24"/>
                <w:szCs w:val="24"/>
              </w:rPr>
              <w:t>年</w:t>
            </w:r>
            <w:r>
              <w:rPr>
                <w:color w:val="000000"/>
                <w:sz w:val="24"/>
                <w:szCs w:val="24"/>
              </w:rPr>
              <w:t>9</w:t>
            </w:r>
            <w:r>
              <w:rPr>
                <w:color w:val="000000"/>
                <w:sz w:val="24"/>
                <w:szCs w:val="24"/>
              </w:rPr>
              <w:t>月起担任上投摩根锦程均衡养老目标三年持有期混合型基金中基金（</w:t>
            </w:r>
            <w:r>
              <w:rPr>
                <w:color w:val="000000"/>
                <w:sz w:val="24"/>
                <w:szCs w:val="24"/>
              </w:rPr>
              <w:t>FOF</w:t>
            </w:r>
            <w:r>
              <w:rPr>
                <w:color w:val="000000"/>
                <w:sz w:val="24"/>
                <w:szCs w:val="24"/>
              </w:rPr>
              <w:t>）基金经理，自</w:t>
            </w:r>
            <w:r>
              <w:rPr>
                <w:color w:val="000000"/>
                <w:sz w:val="24"/>
                <w:szCs w:val="24"/>
              </w:rPr>
              <w:t>2020</w:t>
            </w:r>
            <w:r>
              <w:rPr>
                <w:color w:val="000000"/>
                <w:sz w:val="24"/>
                <w:szCs w:val="24"/>
              </w:rPr>
              <w:t>年</w:t>
            </w:r>
            <w:r>
              <w:rPr>
                <w:color w:val="000000"/>
                <w:sz w:val="24"/>
                <w:szCs w:val="24"/>
              </w:rPr>
              <w:t>4</w:t>
            </w:r>
            <w:r>
              <w:rPr>
                <w:color w:val="000000"/>
                <w:sz w:val="24"/>
                <w:szCs w:val="24"/>
              </w:rPr>
              <w:t>月起同时担任上投摩根</w:t>
            </w:r>
            <w:r>
              <w:rPr>
                <w:color w:val="000000"/>
                <w:sz w:val="24"/>
                <w:szCs w:val="24"/>
              </w:rPr>
              <w:lastRenderedPageBreak/>
              <w:t>锦程稳健养老目标一年持有期混合型基金中基金</w:t>
            </w:r>
            <w:r>
              <w:rPr>
                <w:color w:val="000000"/>
                <w:sz w:val="24"/>
                <w:szCs w:val="24"/>
              </w:rPr>
              <w:t>(FOF)</w:t>
            </w:r>
            <w:r>
              <w:rPr>
                <w:color w:val="000000"/>
                <w:sz w:val="24"/>
                <w:szCs w:val="24"/>
              </w:rPr>
              <w:t>基金经理及上投摩根锦程积极成长养老目标五年持有期混合型发起式基金中基金</w:t>
            </w:r>
            <w:r>
              <w:rPr>
                <w:color w:val="000000"/>
                <w:sz w:val="24"/>
                <w:szCs w:val="24"/>
              </w:rPr>
              <w:t xml:space="preserve">(FOF) </w:t>
            </w:r>
            <w:r>
              <w:rPr>
                <w:color w:val="000000"/>
                <w:sz w:val="24"/>
                <w:szCs w:val="24"/>
              </w:rPr>
              <w:t>基金经理，自</w:t>
            </w:r>
            <w:r>
              <w:rPr>
                <w:color w:val="000000"/>
                <w:sz w:val="24"/>
                <w:szCs w:val="24"/>
              </w:rPr>
              <w:t>2020</w:t>
            </w:r>
            <w:r>
              <w:rPr>
                <w:color w:val="000000"/>
                <w:sz w:val="24"/>
                <w:szCs w:val="24"/>
              </w:rPr>
              <w:t>年</w:t>
            </w:r>
            <w:r>
              <w:rPr>
                <w:color w:val="000000"/>
                <w:sz w:val="24"/>
                <w:szCs w:val="24"/>
              </w:rPr>
              <w:t>12</w:t>
            </w:r>
            <w:r>
              <w:rPr>
                <w:color w:val="000000"/>
                <w:sz w:val="24"/>
                <w:szCs w:val="24"/>
              </w:rPr>
              <w:t>月起同时担任上投摩根尚睿混合型基金中基金</w:t>
            </w:r>
            <w:r>
              <w:rPr>
                <w:color w:val="000000"/>
                <w:sz w:val="24"/>
                <w:szCs w:val="24"/>
              </w:rPr>
              <w:t>(FOF)</w:t>
            </w:r>
            <w:r>
              <w:rPr>
                <w:color w:val="000000"/>
                <w:sz w:val="24"/>
                <w:szCs w:val="24"/>
              </w:rPr>
              <w:t>基金经理。</w:t>
            </w:r>
          </w:p>
        </w:tc>
      </w:tr>
    </w:tbl>
    <w:p w:rsidR="00B00E6E" w:rsidRDefault="002C14CD">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 xml:space="preserve">1. </w:t>
      </w:r>
      <w:r>
        <w:rPr>
          <w:color w:val="000000"/>
          <w:sz w:val="24"/>
          <w:szCs w:val="24"/>
        </w:rPr>
        <w:t>任职日期和离任日期均指根据公司决定确定的聘任日期和解聘日期。</w:t>
      </w:r>
    </w:p>
    <w:p w:rsidR="00B00E6E" w:rsidRDefault="002C14CD">
      <w:pPr>
        <w:autoSpaceDE w:val="0"/>
        <w:autoSpaceDN w:val="0"/>
        <w:adjustRightInd w:val="0"/>
        <w:spacing w:before="29" w:line="288" w:lineRule="auto"/>
        <w:jc w:val="left"/>
        <w:rPr>
          <w:color w:val="000000"/>
          <w:sz w:val="24"/>
          <w:szCs w:val="24"/>
        </w:rPr>
      </w:pPr>
      <w:r>
        <w:rPr>
          <w:color w:val="000000"/>
          <w:sz w:val="24"/>
          <w:szCs w:val="24"/>
        </w:rPr>
        <w:t xml:space="preserve">2. </w:t>
      </w:r>
      <w:r>
        <w:rPr>
          <w:color w:val="000000"/>
          <w:sz w:val="24"/>
          <w:szCs w:val="24"/>
        </w:rPr>
        <w:t>刘凌云女士为本基金首任基金经理，其任职日期为本基金基金合同生效之日；</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3. </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在本报告期内，基金管理人不存在损害基金份额持有人利益的行为，勤勉尽责地为基金份额持有人谋求利益。基金管理人遵守了《证券投资基金法》及其他有关法律法规、《上投摩根尚睿混合型基金中基金</w:t>
      </w:r>
      <w:r w:rsidRPr="00414345">
        <w:rPr>
          <w:color w:val="000000"/>
          <w:sz w:val="24"/>
          <w:szCs w:val="24"/>
        </w:rPr>
        <w:t>(FOF)</w:t>
      </w:r>
      <w:r w:rsidRPr="00414345">
        <w:rPr>
          <w:color w:val="000000"/>
          <w:sz w:val="24"/>
          <w:szCs w:val="24"/>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00E6E" w:rsidRDefault="002C14CD">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00E6E" w:rsidRDefault="002C14CD">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B00E6E" w:rsidRDefault="002C14CD">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w:t>
      </w:r>
      <w:r>
        <w:rPr>
          <w:color w:val="000000"/>
          <w:sz w:val="24"/>
          <w:szCs w:val="24"/>
        </w:rPr>
        <w:lastRenderedPageBreak/>
        <w:t>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00E6E" w:rsidRDefault="002C14CD">
      <w:pPr>
        <w:spacing w:before="29" w:line="288" w:lineRule="auto"/>
        <w:ind w:firstLineChars="200" w:firstLine="480"/>
        <w:rPr>
          <w:color w:val="000000"/>
          <w:sz w:val="24"/>
          <w:szCs w:val="24"/>
        </w:rPr>
      </w:pPr>
      <w:r>
        <w:rPr>
          <w:color w:val="000000"/>
          <w:sz w:val="24"/>
          <w:szCs w:val="24"/>
        </w:rPr>
        <w:t>二季度以来国内各项主要宏观指标显示经济面临较大的下行压力。</w:t>
      </w:r>
      <w:r>
        <w:rPr>
          <w:color w:val="000000"/>
          <w:sz w:val="24"/>
          <w:szCs w:val="24"/>
        </w:rPr>
        <w:t>PPI</w:t>
      </w:r>
      <w:r>
        <w:rPr>
          <w:color w:val="000000"/>
          <w:sz w:val="24"/>
          <w:szCs w:val="24"/>
        </w:rPr>
        <w:t>高位运行，但市场预期其大概率见顶，对通胀的担忧下降，利率下行，资金面成为驱动股债上涨的主要因素。风险偏好抬升，各大类资产涨幅明显。海外经济依旧强劲复苏，推升原油大幅上涨。疫苗接种率较高的地区，经济活动逐步恢复，</w:t>
      </w:r>
      <w:r>
        <w:rPr>
          <w:color w:val="000000"/>
          <w:sz w:val="24"/>
          <w:szCs w:val="24"/>
        </w:rPr>
        <w:t>REITs</w:t>
      </w:r>
      <w:r>
        <w:rPr>
          <w:color w:val="000000"/>
          <w:sz w:val="24"/>
          <w:szCs w:val="24"/>
        </w:rPr>
        <w:t>基本面改善明显，在二季度涨幅显著。本季度上证综指涨幅</w:t>
      </w:r>
      <w:r>
        <w:rPr>
          <w:color w:val="000000"/>
          <w:sz w:val="24"/>
          <w:szCs w:val="24"/>
        </w:rPr>
        <w:t>4.34%</w:t>
      </w:r>
      <w:r>
        <w:rPr>
          <w:color w:val="000000"/>
          <w:sz w:val="24"/>
          <w:szCs w:val="24"/>
        </w:rPr>
        <w:t>，但风格分化明显，成长大幅跑赢价值。行业层面高景气的半导体、新能源车涨幅居前，以及受到行业需求改善消息驱动的消费电子、光伏表现紧随其后。海外主要经济体指数中标普</w:t>
      </w:r>
      <w:r>
        <w:rPr>
          <w:color w:val="000000"/>
          <w:sz w:val="24"/>
          <w:szCs w:val="24"/>
        </w:rPr>
        <w:t>500</w:t>
      </w:r>
      <w:r>
        <w:rPr>
          <w:color w:val="000000"/>
          <w:sz w:val="24"/>
          <w:szCs w:val="24"/>
        </w:rPr>
        <w:t>，富时</w:t>
      </w:r>
      <w:r>
        <w:rPr>
          <w:color w:val="000000"/>
          <w:sz w:val="24"/>
          <w:szCs w:val="24"/>
        </w:rPr>
        <w:t>100</w:t>
      </w:r>
      <w:r>
        <w:rPr>
          <w:color w:val="000000"/>
          <w:sz w:val="24"/>
          <w:szCs w:val="24"/>
        </w:rPr>
        <w:t>和德国</w:t>
      </w:r>
      <w:r>
        <w:rPr>
          <w:color w:val="000000"/>
          <w:sz w:val="24"/>
          <w:szCs w:val="24"/>
        </w:rPr>
        <w:t>30</w:t>
      </w:r>
      <w:r>
        <w:rPr>
          <w:color w:val="000000"/>
          <w:sz w:val="24"/>
          <w:szCs w:val="24"/>
        </w:rPr>
        <w:t>涨幅居前。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驱动近期行情的宏观主导因素是政策和流动性比预期友好，同时市场的风险偏好和交投情绪进入上行周期。展望三季度市场大概率回归基本面驱动。国内投资、消费依旧偏弱，海外需求虽然较强，但美国消费由商品转向服务，对国内出口拉动减弱，未来国内经济仍有较大的下行压力。若风险偏好降低，市场趋于防守，风格可能重新偏向低估值风格。随着中报业绩期的到来，市场仍充满结构性机会，景气度高、盈利预期明确的行业仍将得到市场的青睐。美国就业数据向好可能带来量化宽松减码的进度快于预期，该风险因素将大概率扰动市场。近期国债收益率在中枢下沿运行，未来利率趋势易上难下，对长久期保持谨慎。信用风险仍有较大的爆发可能，利率债优于信用债。</w:t>
      </w:r>
      <w:r w:rsidRPr="00414345">
        <w:rPr>
          <w:color w:val="000000"/>
          <w:sz w:val="24"/>
          <w:szCs w:val="24"/>
        </w:rPr>
        <w:t>REITs</w:t>
      </w:r>
      <w:r w:rsidRPr="00414345">
        <w:rPr>
          <w:color w:val="000000"/>
          <w:sz w:val="24"/>
          <w:szCs w:val="24"/>
        </w:rPr>
        <w:t>基本面将大幅改善，在通胀环境下预计将会有较好的表现。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本报告期上投摩根尚睿混合</w:t>
      </w:r>
      <w:r w:rsidRPr="00414345">
        <w:rPr>
          <w:color w:val="000000"/>
          <w:sz w:val="24"/>
          <w:szCs w:val="24"/>
        </w:rPr>
        <w:t>(FOF)</w:t>
      </w:r>
      <w:r w:rsidRPr="00414345">
        <w:rPr>
          <w:color w:val="000000"/>
          <w:sz w:val="24"/>
          <w:szCs w:val="24"/>
        </w:rPr>
        <w:t>份额净值增长率为</w:t>
      </w:r>
      <w:r w:rsidRPr="00414345">
        <w:rPr>
          <w:color w:val="000000"/>
          <w:sz w:val="24"/>
          <w:szCs w:val="24"/>
        </w:rPr>
        <w:t>:5.29%</w:t>
      </w:r>
      <w:r w:rsidRPr="00414345">
        <w:rPr>
          <w:color w:val="000000"/>
          <w:sz w:val="24"/>
          <w:szCs w:val="24"/>
        </w:rPr>
        <w:t>，同期业绩比较基准收益率为</w:t>
      </w:r>
      <w:r w:rsidRPr="00414345">
        <w:rPr>
          <w:color w:val="000000"/>
          <w:sz w:val="24"/>
          <w:szCs w:val="24"/>
        </w:rPr>
        <w:t>:3.30%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B00E6E" w:rsidRDefault="002C14CD">
      <w:pPr>
        <w:spacing w:before="29" w:line="288" w:lineRule="auto"/>
        <w:ind w:firstLineChars="200" w:firstLine="480"/>
        <w:rPr>
          <w:color w:val="000000"/>
          <w:sz w:val="24"/>
        </w:rPr>
      </w:pPr>
      <w:r>
        <w:rPr>
          <w:color w:val="000000"/>
          <w:sz w:val="24"/>
        </w:rPr>
        <w:t>报告期内，本基金存在连续六十个工作日基金资产净值低于五千万元的情况，出现该情况的时间范围为</w:t>
      </w:r>
      <w:r>
        <w:rPr>
          <w:color w:val="000000"/>
          <w:sz w:val="24"/>
        </w:rPr>
        <w:t>2021</w:t>
      </w:r>
      <w:r>
        <w:rPr>
          <w:color w:val="000000"/>
          <w:sz w:val="24"/>
        </w:rPr>
        <w:t>年</w:t>
      </w:r>
      <w:r>
        <w:rPr>
          <w:color w:val="000000"/>
          <w:sz w:val="24"/>
        </w:rPr>
        <w:t>04</w:t>
      </w:r>
      <w:r>
        <w:rPr>
          <w:color w:val="000000"/>
          <w:sz w:val="24"/>
        </w:rPr>
        <w:t>月</w:t>
      </w:r>
      <w:r>
        <w:rPr>
          <w:color w:val="000000"/>
          <w:sz w:val="24"/>
        </w:rPr>
        <w:t>01</w:t>
      </w:r>
      <w:r>
        <w:rPr>
          <w:color w:val="000000"/>
          <w:sz w:val="24"/>
        </w:rPr>
        <w:t>日至</w:t>
      </w:r>
      <w:r>
        <w:rPr>
          <w:color w:val="000000"/>
          <w:sz w:val="24"/>
        </w:rPr>
        <w:t>2021</w:t>
      </w:r>
      <w:r>
        <w:rPr>
          <w:color w:val="000000"/>
          <w:sz w:val="24"/>
        </w:rPr>
        <w:t>年</w:t>
      </w:r>
      <w:r>
        <w:rPr>
          <w:color w:val="000000"/>
          <w:sz w:val="24"/>
        </w:rPr>
        <w:t>06</w:t>
      </w:r>
      <w:r>
        <w:rPr>
          <w:color w:val="000000"/>
          <w:sz w:val="24"/>
        </w:rPr>
        <w:t>月</w:t>
      </w:r>
      <w:r>
        <w:rPr>
          <w:color w:val="000000"/>
          <w:sz w:val="24"/>
        </w:rPr>
        <w:t>30</w:t>
      </w:r>
      <w:r>
        <w:rPr>
          <w:color w:val="000000"/>
          <w:sz w:val="24"/>
        </w:rPr>
        <w:t>日。</w:t>
      </w:r>
    </w:p>
    <w:p w:rsidR="00421CD2" w:rsidRDefault="00421CD2" w:rsidP="00421CD2">
      <w:pPr>
        <w:spacing w:before="29" w:line="288" w:lineRule="auto"/>
        <w:ind w:firstLineChars="200" w:firstLine="480"/>
        <w:rPr>
          <w:color w:val="000000"/>
          <w:sz w:val="24"/>
        </w:rPr>
      </w:pPr>
      <w:r w:rsidRPr="002070B4">
        <w:rPr>
          <w:color w:val="000000"/>
          <w:sz w:val="24"/>
        </w:rPr>
        <w:t>基金管理人拟调整本基金运作方式，加大营销力度，提升基金规模，方案已报监管机关。</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23,132,240.77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87.91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1,068,747.60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1,068,747.60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2,035,399.55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75,817.77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26,312,205.69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E133DE" w:rsidRPr="00E133DE" w:rsidRDefault="004061AC" w:rsidP="00C15CAC">
      <w:pPr>
        <w:autoSpaceDE w:val="0"/>
        <w:autoSpaceDN w:val="0"/>
        <w:adjustRightInd w:val="0"/>
        <w:spacing w:before="29" w:line="288" w:lineRule="auto"/>
        <w:jc w:val="left"/>
        <w:rPr>
          <w:b/>
          <w:bCs/>
          <w:kern w:val="0"/>
          <w:sz w:val="24"/>
          <w:szCs w:val="24"/>
        </w:rPr>
      </w:pPr>
      <w:r w:rsidRPr="00E133DE">
        <w:rPr>
          <w:b/>
          <w:bCs/>
          <w:kern w:val="0"/>
          <w:sz w:val="24"/>
          <w:szCs w:val="24"/>
        </w:rPr>
        <w:t xml:space="preserve">5.3 </w:t>
      </w:r>
      <w:r w:rsidR="00E133DE" w:rsidRPr="00E133DE">
        <w:rPr>
          <w:rFonts w:asciiTheme="minorEastAsia" w:eastAsiaTheme="minorEastAsia" w:hAnsiTheme="minorEastAsia" w:hint="eastAsia"/>
          <w:b/>
          <w:bCs/>
          <w:kern w:val="0"/>
          <w:sz w:val="24"/>
          <w:szCs w:val="24"/>
        </w:rPr>
        <w:t>期末按公允价值占基金资产净值比例大小排序的股票投资明细</w:t>
      </w:r>
      <w:r w:rsidR="00E133DE" w:rsidRPr="00E133DE">
        <w:rPr>
          <w:rFonts w:asciiTheme="minorEastAsia" w:eastAsiaTheme="minorEastAsia" w:hAnsiTheme="minorEastAsia" w:hint="eastAsia"/>
          <w:b/>
          <w:bCs/>
          <w:kern w:val="0"/>
          <w:sz w:val="24"/>
          <w:szCs w:val="24"/>
        </w:rPr>
        <w:cr/>
      </w:r>
    </w:p>
    <w:p w:rsidR="004061AC" w:rsidRPr="00E133DE" w:rsidRDefault="00E133DE" w:rsidP="00C15CAC">
      <w:pPr>
        <w:autoSpaceDE w:val="0"/>
        <w:autoSpaceDN w:val="0"/>
        <w:adjustRightInd w:val="0"/>
        <w:spacing w:before="29" w:line="288" w:lineRule="auto"/>
        <w:jc w:val="left"/>
        <w:rPr>
          <w:b/>
          <w:bCs/>
          <w:kern w:val="0"/>
          <w:sz w:val="24"/>
          <w:szCs w:val="24"/>
        </w:rPr>
      </w:pPr>
      <w:r w:rsidRPr="00E133DE">
        <w:rPr>
          <w:rFonts w:eastAsiaTheme="minorEastAsia"/>
          <w:b/>
          <w:bCs/>
          <w:kern w:val="0"/>
          <w:sz w:val="24"/>
          <w:szCs w:val="24"/>
        </w:rPr>
        <w:t xml:space="preserve">5.3.1 </w:t>
      </w:r>
      <w:r w:rsidR="004061AC" w:rsidRPr="00E133DE">
        <w:rPr>
          <w:b/>
          <w:bCs/>
          <w:kern w:val="0"/>
          <w:sz w:val="24"/>
          <w:szCs w:val="24"/>
        </w:rPr>
        <w:t>报告期末按公允价值占基金资产净值比例大小排序的前十名股票投资明细</w:t>
      </w:r>
    </w:p>
    <w:p w:rsidR="004061AC" w:rsidRPr="00E133DE" w:rsidRDefault="004061AC" w:rsidP="00C15CAC">
      <w:pPr>
        <w:autoSpaceDE w:val="0"/>
        <w:autoSpaceDN w:val="0"/>
        <w:adjustRightInd w:val="0"/>
        <w:spacing w:before="29" w:line="288" w:lineRule="auto"/>
        <w:jc w:val="left"/>
        <w:rPr>
          <w:sz w:val="24"/>
          <w:szCs w:val="24"/>
        </w:rPr>
      </w:pPr>
      <w:r w:rsidRPr="00E133DE">
        <w:rPr>
          <w:sz w:val="24"/>
          <w:szCs w:val="24"/>
        </w:rPr>
        <w:t>本基金本报告期末未持有股票。</w:t>
      </w:r>
    </w:p>
    <w:p w:rsidR="004061AC" w:rsidRPr="00E133DE" w:rsidRDefault="004061AC" w:rsidP="00C15CAC">
      <w:pPr>
        <w:autoSpaceDE w:val="0"/>
        <w:autoSpaceDN w:val="0"/>
        <w:adjustRightInd w:val="0"/>
        <w:spacing w:before="29" w:line="288" w:lineRule="auto"/>
        <w:jc w:val="left"/>
        <w:rPr>
          <w:b/>
          <w:bCs/>
          <w:kern w:val="0"/>
          <w:sz w:val="24"/>
          <w:szCs w:val="24"/>
        </w:rPr>
      </w:pPr>
    </w:p>
    <w:p w:rsidR="00E133DE" w:rsidRPr="00E133DE" w:rsidRDefault="00E133DE"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1,068,747.60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1,068,747.60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00E6E">
        <w:trPr>
          <w:jc w:val="center"/>
        </w:trPr>
        <w:tc>
          <w:tcPr>
            <w:tcW w:w="850" w:type="dxa"/>
            <w:vAlign w:val="center"/>
          </w:tcPr>
          <w:p w:rsidR="00B00E6E" w:rsidRDefault="002C14CD">
            <w:pPr>
              <w:jc w:val="center"/>
            </w:pPr>
            <w:r>
              <w:rPr>
                <w:color w:val="000000"/>
                <w:sz w:val="24"/>
                <w:szCs w:val="24"/>
              </w:rPr>
              <w:t>1</w:t>
            </w:r>
          </w:p>
        </w:tc>
        <w:tc>
          <w:tcPr>
            <w:tcW w:w="1475" w:type="dxa"/>
            <w:vAlign w:val="center"/>
          </w:tcPr>
          <w:p w:rsidR="00B00E6E" w:rsidRDefault="002C14CD">
            <w:pPr>
              <w:jc w:val="center"/>
            </w:pPr>
            <w:r>
              <w:rPr>
                <w:color w:val="000000"/>
                <w:sz w:val="24"/>
                <w:szCs w:val="24"/>
              </w:rPr>
              <w:t>019649</w:t>
            </w:r>
          </w:p>
        </w:tc>
        <w:tc>
          <w:tcPr>
            <w:tcW w:w="1769" w:type="dxa"/>
            <w:vAlign w:val="center"/>
          </w:tcPr>
          <w:p w:rsidR="00B00E6E" w:rsidRDefault="002C14CD">
            <w:pPr>
              <w:jc w:val="center"/>
            </w:pPr>
            <w:r>
              <w:rPr>
                <w:color w:val="000000"/>
                <w:sz w:val="24"/>
                <w:szCs w:val="24"/>
              </w:rPr>
              <w:t>21</w:t>
            </w:r>
            <w:r>
              <w:rPr>
                <w:color w:val="000000"/>
                <w:sz w:val="24"/>
                <w:szCs w:val="24"/>
              </w:rPr>
              <w:t>国债</w:t>
            </w:r>
            <w:r>
              <w:rPr>
                <w:color w:val="000000"/>
                <w:sz w:val="24"/>
                <w:szCs w:val="24"/>
              </w:rPr>
              <w:t>01</w:t>
            </w:r>
          </w:p>
        </w:tc>
        <w:tc>
          <w:tcPr>
            <w:tcW w:w="1387" w:type="dxa"/>
            <w:vAlign w:val="center"/>
          </w:tcPr>
          <w:p w:rsidR="00B00E6E" w:rsidRDefault="002C14CD">
            <w:pPr>
              <w:jc w:val="right"/>
            </w:pPr>
            <w:r>
              <w:rPr>
                <w:color w:val="000000"/>
                <w:sz w:val="24"/>
                <w:szCs w:val="24"/>
              </w:rPr>
              <w:t>10,680</w:t>
            </w:r>
          </w:p>
        </w:tc>
        <w:tc>
          <w:tcPr>
            <w:tcW w:w="2150" w:type="dxa"/>
            <w:vAlign w:val="center"/>
          </w:tcPr>
          <w:p w:rsidR="00B00E6E" w:rsidRDefault="002C14CD">
            <w:pPr>
              <w:jc w:val="right"/>
            </w:pPr>
            <w:r>
              <w:rPr>
                <w:color w:val="000000"/>
                <w:sz w:val="24"/>
                <w:szCs w:val="24"/>
              </w:rPr>
              <w:t>1,068,747.60</w:t>
            </w:r>
          </w:p>
        </w:tc>
        <w:tc>
          <w:tcPr>
            <w:tcW w:w="1237" w:type="dxa"/>
            <w:vAlign w:val="center"/>
          </w:tcPr>
          <w:p w:rsidR="00B00E6E" w:rsidRDefault="002C14CD">
            <w:pPr>
              <w:jc w:val="right"/>
            </w:pPr>
            <w:r>
              <w:rPr>
                <w:color w:val="000000"/>
                <w:sz w:val="24"/>
                <w:szCs w:val="24"/>
              </w:rPr>
              <w:t>4.10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报告期内本基金投资的前十名证券的发行主体本期没有出现被监管部门立案调查，</w:t>
      </w:r>
      <w:r w:rsidRPr="00BE5388">
        <w:rPr>
          <w:bCs/>
          <w:color w:val="000000"/>
          <w:kern w:val="0"/>
          <w:sz w:val="24"/>
          <w:szCs w:val="24"/>
        </w:rPr>
        <w:lastRenderedPageBreak/>
        <w:t>或在报告编制日前一年内受到公开谴责、处罚的情形。</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6,204.84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11,758.33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57,854.60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75,817.77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因四舍五入原因</w:t>
      </w:r>
      <w:r w:rsidRPr="00414345">
        <w:rPr>
          <w:color w:val="000000"/>
          <w:sz w:val="24"/>
          <w:szCs w:val="24"/>
        </w:rPr>
        <w:t>,</w:t>
      </w:r>
      <w:r w:rsidRPr="00414345">
        <w:rPr>
          <w:color w:val="000000"/>
          <w:sz w:val="24"/>
          <w:szCs w:val="24"/>
        </w:rPr>
        <w:t>投资组合报告中分项之和与合计可能存在尾差。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rsidTr="00CD14C0">
        <w:tc>
          <w:tcPr>
            <w:tcW w:w="452"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B00E6E">
        <w:tc>
          <w:tcPr>
            <w:tcW w:w="835" w:type="dxa"/>
            <w:vAlign w:val="center"/>
          </w:tcPr>
          <w:p w:rsidR="00B00E6E" w:rsidRDefault="002C14CD">
            <w:pPr>
              <w:jc w:val="center"/>
            </w:pPr>
            <w:r>
              <w:rPr>
                <w:sz w:val="24"/>
                <w:szCs w:val="24"/>
              </w:rPr>
              <w:lastRenderedPageBreak/>
              <w:t>1</w:t>
            </w:r>
          </w:p>
        </w:tc>
        <w:tc>
          <w:tcPr>
            <w:tcW w:w="1159" w:type="dxa"/>
            <w:vAlign w:val="center"/>
          </w:tcPr>
          <w:p w:rsidR="00B00E6E" w:rsidRDefault="002C14CD">
            <w:pPr>
              <w:jc w:val="center"/>
            </w:pPr>
            <w:r>
              <w:rPr>
                <w:sz w:val="24"/>
                <w:szCs w:val="24"/>
              </w:rPr>
              <w:t>004738</w:t>
            </w:r>
          </w:p>
        </w:tc>
        <w:tc>
          <w:tcPr>
            <w:tcW w:w="1161" w:type="dxa"/>
            <w:vAlign w:val="center"/>
          </w:tcPr>
          <w:p w:rsidR="00B00E6E" w:rsidRDefault="002C14CD">
            <w:pPr>
              <w:jc w:val="center"/>
            </w:pPr>
            <w:r>
              <w:rPr>
                <w:sz w:val="24"/>
                <w:szCs w:val="24"/>
              </w:rPr>
              <w:t>上投摩根安隆回报混合</w:t>
            </w:r>
            <w:r>
              <w:rPr>
                <w:sz w:val="24"/>
                <w:szCs w:val="24"/>
              </w:rPr>
              <w:t>A</w:t>
            </w:r>
          </w:p>
        </w:tc>
        <w:tc>
          <w:tcPr>
            <w:tcW w:w="1161" w:type="dxa"/>
            <w:vAlign w:val="center"/>
          </w:tcPr>
          <w:p w:rsidR="00B00E6E" w:rsidRDefault="002C14CD">
            <w:pPr>
              <w:jc w:val="center"/>
            </w:pPr>
            <w:r>
              <w:rPr>
                <w:sz w:val="24"/>
                <w:szCs w:val="24"/>
              </w:rPr>
              <w:t>契约型开放式</w:t>
            </w:r>
          </w:p>
        </w:tc>
        <w:tc>
          <w:tcPr>
            <w:tcW w:w="1159" w:type="dxa"/>
            <w:vAlign w:val="center"/>
          </w:tcPr>
          <w:p w:rsidR="00B00E6E" w:rsidRDefault="002C14CD">
            <w:pPr>
              <w:jc w:val="center"/>
            </w:pPr>
            <w:r>
              <w:rPr>
                <w:sz w:val="24"/>
                <w:szCs w:val="24"/>
              </w:rPr>
              <w:t>1,820,937.60</w:t>
            </w:r>
          </w:p>
        </w:tc>
        <w:tc>
          <w:tcPr>
            <w:tcW w:w="1305" w:type="dxa"/>
            <w:vAlign w:val="center"/>
          </w:tcPr>
          <w:p w:rsidR="00B00E6E" w:rsidRDefault="002C14CD">
            <w:pPr>
              <w:jc w:val="center"/>
            </w:pPr>
            <w:r>
              <w:rPr>
                <w:sz w:val="24"/>
                <w:szCs w:val="24"/>
              </w:rPr>
              <w:t>2,359,206.75</w:t>
            </w:r>
          </w:p>
        </w:tc>
        <w:tc>
          <w:tcPr>
            <w:tcW w:w="1161" w:type="dxa"/>
            <w:vAlign w:val="center"/>
          </w:tcPr>
          <w:p w:rsidR="00B00E6E" w:rsidRDefault="002C14CD">
            <w:pPr>
              <w:jc w:val="center"/>
            </w:pPr>
            <w:r>
              <w:rPr>
                <w:sz w:val="24"/>
                <w:szCs w:val="24"/>
              </w:rPr>
              <w:t>9.04%</w:t>
            </w:r>
          </w:p>
        </w:tc>
        <w:tc>
          <w:tcPr>
            <w:tcW w:w="1301" w:type="dxa"/>
            <w:vAlign w:val="center"/>
          </w:tcPr>
          <w:p w:rsidR="00B00E6E" w:rsidRDefault="002C14CD">
            <w:pPr>
              <w:jc w:val="center"/>
            </w:pPr>
            <w:r>
              <w:rPr>
                <w:sz w:val="24"/>
                <w:szCs w:val="24"/>
              </w:rPr>
              <w:t>是</w:t>
            </w:r>
          </w:p>
        </w:tc>
      </w:tr>
      <w:tr w:rsidR="00B00E6E">
        <w:tc>
          <w:tcPr>
            <w:tcW w:w="835" w:type="dxa"/>
            <w:vAlign w:val="center"/>
          </w:tcPr>
          <w:p w:rsidR="00B00E6E" w:rsidRDefault="002C14CD">
            <w:pPr>
              <w:jc w:val="center"/>
            </w:pPr>
            <w:r>
              <w:rPr>
                <w:sz w:val="24"/>
                <w:szCs w:val="24"/>
              </w:rPr>
              <w:t>2</w:t>
            </w:r>
          </w:p>
        </w:tc>
        <w:tc>
          <w:tcPr>
            <w:tcW w:w="1159" w:type="dxa"/>
            <w:vAlign w:val="center"/>
          </w:tcPr>
          <w:p w:rsidR="00B00E6E" w:rsidRDefault="002C14CD">
            <w:pPr>
              <w:jc w:val="center"/>
            </w:pPr>
            <w:r>
              <w:rPr>
                <w:sz w:val="24"/>
                <w:szCs w:val="24"/>
              </w:rPr>
              <w:t>004144</w:t>
            </w:r>
          </w:p>
        </w:tc>
        <w:tc>
          <w:tcPr>
            <w:tcW w:w="1161" w:type="dxa"/>
            <w:vAlign w:val="center"/>
          </w:tcPr>
          <w:p w:rsidR="00B00E6E" w:rsidRDefault="002C14CD">
            <w:pPr>
              <w:jc w:val="center"/>
            </w:pPr>
            <w:r>
              <w:rPr>
                <w:sz w:val="24"/>
                <w:szCs w:val="24"/>
              </w:rPr>
              <w:t>上投摩根安丰回报混合</w:t>
            </w:r>
            <w:r>
              <w:rPr>
                <w:sz w:val="24"/>
                <w:szCs w:val="24"/>
              </w:rPr>
              <w:t>A</w:t>
            </w:r>
          </w:p>
        </w:tc>
        <w:tc>
          <w:tcPr>
            <w:tcW w:w="1161" w:type="dxa"/>
            <w:vAlign w:val="center"/>
          </w:tcPr>
          <w:p w:rsidR="00B00E6E" w:rsidRDefault="002C14CD">
            <w:pPr>
              <w:jc w:val="center"/>
            </w:pPr>
            <w:r>
              <w:rPr>
                <w:sz w:val="24"/>
                <w:szCs w:val="24"/>
              </w:rPr>
              <w:t>契约型开放式</w:t>
            </w:r>
          </w:p>
        </w:tc>
        <w:tc>
          <w:tcPr>
            <w:tcW w:w="1159" w:type="dxa"/>
            <w:vAlign w:val="center"/>
          </w:tcPr>
          <w:p w:rsidR="00B00E6E" w:rsidRDefault="002C14CD">
            <w:pPr>
              <w:jc w:val="center"/>
            </w:pPr>
            <w:r>
              <w:rPr>
                <w:sz w:val="24"/>
                <w:szCs w:val="24"/>
              </w:rPr>
              <w:t>1,461,774.59</w:t>
            </w:r>
          </w:p>
        </w:tc>
        <w:tc>
          <w:tcPr>
            <w:tcW w:w="1305" w:type="dxa"/>
            <w:vAlign w:val="center"/>
          </w:tcPr>
          <w:p w:rsidR="00B00E6E" w:rsidRDefault="002C14CD">
            <w:pPr>
              <w:jc w:val="center"/>
            </w:pPr>
            <w:r>
              <w:rPr>
                <w:sz w:val="24"/>
                <w:szCs w:val="24"/>
              </w:rPr>
              <w:t>2,111,241.04</w:t>
            </w:r>
          </w:p>
        </w:tc>
        <w:tc>
          <w:tcPr>
            <w:tcW w:w="1161" w:type="dxa"/>
            <w:vAlign w:val="center"/>
          </w:tcPr>
          <w:p w:rsidR="00B00E6E" w:rsidRDefault="002C14CD">
            <w:pPr>
              <w:jc w:val="center"/>
            </w:pPr>
            <w:r>
              <w:rPr>
                <w:sz w:val="24"/>
                <w:szCs w:val="24"/>
              </w:rPr>
              <w:t>8.09%</w:t>
            </w:r>
          </w:p>
        </w:tc>
        <w:tc>
          <w:tcPr>
            <w:tcW w:w="1301" w:type="dxa"/>
            <w:vAlign w:val="center"/>
          </w:tcPr>
          <w:p w:rsidR="00B00E6E" w:rsidRDefault="002C14CD">
            <w:pPr>
              <w:jc w:val="center"/>
            </w:pPr>
            <w:r>
              <w:rPr>
                <w:sz w:val="24"/>
                <w:szCs w:val="24"/>
              </w:rPr>
              <w:t>是</w:t>
            </w:r>
          </w:p>
        </w:tc>
      </w:tr>
      <w:tr w:rsidR="00B00E6E">
        <w:tc>
          <w:tcPr>
            <w:tcW w:w="835" w:type="dxa"/>
            <w:vAlign w:val="center"/>
          </w:tcPr>
          <w:p w:rsidR="00B00E6E" w:rsidRDefault="002C14CD">
            <w:pPr>
              <w:jc w:val="center"/>
            </w:pPr>
            <w:r>
              <w:rPr>
                <w:sz w:val="24"/>
                <w:szCs w:val="24"/>
              </w:rPr>
              <w:t>3</w:t>
            </w:r>
          </w:p>
        </w:tc>
        <w:tc>
          <w:tcPr>
            <w:tcW w:w="1159" w:type="dxa"/>
            <w:vAlign w:val="center"/>
          </w:tcPr>
          <w:p w:rsidR="00B00E6E" w:rsidRDefault="002C14CD">
            <w:pPr>
              <w:jc w:val="center"/>
            </w:pPr>
            <w:r>
              <w:rPr>
                <w:sz w:val="24"/>
                <w:szCs w:val="24"/>
              </w:rPr>
              <w:t>377240</w:t>
            </w:r>
          </w:p>
        </w:tc>
        <w:tc>
          <w:tcPr>
            <w:tcW w:w="1161" w:type="dxa"/>
            <w:vAlign w:val="center"/>
          </w:tcPr>
          <w:p w:rsidR="00B00E6E" w:rsidRDefault="002C14CD">
            <w:pPr>
              <w:jc w:val="center"/>
            </w:pPr>
            <w:r>
              <w:rPr>
                <w:sz w:val="24"/>
                <w:szCs w:val="24"/>
              </w:rPr>
              <w:t>上投摩根新兴动力混合</w:t>
            </w:r>
            <w:r>
              <w:rPr>
                <w:sz w:val="24"/>
                <w:szCs w:val="24"/>
              </w:rPr>
              <w:t>A</w:t>
            </w:r>
          </w:p>
        </w:tc>
        <w:tc>
          <w:tcPr>
            <w:tcW w:w="1161" w:type="dxa"/>
            <w:vAlign w:val="center"/>
          </w:tcPr>
          <w:p w:rsidR="00B00E6E" w:rsidRDefault="002C14CD">
            <w:pPr>
              <w:jc w:val="center"/>
            </w:pPr>
            <w:r>
              <w:rPr>
                <w:sz w:val="24"/>
                <w:szCs w:val="24"/>
              </w:rPr>
              <w:t>契约型开放式</w:t>
            </w:r>
          </w:p>
        </w:tc>
        <w:tc>
          <w:tcPr>
            <w:tcW w:w="1159" w:type="dxa"/>
            <w:vAlign w:val="center"/>
          </w:tcPr>
          <w:p w:rsidR="00B00E6E" w:rsidRDefault="002C14CD">
            <w:pPr>
              <w:jc w:val="center"/>
            </w:pPr>
            <w:r>
              <w:rPr>
                <w:sz w:val="24"/>
                <w:szCs w:val="24"/>
              </w:rPr>
              <w:t>226,985.56</w:t>
            </w:r>
          </w:p>
        </w:tc>
        <w:tc>
          <w:tcPr>
            <w:tcW w:w="1305" w:type="dxa"/>
            <w:vAlign w:val="center"/>
          </w:tcPr>
          <w:p w:rsidR="00B00E6E" w:rsidRDefault="002C14CD">
            <w:pPr>
              <w:jc w:val="center"/>
            </w:pPr>
            <w:r>
              <w:rPr>
                <w:sz w:val="24"/>
                <w:szCs w:val="24"/>
              </w:rPr>
              <w:t>1,533,968.41</w:t>
            </w:r>
          </w:p>
        </w:tc>
        <w:tc>
          <w:tcPr>
            <w:tcW w:w="1161" w:type="dxa"/>
            <w:vAlign w:val="center"/>
          </w:tcPr>
          <w:p w:rsidR="00B00E6E" w:rsidRDefault="002C14CD">
            <w:pPr>
              <w:jc w:val="center"/>
            </w:pPr>
            <w:r>
              <w:rPr>
                <w:sz w:val="24"/>
                <w:szCs w:val="24"/>
              </w:rPr>
              <w:t>5.88%</w:t>
            </w:r>
          </w:p>
        </w:tc>
        <w:tc>
          <w:tcPr>
            <w:tcW w:w="1301" w:type="dxa"/>
            <w:vAlign w:val="center"/>
          </w:tcPr>
          <w:p w:rsidR="00B00E6E" w:rsidRDefault="002C14CD">
            <w:pPr>
              <w:jc w:val="center"/>
            </w:pPr>
            <w:r>
              <w:rPr>
                <w:sz w:val="24"/>
                <w:szCs w:val="24"/>
              </w:rPr>
              <w:t>是</w:t>
            </w:r>
          </w:p>
        </w:tc>
      </w:tr>
      <w:tr w:rsidR="00B00E6E">
        <w:tc>
          <w:tcPr>
            <w:tcW w:w="835" w:type="dxa"/>
            <w:vAlign w:val="center"/>
          </w:tcPr>
          <w:p w:rsidR="00B00E6E" w:rsidRDefault="002C14CD">
            <w:pPr>
              <w:jc w:val="center"/>
            </w:pPr>
            <w:r>
              <w:rPr>
                <w:sz w:val="24"/>
                <w:szCs w:val="24"/>
              </w:rPr>
              <w:t>4</w:t>
            </w:r>
          </w:p>
        </w:tc>
        <w:tc>
          <w:tcPr>
            <w:tcW w:w="1159" w:type="dxa"/>
            <w:vAlign w:val="center"/>
          </w:tcPr>
          <w:p w:rsidR="00B00E6E" w:rsidRDefault="002C14CD">
            <w:pPr>
              <w:jc w:val="center"/>
            </w:pPr>
            <w:r>
              <w:rPr>
                <w:sz w:val="24"/>
                <w:szCs w:val="24"/>
              </w:rPr>
              <w:t>510500</w:t>
            </w:r>
          </w:p>
        </w:tc>
        <w:tc>
          <w:tcPr>
            <w:tcW w:w="1161" w:type="dxa"/>
            <w:vAlign w:val="center"/>
          </w:tcPr>
          <w:p w:rsidR="00B00E6E" w:rsidRDefault="002C14CD">
            <w:pPr>
              <w:jc w:val="center"/>
            </w:pPr>
            <w:r>
              <w:rPr>
                <w:sz w:val="24"/>
                <w:szCs w:val="24"/>
              </w:rPr>
              <w:t>南方中证</w:t>
            </w:r>
            <w:r>
              <w:rPr>
                <w:sz w:val="24"/>
                <w:szCs w:val="24"/>
              </w:rPr>
              <w:t>500ETF</w:t>
            </w:r>
          </w:p>
        </w:tc>
        <w:tc>
          <w:tcPr>
            <w:tcW w:w="1161" w:type="dxa"/>
            <w:vAlign w:val="center"/>
          </w:tcPr>
          <w:p w:rsidR="00B00E6E" w:rsidRDefault="002C14CD">
            <w:pPr>
              <w:jc w:val="center"/>
            </w:pPr>
            <w:r>
              <w:rPr>
                <w:sz w:val="24"/>
                <w:szCs w:val="24"/>
              </w:rPr>
              <w:t>契约型开放式</w:t>
            </w:r>
          </w:p>
        </w:tc>
        <w:tc>
          <w:tcPr>
            <w:tcW w:w="1159" w:type="dxa"/>
            <w:vAlign w:val="center"/>
          </w:tcPr>
          <w:p w:rsidR="00B00E6E" w:rsidRDefault="002C14CD">
            <w:pPr>
              <w:jc w:val="center"/>
            </w:pPr>
            <w:r>
              <w:rPr>
                <w:sz w:val="24"/>
                <w:szCs w:val="24"/>
              </w:rPr>
              <w:t>191,200.00</w:t>
            </w:r>
          </w:p>
        </w:tc>
        <w:tc>
          <w:tcPr>
            <w:tcW w:w="1305" w:type="dxa"/>
            <w:vAlign w:val="center"/>
          </w:tcPr>
          <w:p w:rsidR="00B00E6E" w:rsidRDefault="002C14CD">
            <w:pPr>
              <w:jc w:val="center"/>
            </w:pPr>
            <w:r>
              <w:rPr>
                <w:sz w:val="24"/>
                <w:szCs w:val="24"/>
              </w:rPr>
              <w:t>1,452,737.60</w:t>
            </w:r>
          </w:p>
        </w:tc>
        <w:tc>
          <w:tcPr>
            <w:tcW w:w="1161" w:type="dxa"/>
            <w:vAlign w:val="center"/>
          </w:tcPr>
          <w:p w:rsidR="00B00E6E" w:rsidRDefault="002C14CD">
            <w:pPr>
              <w:jc w:val="center"/>
            </w:pPr>
            <w:r>
              <w:rPr>
                <w:sz w:val="24"/>
                <w:szCs w:val="24"/>
              </w:rPr>
              <w:t>5.57%</w:t>
            </w:r>
          </w:p>
        </w:tc>
        <w:tc>
          <w:tcPr>
            <w:tcW w:w="1301" w:type="dxa"/>
            <w:vAlign w:val="center"/>
          </w:tcPr>
          <w:p w:rsidR="00B00E6E" w:rsidRDefault="002C14CD">
            <w:pPr>
              <w:jc w:val="center"/>
            </w:pPr>
            <w:r>
              <w:rPr>
                <w:sz w:val="24"/>
                <w:szCs w:val="24"/>
              </w:rPr>
              <w:t>否</w:t>
            </w:r>
          </w:p>
        </w:tc>
      </w:tr>
      <w:tr w:rsidR="00B00E6E">
        <w:tc>
          <w:tcPr>
            <w:tcW w:w="835" w:type="dxa"/>
            <w:vAlign w:val="center"/>
          </w:tcPr>
          <w:p w:rsidR="00B00E6E" w:rsidRDefault="002C14CD">
            <w:pPr>
              <w:jc w:val="center"/>
            </w:pPr>
            <w:r>
              <w:rPr>
                <w:sz w:val="24"/>
                <w:szCs w:val="24"/>
              </w:rPr>
              <w:t>5</w:t>
            </w:r>
          </w:p>
        </w:tc>
        <w:tc>
          <w:tcPr>
            <w:tcW w:w="1159" w:type="dxa"/>
            <w:vAlign w:val="center"/>
          </w:tcPr>
          <w:p w:rsidR="00B00E6E" w:rsidRDefault="002C14CD">
            <w:pPr>
              <w:jc w:val="center"/>
            </w:pPr>
            <w:r>
              <w:rPr>
                <w:sz w:val="24"/>
                <w:szCs w:val="24"/>
              </w:rPr>
              <w:t>378010</w:t>
            </w:r>
          </w:p>
        </w:tc>
        <w:tc>
          <w:tcPr>
            <w:tcW w:w="1161" w:type="dxa"/>
            <w:vAlign w:val="center"/>
          </w:tcPr>
          <w:p w:rsidR="00B00E6E" w:rsidRDefault="002C14CD">
            <w:pPr>
              <w:jc w:val="center"/>
            </w:pPr>
            <w:r>
              <w:rPr>
                <w:sz w:val="24"/>
                <w:szCs w:val="24"/>
              </w:rPr>
              <w:t>上投摩根成长先锋混合</w:t>
            </w:r>
          </w:p>
        </w:tc>
        <w:tc>
          <w:tcPr>
            <w:tcW w:w="1161" w:type="dxa"/>
            <w:vAlign w:val="center"/>
          </w:tcPr>
          <w:p w:rsidR="00B00E6E" w:rsidRDefault="002C14CD">
            <w:pPr>
              <w:jc w:val="center"/>
            </w:pPr>
            <w:r>
              <w:rPr>
                <w:sz w:val="24"/>
                <w:szCs w:val="24"/>
              </w:rPr>
              <w:t>契约型开放式</w:t>
            </w:r>
          </w:p>
        </w:tc>
        <w:tc>
          <w:tcPr>
            <w:tcW w:w="1159" w:type="dxa"/>
            <w:vAlign w:val="center"/>
          </w:tcPr>
          <w:p w:rsidR="00B00E6E" w:rsidRDefault="002C14CD">
            <w:pPr>
              <w:jc w:val="center"/>
            </w:pPr>
            <w:r>
              <w:rPr>
                <w:sz w:val="24"/>
                <w:szCs w:val="24"/>
              </w:rPr>
              <w:t>705,713.93</w:t>
            </w:r>
          </w:p>
        </w:tc>
        <w:tc>
          <w:tcPr>
            <w:tcW w:w="1305" w:type="dxa"/>
            <w:vAlign w:val="center"/>
          </w:tcPr>
          <w:p w:rsidR="00B00E6E" w:rsidRDefault="002C14CD">
            <w:pPr>
              <w:jc w:val="center"/>
            </w:pPr>
            <w:r>
              <w:rPr>
                <w:sz w:val="24"/>
                <w:szCs w:val="24"/>
              </w:rPr>
              <w:t>1,376,918.45</w:t>
            </w:r>
          </w:p>
        </w:tc>
        <w:tc>
          <w:tcPr>
            <w:tcW w:w="1161" w:type="dxa"/>
            <w:vAlign w:val="center"/>
          </w:tcPr>
          <w:p w:rsidR="00B00E6E" w:rsidRDefault="002C14CD">
            <w:pPr>
              <w:jc w:val="center"/>
            </w:pPr>
            <w:r>
              <w:rPr>
                <w:sz w:val="24"/>
                <w:szCs w:val="24"/>
              </w:rPr>
              <w:t>5.28%</w:t>
            </w:r>
          </w:p>
        </w:tc>
        <w:tc>
          <w:tcPr>
            <w:tcW w:w="1301" w:type="dxa"/>
            <w:vAlign w:val="center"/>
          </w:tcPr>
          <w:p w:rsidR="00B00E6E" w:rsidRDefault="002C14CD">
            <w:pPr>
              <w:jc w:val="center"/>
            </w:pPr>
            <w:r>
              <w:rPr>
                <w:sz w:val="24"/>
                <w:szCs w:val="24"/>
              </w:rPr>
              <w:t>是</w:t>
            </w:r>
          </w:p>
        </w:tc>
      </w:tr>
      <w:tr w:rsidR="00B00E6E">
        <w:tc>
          <w:tcPr>
            <w:tcW w:w="835" w:type="dxa"/>
            <w:vAlign w:val="center"/>
          </w:tcPr>
          <w:p w:rsidR="00B00E6E" w:rsidRDefault="002C14CD">
            <w:pPr>
              <w:jc w:val="center"/>
            </w:pPr>
            <w:r>
              <w:rPr>
                <w:sz w:val="24"/>
                <w:szCs w:val="24"/>
              </w:rPr>
              <w:t>6</w:t>
            </w:r>
          </w:p>
        </w:tc>
        <w:tc>
          <w:tcPr>
            <w:tcW w:w="1159" w:type="dxa"/>
            <w:vAlign w:val="center"/>
          </w:tcPr>
          <w:p w:rsidR="00B00E6E" w:rsidRDefault="002C14CD">
            <w:pPr>
              <w:jc w:val="center"/>
            </w:pPr>
            <w:r>
              <w:rPr>
                <w:sz w:val="24"/>
                <w:szCs w:val="24"/>
              </w:rPr>
              <w:t>159922</w:t>
            </w:r>
          </w:p>
        </w:tc>
        <w:tc>
          <w:tcPr>
            <w:tcW w:w="1161" w:type="dxa"/>
            <w:vAlign w:val="center"/>
          </w:tcPr>
          <w:p w:rsidR="00B00E6E" w:rsidRDefault="002C14CD">
            <w:pPr>
              <w:jc w:val="center"/>
            </w:pPr>
            <w:r>
              <w:rPr>
                <w:sz w:val="24"/>
                <w:szCs w:val="24"/>
              </w:rPr>
              <w:t>嘉实中证</w:t>
            </w:r>
            <w:r>
              <w:rPr>
                <w:sz w:val="24"/>
                <w:szCs w:val="24"/>
              </w:rPr>
              <w:t>500ETF</w:t>
            </w:r>
          </w:p>
        </w:tc>
        <w:tc>
          <w:tcPr>
            <w:tcW w:w="1161" w:type="dxa"/>
            <w:vAlign w:val="center"/>
          </w:tcPr>
          <w:p w:rsidR="00B00E6E" w:rsidRDefault="002C14CD">
            <w:pPr>
              <w:jc w:val="center"/>
            </w:pPr>
            <w:r>
              <w:rPr>
                <w:sz w:val="24"/>
                <w:szCs w:val="24"/>
              </w:rPr>
              <w:t>契约型开放式</w:t>
            </w:r>
          </w:p>
        </w:tc>
        <w:tc>
          <w:tcPr>
            <w:tcW w:w="1159" w:type="dxa"/>
            <w:vAlign w:val="center"/>
          </w:tcPr>
          <w:p w:rsidR="00B00E6E" w:rsidRDefault="002C14CD">
            <w:pPr>
              <w:jc w:val="center"/>
            </w:pPr>
            <w:r>
              <w:rPr>
                <w:sz w:val="24"/>
                <w:szCs w:val="24"/>
              </w:rPr>
              <w:t>171,500.00</w:t>
            </w:r>
          </w:p>
        </w:tc>
        <w:tc>
          <w:tcPr>
            <w:tcW w:w="1305" w:type="dxa"/>
            <w:vAlign w:val="center"/>
          </w:tcPr>
          <w:p w:rsidR="00B00E6E" w:rsidRDefault="002C14CD">
            <w:pPr>
              <w:jc w:val="center"/>
            </w:pPr>
            <w:r>
              <w:rPr>
                <w:sz w:val="24"/>
                <w:szCs w:val="24"/>
              </w:rPr>
              <w:t>1,293,110.00</w:t>
            </w:r>
          </w:p>
        </w:tc>
        <w:tc>
          <w:tcPr>
            <w:tcW w:w="1161" w:type="dxa"/>
            <w:vAlign w:val="center"/>
          </w:tcPr>
          <w:p w:rsidR="00B00E6E" w:rsidRDefault="002C14CD">
            <w:pPr>
              <w:jc w:val="center"/>
            </w:pPr>
            <w:r>
              <w:rPr>
                <w:sz w:val="24"/>
                <w:szCs w:val="24"/>
              </w:rPr>
              <w:t>4.96%</w:t>
            </w:r>
          </w:p>
        </w:tc>
        <w:tc>
          <w:tcPr>
            <w:tcW w:w="1301" w:type="dxa"/>
            <w:vAlign w:val="center"/>
          </w:tcPr>
          <w:p w:rsidR="00B00E6E" w:rsidRDefault="002C14CD">
            <w:pPr>
              <w:jc w:val="center"/>
            </w:pPr>
            <w:r>
              <w:rPr>
                <w:sz w:val="24"/>
                <w:szCs w:val="24"/>
              </w:rPr>
              <w:t>否</w:t>
            </w:r>
          </w:p>
        </w:tc>
      </w:tr>
      <w:tr w:rsidR="00B00E6E">
        <w:tc>
          <w:tcPr>
            <w:tcW w:w="835" w:type="dxa"/>
            <w:vAlign w:val="center"/>
          </w:tcPr>
          <w:p w:rsidR="00B00E6E" w:rsidRDefault="002C14CD">
            <w:pPr>
              <w:jc w:val="center"/>
            </w:pPr>
            <w:r>
              <w:rPr>
                <w:sz w:val="24"/>
                <w:szCs w:val="24"/>
              </w:rPr>
              <w:t>7</w:t>
            </w:r>
          </w:p>
        </w:tc>
        <w:tc>
          <w:tcPr>
            <w:tcW w:w="1159" w:type="dxa"/>
            <w:vAlign w:val="center"/>
          </w:tcPr>
          <w:p w:rsidR="00B00E6E" w:rsidRDefault="002C14CD">
            <w:pPr>
              <w:jc w:val="center"/>
            </w:pPr>
            <w:r>
              <w:rPr>
                <w:sz w:val="24"/>
                <w:szCs w:val="24"/>
              </w:rPr>
              <w:t>005613</w:t>
            </w:r>
          </w:p>
        </w:tc>
        <w:tc>
          <w:tcPr>
            <w:tcW w:w="1161" w:type="dxa"/>
            <w:vAlign w:val="center"/>
          </w:tcPr>
          <w:p w:rsidR="00B00E6E" w:rsidRDefault="002C14CD">
            <w:pPr>
              <w:jc w:val="center"/>
            </w:pPr>
            <w:r>
              <w:rPr>
                <w:sz w:val="24"/>
                <w:szCs w:val="24"/>
              </w:rPr>
              <w:t>上投摩根富时发达市场</w:t>
            </w:r>
            <w:r>
              <w:rPr>
                <w:sz w:val="24"/>
                <w:szCs w:val="24"/>
              </w:rPr>
              <w:t>REITS</w:t>
            </w:r>
            <w:r>
              <w:rPr>
                <w:sz w:val="24"/>
                <w:szCs w:val="24"/>
              </w:rPr>
              <w:t>指数</w:t>
            </w:r>
          </w:p>
        </w:tc>
        <w:tc>
          <w:tcPr>
            <w:tcW w:w="1161" w:type="dxa"/>
            <w:vAlign w:val="center"/>
          </w:tcPr>
          <w:p w:rsidR="00B00E6E" w:rsidRDefault="002C14CD">
            <w:pPr>
              <w:jc w:val="center"/>
            </w:pPr>
            <w:r>
              <w:rPr>
                <w:sz w:val="24"/>
                <w:szCs w:val="24"/>
              </w:rPr>
              <w:t>契约型开放式</w:t>
            </w:r>
          </w:p>
        </w:tc>
        <w:tc>
          <w:tcPr>
            <w:tcW w:w="1159" w:type="dxa"/>
            <w:vAlign w:val="center"/>
          </w:tcPr>
          <w:p w:rsidR="00B00E6E" w:rsidRDefault="002C14CD">
            <w:pPr>
              <w:jc w:val="center"/>
            </w:pPr>
            <w:r>
              <w:rPr>
                <w:sz w:val="24"/>
                <w:szCs w:val="24"/>
              </w:rPr>
              <w:t>1,002,693.93</w:t>
            </w:r>
          </w:p>
        </w:tc>
        <w:tc>
          <w:tcPr>
            <w:tcW w:w="1305" w:type="dxa"/>
            <w:vAlign w:val="center"/>
          </w:tcPr>
          <w:p w:rsidR="00B00E6E" w:rsidRDefault="002C14CD">
            <w:pPr>
              <w:jc w:val="center"/>
            </w:pPr>
            <w:r>
              <w:rPr>
                <w:sz w:val="24"/>
                <w:szCs w:val="24"/>
              </w:rPr>
              <w:t>1,239,429.97</w:t>
            </w:r>
          </w:p>
        </w:tc>
        <w:tc>
          <w:tcPr>
            <w:tcW w:w="1161" w:type="dxa"/>
            <w:vAlign w:val="center"/>
          </w:tcPr>
          <w:p w:rsidR="00B00E6E" w:rsidRDefault="002C14CD">
            <w:pPr>
              <w:jc w:val="center"/>
            </w:pPr>
            <w:r>
              <w:rPr>
                <w:sz w:val="24"/>
                <w:szCs w:val="24"/>
              </w:rPr>
              <w:t>4.75%</w:t>
            </w:r>
          </w:p>
        </w:tc>
        <w:tc>
          <w:tcPr>
            <w:tcW w:w="1301" w:type="dxa"/>
            <w:vAlign w:val="center"/>
          </w:tcPr>
          <w:p w:rsidR="00B00E6E" w:rsidRDefault="002C14CD">
            <w:pPr>
              <w:jc w:val="center"/>
            </w:pPr>
            <w:r>
              <w:rPr>
                <w:sz w:val="24"/>
                <w:szCs w:val="24"/>
              </w:rPr>
              <w:t>是</w:t>
            </w:r>
          </w:p>
        </w:tc>
      </w:tr>
      <w:tr w:rsidR="00B00E6E">
        <w:tc>
          <w:tcPr>
            <w:tcW w:w="835" w:type="dxa"/>
            <w:vAlign w:val="center"/>
          </w:tcPr>
          <w:p w:rsidR="00B00E6E" w:rsidRDefault="002C14CD">
            <w:pPr>
              <w:jc w:val="center"/>
            </w:pPr>
            <w:r>
              <w:rPr>
                <w:sz w:val="24"/>
                <w:szCs w:val="24"/>
              </w:rPr>
              <w:t>8</w:t>
            </w:r>
          </w:p>
        </w:tc>
        <w:tc>
          <w:tcPr>
            <w:tcW w:w="1159" w:type="dxa"/>
            <w:vAlign w:val="center"/>
          </w:tcPr>
          <w:p w:rsidR="00B00E6E" w:rsidRDefault="002C14CD">
            <w:pPr>
              <w:jc w:val="center"/>
            </w:pPr>
            <w:r>
              <w:rPr>
                <w:sz w:val="24"/>
                <w:szCs w:val="24"/>
              </w:rPr>
              <w:t>512800</w:t>
            </w:r>
          </w:p>
        </w:tc>
        <w:tc>
          <w:tcPr>
            <w:tcW w:w="1161" w:type="dxa"/>
            <w:vAlign w:val="center"/>
          </w:tcPr>
          <w:p w:rsidR="00B00E6E" w:rsidRDefault="002C14CD">
            <w:pPr>
              <w:jc w:val="center"/>
            </w:pPr>
            <w:r>
              <w:rPr>
                <w:sz w:val="24"/>
                <w:szCs w:val="24"/>
              </w:rPr>
              <w:t>华宝中证银行</w:t>
            </w:r>
            <w:r>
              <w:rPr>
                <w:sz w:val="24"/>
                <w:szCs w:val="24"/>
              </w:rPr>
              <w:t>ETF</w:t>
            </w:r>
          </w:p>
        </w:tc>
        <w:tc>
          <w:tcPr>
            <w:tcW w:w="1161" w:type="dxa"/>
            <w:vAlign w:val="center"/>
          </w:tcPr>
          <w:p w:rsidR="00B00E6E" w:rsidRDefault="002C14CD">
            <w:pPr>
              <w:jc w:val="center"/>
            </w:pPr>
            <w:r>
              <w:rPr>
                <w:sz w:val="24"/>
                <w:szCs w:val="24"/>
              </w:rPr>
              <w:t>契约型开放式</w:t>
            </w:r>
          </w:p>
        </w:tc>
        <w:tc>
          <w:tcPr>
            <w:tcW w:w="1159" w:type="dxa"/>
            <w:vAlign w:val="center"/>
          </w:tcPr>
          <w:p w:rsidR="00B00E6E" w:rsidRDefault="002C14CD">
            <w:pPr>
              <w:jc w:val="center"/>
            </w:pPr>
            <w:r>
              <w:rPr>
                <w:sz w:val="24"/>
                <w:szCs w:val="24"/>
              </w:rPr>
              <w:t>963,800.00</w:t>
            </w:r>
          </w:p>
        </w:tc>
        <w:tc>
          <w:tcPr>
            <w:tcW w:w="1305" w:type="dxa"/>
            <w:vAlign w:val="center"/>
          </w:tcPr>
          <w:p w:rsidR="00B00E6E" w:rsidRDefault="002C14CD">
            <w:pPr>
              <w:jc w:val="center"/>
            </w:pPr>
            <w:r>
              <w:rPr>
                <w:sz w:val="24"/>
                <w:szCs w:val="24"/>
              </w:rPr>
              <w:t>1,185,474.00</w:t>
            </w:r>
          </w:p>
        </w:tc>
        <w:tc>
          <w:tcPr>
            <w:tcW w:w="1161" w:type="dxa"/>
            <w:vAlign w:val="center"/>
          </w:tcPr>
          <w:p w:rsidR="00B00E6E" w:rsidRDefault="002C14CD">
            <w:pPr>
              <w:jc w:val="center"/>
            </w:pPr>
            <w:r>
              <w:rPr>
                <w:sz w:val="24"/>
                <w:szCs w:val="24"/>
              </w:rPr>
              <w:t>4.54%</w:t>
            </w:r>
          </w:p>
        </w:tc>
        <w:tc>
          <w:tcPr>
            <w:tcW w:w="1301" w:type="dxa"/>
            <w:vAlign w:val="center"/>
          </w:tcPr>
          <w:p w:rsidR="00B00E6E" w:rsidRDefault="002C14CD">
            <w:pPr>
              <w:jc w:val="center"/>
            </w:pPr>
            <w:r>
              <w:rPr>
                <w:sz w:val="24"/>
                <w:szCs w:val="24"/>
              </w:rPr>
              <w:t>否</w:t>
            </w:r>
          </w:p>
        </w:tc>
      </w:tr>
      <w:tr w:rsidR="00B00E6E">
        <w:tc>
          <w:tcPr>
            <w:tcW w:w="835" w:type="dxa"/>
            <w:vAlign w:val="center"/>
          </w:tcPr>
          <w:p w:rsidR="00B00E6E" w:rsidRDefault="002C14CD">
            <w:pPr>
              <w:jc w:val="center"/>
            </w:pPr>
            <w:r>
              <w:rPr>
                <w:sz w:val="24"/>
                <w:szCs w:val="24"/>
              </w:rPr>
              <w:t>9</w:t>
            </w:r>
          </w:p>
        </w:tc>
        <w:tc>
          <w:tcPr>
            <w:tcW w:w="1159" w:type="dxa"/>
            <w:vAlign w:val="center"/>
          </w:tcPr>
          <w:p w:rsidR="00B00E6E" w:rsidRDefault="002C14CD">
            <w:pPr>
              <w:jc w:val="center"/>
            </w:pPr>
            <w:r>
              <w:rPr>
                <w:sz w:val="24"/>
                <w:szCs w:val="24"/>
              </w:rPr>
              <w:t>001766</w:t>
            </w:r>
          </w:p>
        </w:tc>
        <w:tc>
          <w:tcPr>
            <w:tcW w:w="1161" w:type="dxa"/>
            <w:vAlign w:val="center"/>
          </w:tcPr>
          <w:p w:rsidR="00B00E6E" w:rsidRDefault="002C14CD">
            <w:pPr>
              <w:jc w:val="center"/>
            </w:pPr>
            <w:r>
              <w:rPr>
                <w:sz w:val="24"/>
                <w:szCs w:val="24"/>
              </w:rPr>
              <w:t>上投摩根医疗健康股票</w:t>
            </w:r>
          </w:p>
        </w:tc>
        <w:tc>
          <w:tcPr>
            <w:tcW w:w="1161" w:type="dxa"/>
            <w:vAlign w:val="center"/>
          </w:tcPr>
          <w:p w:rsidR="00B00E6E" w:rsidRDefault="002C14CD">
            <w:pPr>
              <w:jc w:val="center"/>
            </w:pPr>
            <w:r>
              <w:rPr>
                <w:sz w:val="24"/>
                <w:szCs w:val="24"/>
              </w:rPr>
              <w:t>契约型开放式</w:t>
            </w:r>
          </w:p>
        </w:tc>
        <w:tc>
          <w:tcPr>
            <w:tcW w:w="1159" w:type="dxa"/>
            <w:vAlign w:val="center"/>
          </w:tcPr>
          <w:p w:rsidR="00B00E6E" w:rsidRDefault="002C14CD">
            <w:pPr>
              <w:jc w:val="center"/>
            </w:pPr>
            <w:r>
              <w:rPr>
                <w:sz w:val="24"/>
                <w:szCs w:val="24"/>
              </w:rPr>
              <w:t>383,941.90</w:t>
            </w:r>
          </w:p>
        </w:tc>
        <w:tc>
          <w:tcPr>
            <w:tcW w:w="1305" w:type="dxa"/>
            <w:vAlign w:val="center"/>
          </w:tcPr>
          <w:p w:rsidR="00B00E6E" w:rsidRDefault="002C14CD">
            <w:pPr>
              <w:jc w:val="center"/>
            </w:pPr>
            <w:r>
              <w:rPr>
                <w:sz w:val="24"/>
                <w:szCs w:val="24"/>
              </w:rPr>
              <w:t>1,148,216.65</w:t>
            </w:r>
          </w:p>
        </w:tc>
        <w:tc>
          <w:tcPr>
            <w:tcW w:w="1161" w:type="dxa"/>
            <w:vAlign w:val="center"/>
          </w:tcPr>
          <w:p w:rsidR="00B00E6E" w:rsidRDefault="002C14CD">
            <w:pPr>
              <w:jc w:val="center"/>
            </w:pPr>
            <w:r>
              <w:rPr>
                <w:sz w:val="24"/>
                <w:szCs w:val="24"/>
              </w:rPr>
              <w:t>4.40%</w:t>
            </w:r>
          </w:p>
        </w:tc>
        <w:tc>
          <w:tcPr>
            <w:tcW w:w="1301" w:type="dxa"/>
            <w:vAlign w:val="center"/>
          </w:tcPr>
          <w:p w:rsidR="00B00E6E" w:rsidRDefault="002C14CD">
            <w:pPr>
              <w:jc w:val="center"/>
            </w:pPr>
            <w:r>
              <w:rPr>
                <w:sz w:val="24"/>
                <w:szCs w:val="24"/>
              </w:rPr>
              <w:t>是</w:t>
            </w:r>
          </w:p>
        </w:tc>
      </w:tr>
      <w:tr w:rsidR="00B00E6E">
        <w:tc>
          <w:tcPr>
            <w:tcW w:w="835" w:type="dxa"/>
            <w:vAlign w:val="center"/>
          </w:tcPr>
          <w:p w:rsidR="00B00E6E" w:rsidRDefault="002C14CD">
            <w:pPr>
              <w:jc w:val="center"/>
            </w:pPr>
            <w:r>
              <w:rPr>
                <w:sz w:val="24"/>
                <w:szCs w:val="24"/>
              </w:rPr>
              <w:t>10</w:t>
            </w:r>
          </w:p>
        </w:tc>
        <w:tc>
          <w:tcPr>
            <w:tcW w:w="1159" w:type="dxa"/>
            <w:vAlign w:val="center"/>
          </w:tcPr>
          <w:p w:rsidR="00B00E6E" w:rsidRDefault="002C14CD">
            <w:pPr>
              <w:jc w:val="center"/>
            </w:pPr>
            <w:r>
              <w:rPr>
                <w:sz w:val="24"/>
                <w:szCs w:val="24"/>
              </w:rPr>
              <w:t>370027</w:t>
            </w:r>
          </w:p>
        </w:tc>
        <w:tc>
          <w:tcPr>
            <w:tcW w:w="1161" w:type="dxa"/>
            <w:vAlign w:val="center"/>
          </w:tcPr>
          <w:p w:rsidR="00B00E6E" w:rsidRDefault="002C14CD">
            <w:pPr>
              <w:jc w:val="center"/>
            </w:pPr>
            <w:r>
              <w:rPr>
                <w:sz w:val="24"/>
                <w:szCs w:val="24"/>
              </w:rPr>
              <w:t>上投摩根智选</w:t>
            </w:r>
            <w:r>
              <w:rPr>
                <w:sz w:val="24"/>
                <w:szCs w:val="24"/>
              </w:rPr>
              <w:t>30</w:t>
            </w:r>
            <w:r>
              <w:rPr>
                <w:sz w:val="24"/>
                <w:szCs w:val="24"/>
              </w:rPr>
              <w:t>混合</w:t>
            </w:r>
          </w:p>
        </w:tc>
        <w:tc>
          <w:tcPr>
            <w:tcW w:w="1161" w:type="dxa"/>
            <w:vAlign w:val="center"/>
          </w:tcPr>
          <w:p w:rsidR="00B00E6E" w:rsidRDefault="002C14CD">
            <w:pPr>
              <w:jc w:val="center"/>
            </w:pPr>
            <w:r>
              <w:rPr>
                <w:sz w:val="24"/>
                <w:szCs w:val="24"/>
              </w:rPr>
              <w:t>契约型开放式</w:t>
            </w:r>
          </w:p>
        </w:tc>
        <w:tc>
          <w:tcPr>
            <w:tcW w:w="1159" w:type="dxa"/>
            <w:vAlign w:val="center"/>
          </w:tcPr>
          <w:p w:rsidR="00B00E6E" w:rsidRDefault="002C14CD">
            <w:pPr>
              <w:jc w:val="center"/>
            </w:pPr>
            <w:r>
              <w:rPr>
                <w:sz w:val="24"/>
                <w:szCs w:val="24"/>
              </w:rPr>
              <w:t>252,308.08</w:t>
            </w:r>
          </w:p>
        </w:tc>
        <w:tc>
          <w:tcPr>
            <w:tcW w:w="1305" w:type="dxa"/>
            <w:vAlign w:val="center"/>
          </w:tcPr>
          <w:p w:rsidR="00B00E6E" w:rsidRDefault="002C14CD">
            <w:pPr>
              <w:jc w:val="center"/>
            </w:pPr>
            <w:r>
              <w:rPr>
                <w:sz w:val="24"/>
                <w:szCs w:val="24"/>
              </w:rPr>
              <w:t>959,880.86</w:t>
            </w:r>
          </w:p>
        </w:tc>
        <w:tc>
          <w:tcPr>
            <w:tcW w:w="1161" w:type="dxa"/>
            <w:vAlign w:val="center"/>
          </w:tcPr>
          <w:p w:rsidR="00B00E6E" w:rsidRDefault="002C14CD">
            <w:pPr>
              <w:jc w:val="center"/>
            </w:pPr>
            <w:r>
              <w:rPr>
                <w:sz w:val="24"/>
                <w:szCs w:val="24"/>
              </w:rPr>
              <w:t>3.68%</w:t>
            </w:r>
          </w:p>
        </w:tc>
        <w:tc>
          <w:tcPr>
            <w:tcW w:w="1301" w:type="dxa"/>
            <w:vAlign w:val="center"/>
          </w:tcPr>
          <w:p w:rsidR="00B00E6E" w:rsidRDefault="002C14CD">
            <w:pPr>
              <w:jc w:val="center"/>
            </w:pPr>
            <w:r>
              <w:rPr>
                <w:sz w:val="24"/>
                <w:szCs w:val="24"/>
              </w:rPr>
              <w:t>是</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本期费用</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其中：交易及持有基金管理人以及管理人关联方所管理基金产生的费用</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w:t>
            </w:r>
            <w:r w:rsidRPr="00575270">
              <w:rPr>
                <w:sz w:val="24"/>
                <w:szCs w:val="24"/>
              </w:rPr>
              <w:lastRenderedPageBreak/>
              <w:t>费</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lastRenderedPageBreak/>
              <w:t>0.00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9,544.13</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9,544.13</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60,179.61</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53,478.73</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10,866.46</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9,280.88</w:t>
            </w:r>
          </w:p>
        </w:tc>
      </w:tr>
      <w:tr w:rsidR="00B00E6E">
        <w:tc>
          <w:tcPr>
            <w:tcW w:w="3012" w:type="dxa"/>
            <w:vAlign w:val="center"/>
          </w:tcPr>
          <w:p w:rsidR="00B00E6E" w:rsidRDefault="002C14CD">
            <w:pPr>
              <w:jc w:val="left"/>
            </w:pPr>
            <w:r>
              <w:rPr>
                <w:rFonts w:eastAsiaTheme="minorEastAsia"/>
                <w:color w:val="000000" w:themeColor="text1"/>
                <w:sz w:val="24"/>
                <w:szCs w:val="24"/>
              </w:rPr>
              <w:t>当期交易基金产生的交易费（元）</w:t>
            </w:r>
          </w:p>
        </w:tc>
        <w:tc>
          <w:tcPr>
            <w:tcW w:w="3012" w:type="dxa"/>
            <w:vAlign w:val="center"/>
          </w:tcPr>
          <w:p w:rsidR="00B00E6E" w:rsidRDefault="002C14CD">
            <w:pPr>
              <w:jc w:val="right"/>
            </w:pPr>
            <w:r>
              <w:rPr>
                <w:rFonts w:eastAsiaTheme="minorEastAsia"/>
                <w:color w:val="000000" w:themeColor="text1"/>
                <w:sz w:val="24"/>
                <w:szCs w:val="24"/>
              </w:rPr>
              <w:t>5,751.81</w:t>
            </w:r>
          </w:p>
        </w:tc>
        <w:tc>
          <w:tcPr>
            <w:tcW w:w="3012" w:type="dxa"/>
            <w:vAlign w:val="center"/>
          </w:tcPr>
          <w:p w:rsidR="00B00E6E" w:rsidRDefault="002C14CD">
            <w:pPr>
              <w:jc w:val="right"/>
            </w:pPr>
            <w:r>
              <w:rPr>
                <w:rFonts w:eastAsiaTheme="minorEastAsia"/>
                <w:color w:val="000000" w:themeColor="text1"/>
                <w:sz w:val="24"/>
                <w:szCs w:val="24"/>
              </w:rPr>
              <w:t>0.00</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18,355,517.58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2,468,972.98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3,700,782.81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17,123,707.75</w:t>
            </w:r>
          </w:p>
        </w:tc>
      </w:tr>
    </w:tbl>
    <w:p w:rsidR="00320E90" w:rsidRDefault="00320E90" w:rsidP="00C15CAC">
      <w:pPr>
        <w:autoSpaceDE w:val="0"/>
        <w:autoSpaceDN w:val="0"/>
        <w:adjustRightInd w:val="0"/>
        <w:spacing w:before="29" w:line="288" w:lineRule="auto"/>
        <w:jc w:val="left"/>
        <w:rPr>
          <w:color w:val="000000"/>
          <w:sz w:val="24"/>
          <w:szCs w:val="24"/>
        </w:rPr>
      </w:pPr>
    </w:p>
    <w:p w:rsidR="002C14CD" w:rsidRPr="00ED2620" w:rsidRDefault="002C14CD" w:rsidP="002C14CD">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R="002C14CD" w:rsidRPr="00ED2620" w:rsidRDefault="002C14CD" w:rsidP="002C14CD">
      <w:pPr>
        <w:spacing w:line="288" w:lineRule="auto"/>
        <w:jc w:val="left"/>
        <w:rPr>
          <w:sz w:val="24"/>
          <w:szCs w:val="24"/>
        </w:rPr>
      </w:pPr>
      <w:r w:rsidRPr="00ED2620">
        <w:rPr>
          <w:b/>
          <w:sz w:val="24"/>
        </w:rPr>
        <w:t xml:space="preserve">8.1 </w:t>
      </w:r>
      <w:r w:rsidRPr="00ED2620">
        <w:rPr>
          <w:b/>
          <w:sz w:val="24"/>
        </w:rPr>
        <w:t>基金管理人持有本基金份额变动情况</w:t>
      </w:r>
    </w:p>
    <w:p w:rsidR="002C14CD" w:rsidRDefault="002C14CD" w:rsidP="002C14CD">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无。</w:t>
      </w:r>
    </w:p>
    <w:p w:rsidR="005B09FA" w:rsidRPr="00414345" w:rsidRDefault="005B09FA" w:rsidP="00C15CAC">
      <w:pPr>
        <w:autoSpaceDE w:val="0"/>
        <w:autoSpaceDN w:val="0"/>
        <w:adjustRightInd w:val="0"/>
        <w:spacing w:before="29" w:line="288" w:lineRule="auto"/>
        <w:jc w:val="left"/>
        <w:rPr>
          <w:color w:val="000000"/>
          <w:sz w:val="24"/>
          <w:szCs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w:t>
      </w:r>
      <w:r w:rsidR="002C14CD">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2C14CD" w:rsidP="003C50AD">
      <w:pPr>
        <w:autoSpaceDE w:val="0"/>
        <w:autoSpaceDN w:val="0"/>
        <w:adjustRightInd w:val="0"/>
        <w:spacing w:line="360" w:lineRule="auto"/>
        <w:jc w:val="left"/>
        <w:rPr>
          <w:rFonts w:ascii="宋体" w:hAnsi="宋体"/>
          <w:b/>
          <w:bCs/>
          <w:color w:val="000000"/>
          <w:kern w:val="0"/>
          <w:sz w:val="24"/>
          <w:szCs w:val="24"/>
        </w:rPr>
      </w:pPr>
      <w:r>
        <w:rPr>
          <w:rFonts w:ascii="宋体" w:hAnsi="宋体"/>
          <w:b/>
          <w:bCs/>
          <w:color w:val="000000"/>
          <w:kern w:val="0"/>
          <w:sz w:val="24"/>
          <w:szCs w:val="24"/>
        </w:rPr>
        <w:t>9</w:t>
      </w:r>
      <w:r w:rsidR="003C50AD" w:rsidRPr="009A5C99">
        <w:rPr>
          <w:rFonts w:ascii="宋体" w:hAnsi="宋体"/>
          <w:b/>
          <w:bCs/>
          <w:color w:val="000000"/>
          <w:kern w:val="0"/>
          <w:sz w:val="24"/>
          <w:szCs w:val="24"/>
        </w:rPr>
        <w:t>.</w:t>
      </w:r>
      <w:r w:rsidR="003C50AD"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B00E6E">
        <w:tc>
          <w:tcPr>
            <w:tcW w:w="993" w:type="dxa"/>
            <w:vMerge w:val="restart"/>
            <w:vAlign w:val="center"/>
          </w:tcPr>
          <w:p w:rsidR="00B00E6E" w:rsidRDefault="002C14CD">
            <w:r>
              <w:rPr>
                <w:rFonts w:ascii="宋体" w:hAnsi="宋体" w:hint="eastAsia"/>
                <w:bCs/>
                <w:color w:val="000000"/>
                <w:kern w:val="0"/>
              </w:rPr>
              <w:t>个人</w:t>
            </w:r>
          </w:p>
        </w:tc>
        <w:tc>
          <w:tcPr>
            <w:tcW w:w="992" w:type="dxa"/>
            <w:vAlign w:val="center"/>
          </w:tcPr>
          <w:p w:rsidR="00B00E6E" w:rsidRDefault="002C14CD">
            <w:pPr>
              <w:jc w:val="center"/>
            </w:pPr>
            <w:r>
              <w:rPr>
                <w:rFonts w:ascii="宋体" w:hAnsi="宋体"/>
                <w:kern w:val="0"/>
              </w:rPr>
              <w:t>1</w:t>
            </w:r>
          </w:p>
        </w:tc>
        <w:tc>
          <w:tcPr>
            <w:tcW w:w="1843" w:type="dxa"/>
            <w:vAlign w:val="center"/>
          </w:tcPr>
          <w:p w:rsidR="00B00E6E" w:rsidRDefault="002C14CD">
            <w:pPr>
              <w:jc w:val="center"/>
            </w:pPr>
            <w:r>
              <w:rPr>
                <w:rFonts w:ascii="宋体" w:hAnsi="宋体"/>
                <w:kern w:val="0"/>
              </w:rPr>
              <w:t>20210401-20210615</w:t>
            </w:r>
          </w:p>
        </w:tc>
        <w:tc>
          <w:tcPr>
            <w:tcW w:w="851" w:type="dxa"/>
            <w:vAlign w:val="center"/>
          </w:tcPr>
          <w:p w:rsidR="00B00E6E" w:rsidRDefault="002C14CD">
            <w:pPr>
              <w:jc w:val="center"/>
            </w:pPr>
            <w:r>
              <w:rPr>
                <w:rFonts w:ascii="宋体" w:hAnsi="宋体"/>
                <w:kern w:val="0"/>
              </w:rPr>
              <w:t>5,043,192.61</w:t>
            </w:r>
          </w:p>
        </w:tc>
        <w:tc>
          <w:tcPr>
            <w:tcW w:w="850" w:type="dxa"/>
            <w:vAlign w:val="center"/>
          </w:tcPr>
          <w:p w:rsidR="00B00E6E" w:rsidRDefault="002C14CD">
            <w:pPr>
              <w:jc w:val="center"/>
            </w:pPr>
            <w:r>
              <w:rPr>
                <w:rFonts w:ascii="宋体" w:hAnsi="宋体"/>
                <w:kern w:val="0"/>
              </w:rPr>
              <w:t>0.00</w:t>
            </w:r>
          </w:p>
        </w:tc>
        <w:tc>
          <w:tcPr>
            <w:tcW w:w="1134" w:type="dxa"/>
            <w:vAlign w:val="center"/>
          </w:tcPr>
          <w:p w:rsidR="00B00E6E" w:rsidRDefault="002C14CD">
            <w:pPr>
              <w:jc w:val="center"/>
            </w:pPr>
            <w:r>
              <w:rPr>
                <w:rFonts w:ascii="宋体" w:hAnsi="宋体"/>
                <w:kern w:val="0"/>
              </w:rPr>
              <w:t>2,521,596.31</w:t>
            </w:r>
          </w:p>
        </w:tc>
        <w:tc>
          <w:tcPr>
            <w:tcW w:w="1419" w:type="dxa"/>
            <w:vAlign w:val="center"/>
          </w:tcPr>
          <w:p w:rsidR="00B00E6E" w:rsidRDefault="002C14CD">
            <w:pPr>
              <w:jc w:val="center"/>
            </w:pPr>
            <w:r>
              <w:rPr>
                <w:rFonts w:ascii="宋体" w:hAnsi="宋体"/>
                <w:kern w:val="0"/>
              </w:rPr>
              <w:t>2,521,596.30</w:t>
            </w:r>
          </w:p>
        </w:tc>
        <w:tc>
          <w:tcPr>
            <w:tcW w:w="1130" w:type="dxa"/>
            <w:vAlign w:val="center"/>
          </w:tcPr>
          <w:p w:rsidR="00B00E6E" w:rsidRDefault="002C14CD">
            <w:pPr>
              <w:jc w:val="center"/>
            </w:pPr>
            <w:r>
              <w:rPr>
                <w:rFonts w:ascii="宋体" w:hAnsi="宋体"/>
                <w:kern w:val="0"/>
              </w:rPr>
              <w:t>14.73%</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2C14CD">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2C14CD"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00E6E" w:rsidRDefault="002C14C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、中国证监会准予上投摩根尚睿混合型基金中基金</w:t>
      </w:r>
      <w:r>
        <w:rPr>
          <w:color w:val="000000"/>
          <w:sz w:val="24"/>
          <w:szCs w:val="24"/>
        </w:rPr>
        <w:t>(FOF)</w:t>
      </w:r>
      <w:r>
        <w:rPr>
          <w:color w:val="000000"/>
          <w:sz w:val="24"/>
          <w:szCs w:val="24"/>
        </w:rPr>
        <w:t>募集注册的文件；</w:t>
      </w:r>
      <w:r>
        <w:rPr>
          <w:color w:val="000000"/>
          <w:sz w:val="24"/>
          <w:szCs w:val="24"/>
        </w:rPr>
        <w:t xml:space="preserve"> </w:t>
      </w:r>
    </w:p>
    <w:p w:rsidR="00B00E6E" w:rsidRDefault="002C14CD">
      <w:pPr>
        <w:spacing w:before="29" w:line="288" w:lineRule="auto"/>
        <w:ind w:firstLineChars="200" w:firstLine="480"/>
        <w:rPr>
          <w:color w:val="000000"/>
          <w:sz w:val="24"/>
          <w:szCs w:val="24"/>
        </w:rPr>
      </w:pPr>
      <w:r>
        <w:rPr>
          <w:color w:val="000000"/>
          <w:sz w:val="24"/>
          <w:szCs w:val="24"/>
        </w:rPr>
        <w:t>2</w:t>
      </w:r>
      <w:r>
        <w:rPr>
          <w:color w:val="000000"/>
          <w:sz w:val="24"/>
          <w:szCs w:val="24"/>
        </w:rPr>
        <w:t>、《上投摩根尚睿混合型基金中基金</w:t>
      </w:r>
      <w:r>
        <w:rPr>
          <w:color w:val="000000"/>
          <w:sz w:val="24"/>
          <w:szCs w:val="24"/>
        </w:rPr>
        <w:t>(FOF)</w:t>
      </w:r>
      <w:r>
        <w:rPr>
          <w:color w:val="000000"/>
          <w:sz w:val="24"/>
          <w:szCs w:val="24"/>
        </w:rPr>
        <w:t>基金合同》；</w:t>
      </w:r>
      <w:r>
        <w:rPr>
          <w:color w:val="000000"/>
          <w:sz w:val="24"/>
          <w:szCs w:val="24"/>
        </w:rPr>
        <w:t xml:space="preserve"> </w:t>
      </w:r>
    </w:p>
    <w:p w:rsidR="00B00E6E" w:rsidRDefault="002C14CD">
      <w:pPr>
        <w:spacing w:before="29" w:line="288" w:lineRule="auto"/>
        <w:ind w:firstLineChars="200" w:firstLine="480"/>
        <w:rPr>
          <w:color w:val="000000"/>
          <w:sz w:val="24"/>
          <w:szCs w:val="24"/>
        </w:rPr>
      </w:pPr>
      <w:r>
        <w:rPr>
          <w:color w:val="000000"/>
          <w:sz w:val="24"/>
          <w:szCs w:val="24"/>
        </w:rPr>
        <w:t>3</w:t>
      </w:r>
      <w:r>
        <w:rPr>
          <w:color w:val="000000"/>
          <w:sz w:val="24"/>
          <w:szCs w:val="24"/>
        </w:rPr>
        <w:t>、《上投摩根尚睿混合型基金中基金</w:t>
      </w:r>
      <w:r>
        <w:rPr>
          <w:color w:val="000000"/>
          <w:sz w:val="24"/>
          <w:szCs w:val="24"/>
        </w:rPr>
        <w:t>(FOF)</w:t>
      </w:r>
      <w:r>
        <w:rPr>
          <w:color w:val="000000"/>
          <w:sz w:val="24"/>
          <w:szCs w:val="24"/>
        </w:rPr>
        <w:t>托管协议》；</w:t>
      </w:r>
      <w:r>
        <w:rPr>
          <w:color w:val="000000"/>
          <w:sz w:val="24"/>
          <w:szCs w:val="24"/>
        </w:rPr>
        <w:t xml:space="preserve"> </w:t>
      </w:r>
    </w:p>
    <w:p w:rsidR="00B00E6E" w:rsidRDefault="002C14CD">
      <w:pPr>
        <w:spacing w:before="29" w:line="288" w:lineRule="auto"/>
        <w:ind w:firstLineChars="200" w:firstLine="480"/>
        <w:rPr>
          <w:color w:val="000000"/>
          <w:sz w:val="24"/>
          <w:szCs w:val="24"/>
        </w:rPr>
      </w:pPr>
      <w:r>
        <w:rPr>
          <w:color w:val="000000"/>
          <w:sz w:val="24"/>
          <w:szCs w:val="24"/>
        </w:rPr>
        <w:t>4</w:t>
      </w:r>
      <w:r>
        <w:rPr>
          <w:color w:val="000000"/>
          <w:sz w:val="24"/>
          <w:szCs w:val="24"/>
        </w:rPr>
        <w:t>、《上投摩根开放式基金业务规则》；</w:t>
      </w:r>
      <w:r>
        <w:rPr>
          <w:color w:val="000000"/>
          <w:sz w:val="24"/>
          <w:szCs w:val="24"/>
        </w:rPr>
        <w:t xml:space="preserve"> </w:t>
      </w:r>
    </w:p>
    <w:p w:rsidR="00B00E6E" w:rsidRDefault="002C14CD">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6</w:t>
      </w:r>
      <w:r w:rsidRPr="00414345">
        <w:rPr>
          <w:color w:val="000000"/>
          <w:sz w:val="24"/>
          <w:szCs w:val="24"/>
        </w:rPr>
        <w:t>、基金托管人业务资格批件和营业执照。</w:t>
      </w:r>
    </w:p>
    <w:p w:rsidR="006A48FD" w:rsidRPr="00414345" w:rsidRDefault="006A48FD" w:rsidP="00C15CAC">
      <w:pPr>
        <w:spacing w:before="29" w:line="288" w:lineRule="auto"/>
        <w:ind w:firstLineChars="200" w:firstLine="480"/>
        <w:rPr>
          <w:color w:val="000000"/>
          <w:sz w:val="24"/>
          <w:szCs w:val="24"/>
        </w:rPr>
      </w:pPr>
    </w:p>
    <w:p w:rsidR="004061AC" w:rsidRPr="00414345" w:rsidRDefault="002C14CD"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基金管理人或基金托管人处。</w:t>
      </w:r>
    </w:p>
    <w:p w:rsidR="006A48FD" w:rsidRPr="00414345" w:rsidRDefault="006A48FD" w:rsidP="00C15CAC">
      <w:pPr>
        <w:spacing w:before="29" w:line="288" w:lineRule="auto"/>
        <w:ind w:firstLineChars="200" w:firstLine="480"/>
        <w:rPr>
          <w:color w:val="000000"/>
          <w:sz w:val="24"/>
          <w:szCs w:val="24"/>
        </w:rPr>
      </w:pPr>
    </w:p>
    <w:p w:rsidR="004061AC" w:rsidRPr="00414345" w:rsidRDefault="002C14CD"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323" w:rsidRDefault="00D31323" w:rsidP="00876D65">
      <w:r>
        <w:separator/>
      </w:r>
    </w:p>
  </w:endnote>
  <w:endnote w:type="continuationSeparator" w:id="0">
    <w:p w:rsidR="00D31323" w:rsidRDefault="00D3132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DD1B75">
      <w:rPr>
        <w:noProof/>
        <w:kern w:val="0"/>
        <w:szCs w:val="21"/>
      </w:rPr>
      <w:t>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DD1B75">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323" w:rsidRDefault="00D31323" w:rsidP="00876D65">
      <w:r>
        <w:separator/>
      </w:r>
    </w:p>
  </w:footnote>
  <w:footnote w:type="continuationSeparator" w:id="0">
    <w:p w:rsidR="00D31323" w:rsidRDefault="00D31323"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F0" w:rsidRPr="00DC456F" w:rsidRDefault="00DC456F" w:rsidP="00090A26">
    <w:pPr>
      <w:pStyle w:val="ac"/>
      <w:pBdr>
        <w:bottom w:val="single" w:sz="6" w:space="0" w:color="auto"/>
      </w:pBdr>
      <w:jc w:val="right"/>
      <w:rPr>
        <w:sz w:val="24"/>
        <w:szCs w:val="24"/>
      </w:rPr>
    </w:pPr>
    <w:r w:rsidRPr="003E676C">
      <w:rPr>
        <w:sz w:val="24"/>
        <w:szCs w:val="24"/>
      </w:rPr>
      <w:t>上投摩根尚睿混合型基金中基金</w:t>
    </w:r>
    <w:r w:rsidRPr="003E676C">
      <w:rPr>
        <w:sz w:val="24"/>
        <w:szCs w:val="24"/>
      </w:rPr>
      <w:t>(FOF)2021</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777B"/>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14CD"/>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5FC0"/>
    <w:rsid w:val="00AC6C10"/>
    <w:rsid w:val="00AC7BC6"/>
    <w:rsid w:val="00AD24AA"/>
    <w:rsid w:val="00AE7962"/>
    <w:rsid w:val="00AF0A7F"/>
    <w:rsid w:val="00AF1BA1"/>
    <w:rsid w:val="00AF3AB2"/>
    <w:rsid w:val="00B00E6E"/>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1323"/>
    <w:rsid w:val="00D346D9"/>
    <w:rsid w:val="00D43AFB"/>
    <w:rsid w:val="00D44EE8"/>
    <w:rsid w:val="00D57B7C"/>
    <w:rsid w:val="00D65B44"/>
    <w:rsid w:val="00D75E69"/>
    <w:rsid w:val="00D8099B"/>
    <w:rsid w:val="00D817AE"/>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1B75"/>
    <w:rsid w:val="00DE27F7"/>
    <w:rsid w:val="00DE4B43"/>
    <w:rsid w:val="00DF25D5"/>
    <w:rsid w:val="00E02660"/>
    <w:rsid w:val="00E04BE1"/>
    <w:rsid w:val="00E12DBF"/>
    <w:rsid w:val="00E133DE"/>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32A37-3D89-40F7-8815-29B169CF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14</Pages>
  <Words>1254</Words>
  <Characters>7154</Characters>
  <Application>Microsoft Office Word</Application>
  <DocSecurity>0</DocSecurity>
  <Lines>59</Lines>
  <Paragraphs>16</Paragraphs>
  <ScaleCrop>false</ScaleCrop>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584</cp:revision>
  <dcterms:created xsi:type="dcterms:W3CDTF">2012-10-16T06:07:00Z</dcterms:created>
  <dcterms:modified xsi:type="dcterms:W3CDTF">2021-07-20T06:57:00Z</dcterms:modified>
</cp:coreProperties>
</file>