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2021</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2021</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bookmarkStart w:id="0" w:name="_GoBack"/>
      <w:bookmarkEnd w:id="0"/>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二〇二一年四月二十二日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98514E" w:rsidRDefault="00FE6E7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2021</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18,355,517.58</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98514E" w:rsidRDefault="00FE6E75">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98514E" w:rsidRDefault="00FE6E75">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98514E" w:rsidRDefault="00FE6E75">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98514E" w:rsidRDefault="00FE6E75">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98514E" w:rsidRDefault="00FE6E75">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98514E" w:rsidRDefault="00FE6E75">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98514E" w:rsidRDefault="00FE6E75">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98514E" w:rsidRDefault="00FE6E75">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98514E" w:rsidRDefault="00FE6E75">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98514E" w:rsidRDefault="00FE6E75">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98514E" w:rsidRDefault="00FE6E75">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98514E" w:rsidRDefault="00FE6E75">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98514E" w:rsidRDefault="00FE6E75">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结合不同债券品种的到期收益率、流动性、市场规模等情况，并根据对债券收益率曲线形态、息差变化的预测，对债券组合进行动态调整。</w:t>
            </w:r>
          </w:p>
          <w:p w:rsidR="0098514E" w:rsidRDefault="00FE6E75">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98514E" w:rsidRDefault="00FE6E75">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98514E" w:rsidRDefault="00FE6E75">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98514E" w:rsidRDefault="00FE6E75">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98514E" w:rsidRDefault="00FE6E75">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98514E" w:rsidRDefault="00FE6E75">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本基金属于混合型基金中基金，预期风险和收益水平低于股票型基金，高于债券型和货币市场基金，属于较高风险收益水平的基金产品。</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FE6E75" w:rsidRPr="00414345" w:rsidTr="00FE6E7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(2021</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-2021</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FE6E75" w:rsidRPr="00414345" w:rsidTr="00FE6E7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5,895,095.34</w:t>
            </w:r>
          </w:p>
        </w:tc>
      </w:tr>
      <w:tr w:rsidR="00FE6E75" w:rsidRPr="00414345" w:rsidTr="00FE6E7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776,477.72</w:t>
            </w:r>
          </w:p>
        </w:tc>
      </w:tr>
      <w:tr w:rsidR="00FE6E75" w:rsidRPr="00414345" w:rsidTr="00FE6E7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0.0379</w:t>
            </w:r>
          </w:p>
        </w:tc>
      </w:tr>
      <w:tr w:rsidR="00FE6E75" w:rsidRPr="00414345" w:rsidTr="00FE6E7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26,556,762.82</w:t>
            </w:r>
          </w:p>
        </w:tc>
      </w:tr>
      <w:tr w:rsidR="00FE6E75" w:rsidRPr="00414345" w:rsidTr="00FE6E7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1.4468</w:t>
            </w:r>
          </w:p>
        </w:tc>
      </w:tr>
    </w:tbl>
    <w:p w:rsidR="0098514E" w:rsidRDefault="00FE6E75">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8514E">
        <w:trPr>
          <w:jc w:val="center"/>
        </w:trPr>
        <w:tc>
          <w:tcPr>
            <w:tcW w:w="1701" w:type="dxa"/>
            <w:vAlign w:val="center"/>
          </w:tcPr>
          <w:p w:rsidR="0098514E" w:rsidRDefault="00FE6E75">
            <w:pPr>
              <w:jc w:val="left"/>
            </w:pPr>
            <w:r>
              <w:rPr>
                <w:color w:val="000000"/>
                <w:sz w:val="24"/>
                <w:szCs w:val="24"/>
              </w:rPr>
              <w:t>过去三个月</w:t>
            </w:r>
          </w:p>
        </w:tc>
        <w:tc>
          <w:tcPr>
            <w:tcW w:w="1045" w:type="dxa"/>
            <w:vAlign w:val="center"/>
          </w:tcPr>
          <w:p w:rsidR="0098514E" w:rsidRDefault="00FE6E75">
            <w:pPr>
              <w:jc w:val="center"/>
            </w:pPr>
            <w:r>
              <w:rPr>
                <w:color w:val="000000"/>
                <w:sz w:val="24"/>
                <w:szCs w:val="24"/>
              </w:rPr>
              <w:t>0.71%</w:t>
            </w:r>
          </w:p>
        </w:tc>
        <w:tc>
          <w:tcPr>
            <w:tcW w:w="1344" w:type="dxa"/>
            <w:vAlign w:val="center"/>
          </w:tcPr>
          <w:p w:rsidR="0098514E" w:rsidRDefault="00FE6E75">
            <w:pPr>
              <w:jc w:val="center"/>
            </w:pPr>
            <w:r>
              <w:rPr>
                <w:color w:val="000000"/>
                <w:sz w:val="24"/>
                <w:szCs w:val="24"/>
              </w:rPr>
              <w:t>0.99%</w:t>
            </w:r>
          </w:p>
        </w:tc>
        <w:tc>
          <w:tcPr>
            <w:tcW w:w="1194" w:type="dxa"/>
            <w:vAlign w:val="center"/>
          </w:tcPr>
          <w:p w:rsidR="0098514E" w:rsidRDefault="00FE6E75">
            <w:pPr>
              <w:jc w:val="center"/>
            </w:pPr>
            <w:r>
              <w:rPr>
                <w:color w:val="000000"/>
                <w:sz w:val="24"/>
                <w:szCs w:val="24"/>
              </w:rPr>
              <w:t>-1.31%</w:t>
            </w:r>
          </w:p>
        </w:tc>
        <w:tc>
          <w:tcPr>
            <w:tcW w:w="1492" w:type="dxa"/>
            <w:vAlign w:val="center"/>
          </w:tcPr>
          <w:p w:rsidR="0098514E" w:rsidRDefault="00FE6E75">
            <w:pPr>
              <w:jc w:val="center"/>
            </w:pPr>
            <w:r>
              <w:rPr>
                <w:color w:val="000000"/>
                <w:sz w:val="24"/>
                <w:szCs w:val="24"/>
              </w:rPr>
              <w:t>0.89%</w:t>
            </w:r>
          </w:p>
        </w:tc>
        <w:tc>
          <w:tcPr>
            <w:tcW w:w="1194" w:type="dxa"/>
            <w:vAlign w:val="center"/>
          </w:tcPr>
          <w:p w:rsidR="0098514E" w:rsidRDefault="00FE6E75">
            <w:pPr>
              <w:jc w:val="center"/>
            </w:pPr>
            <w:r>
              <w:rPr>
                <w:color w:val="000000"/>
                <w:sz w:val="24"/>
                <w:szCs w:val="24"/>
              </w:rPr>
              <w:t>2.02%</w:t>
            </w:r>
          </w:p>
        </w:tc>
        <w:tc>
          <w:tcPr>
            <w:tcW w:w="898" w:type="dxa"/>
            <w:vAlign w:val="center"/>
          </w:tcPr>
          <w:p w:rsidR="0098514E" w:rsidRDefault="00FE6E75">
            <w:pPr>
              <w:jc w:val="center"/>
            </w:pPr>
            <w:r>
              <w:rPr>
                <w:color w:val="000000"/>
                <w:sz w:val="24"/>
                <w:szCs w:val="24"/>
              </w:rPr>
              <w:t>0.10%</w:t>
            </w:r>
          </w:p>
        </w:tc>
      </w:tr>
      <w:tr w:rsidR="0098514E">
        <w:trPr>
          <w:jc w:val="center"/>
        </w:trPr>
        <w:tc>
          <w:tcPr>
            <w:tcW w:w="1701" w:type="dxa"/>
            <w:vAlign w:val="center"/>
          </w:tcPr>
          <w:p w:rsidR="0098514E" w:rsidRDefault="00FE6E75">
            <w:pPr>
              <w:jc w:val="left"/>
            </w:pPr>
            <w:r>
              <w:rPr>
                <w:color w:val="000000"/>
                <w:sz w:val="24"/>
                <w:szCs w:val="24"/>
              </w:rPr>
              <w:t>过去六个月</w:t>
            </w:r>
          </w:p>
        </w:tc>
        <w:tc>
          <w:tcPr>
            <w:tcW w:w="1045" w:type="dxa"/>
            <w:vAlign w:val="center"/>
          </w:tcPr>
          <w:p w:rsidR="0098514E" w:rsidRDefault="00FE6E75">
            <w:pPr>
              <w:jc w:val="center"/>
            </w:pPr>
            <w:r>
              <w:rPr>
                <w:color w:val="000000"/>
                <w:sz w:val="24"/>
                <w:szCs w:val="24"/>
              </w:rPr>
              <w:t>8.16%</w:t>
            </w:r>
          </w:p>
        </w:tc>
        <w:tc>
          <w:tcPr>
            <w:tcW w:w="1344" w:type="dxa"/>
            <w:vAlign w:val="center"/>
          </w:tcPr>
          <w:p w:rsidR="0098514E" w:rsidRDefault="00FE6E75">
            <w:pPr>
              <w:jc w:val="center"/>
            </w:pPr>
            <w:r>
              <w:rPr>
                <w:color w:val="000000"/>
                <w:sz w:val="24"/>
                <w:szCs w:val="24"/>
              </w:rPr>
              <w:t>0.87%</w:t>
            </w:r>
          </w:p>
        </w:tc>
        <w:tc>
          <w:tcPr>
            <w:tcW w:w="1194" w:type="dxa"/>
            <w:vAlign w:val="center"/>
          </w:tcPr>
          <w:p w:rsidR="0098514E" w:rsidRDefault="00FE6E75">
            <w:pPr>
              <w:jc w:val="center"/>
            </w:pPr>
            <w:r>
              <w:rPr>
                <w:color w:val="000000"/>
                <w:sz w:val="24"/>
                <w:szCs w:val="24"/>
              </w:rPr>
              <w:t>5.59%</w:t>
            </w:r>
          </w:p>
        </w:tc>
        <w:tc>
          <w:tcPr>
            <w:tcW w:w="1492" w:type="dxa"/>
            <w:vAlign w:val="center"/>
          </w:tcPr>
          <w:p w:rsidR="0098514E" w:rsidRDefault="00FE6E75">
            <w:pPr>
              <w:jc w:val="center"/>
            </w:pPr>
            <w:r>
              <w:rPr>
                <w:color w:val="000000"/>
                <w:sz w:val="24"/>
                <w:szCs w:val="24"/>
              </w:rPr>
              <w:t>0.76%</w:t>
            </w:r>
          </w:p>
        </w:tc>
        <w:tc>
          <w:tcPr>
            <w:tcW w:w="1194" w:type="dxa"/>
            <w:vAlign w:val="center"/>
          </w:tcPr>
          <w:p w:rsidR="0098514E" w:rsidRDefault="00FE6E75">
            <w:pPr>
              <w:jc w:val="center"/>
            </w:pPr>
            <w:r>
              <w:rPr>
                <w:color w:val="000000"/>
                <w:sz w:val="24"/>
                <w:szCs w:val="24"/>
              </w:rPr>
              <w:t>2.57%</w:t>
            </w:r>
          </w:p>
        </w:tc>
        <w:tc>
          <w:tcPr>
            <w:tcW w:w="898" w:type="dxa"/>
            <w:vAlign w:val="center"/>
          </w:tcPr>
          <w:p w:rsidR="0098514E" w:rsidRDefault="00FE6E75">
            <w:pPr>
              <w:jc w:val="center"/>
            </w:pPr>
            <w:r>
              <w:rPr>
                <w:color w:val="000000"/>
                <w:sz w:val="24"/>
                <w:szCs w:val="24"/>
              </w:rPr>
              <w:t>0.11%</w:t>
            </w:r>
          </w:p>
        </w:tc>
      </w:tr>
      <w:tr w:rsidR="0098514E">
        <w:trPr>
          <w:jc w:val="center"/>
        </w:trPr>
        <w:tc>
          <w:tcPr>
            <w:tcW w:w="1701" w:type="dxa"/>
            <w:vAlign w:val="center"/>
          </w:tcPr>
          <w:p w:rsidR="0098514E" w:rsidRDefault="00FE6E75">
            <w:pPr>
              <w:jc w:val="left"/>
            </w:pPr>
            <w:r>
              <w:rPr>
                <w:color w:val="000000"/>
                <w:sz w:val="24"/>
                <w:szCs w:val="24"/>
              </w:rPr>
              <w:t>过去一年</w:t>
            </w:r>
          </w:p>
        </w:tc>
        <w:tc>
          <w:tcPr>
            <w:tcW w:w="1045" w:type="dxa"/>
            <w:vAlign w:val="center"/>
          </w:tcPr>
          <w:p w:rsidR="0098514E" w:rsidRDefault="00FE6E75">
            <w:pPr>
              <w:jc w:val="center"/>
            </w:pPr>
            <w:r>
              <w:rPr>
                <w:color w:val="000000"/>
                <w:sz w:val="24"/>
                <w:szCs w:val="24"/>
              </w:rPr>
              <w:t>26.29%</w:t>
            </w:r>
          </w:p>
        </w:tc>
        <w:tc>
          <w:tcPr>
            <w:tcW w:w="1344" w:type="dxa"/>
            <w:vAlign w:val="center"/>
          </w:tcPr>
          <w:p w:rsidR="0098514E" w:rsidRDefault="00FE6E75">
            <w:pPr>
              <w:jc w:val="center"/>
            </w:pPr>
            <w:r>
              <w:rPr>
                <w:color w:val="000000"/>
                <w:sz w:val="24"/>
                <w:szCs w:val="24"/>
              </w:rPr>
              <w:t>0.85%</w:t>
            </w:r>
          </w:p>
        </w:tc>
        <w:tc>
          <w:tcPr>
            <w:tcW w:w="1194" w:type="dxa"/>
            <w:vAlign w:val="center"/>
          </w:tcPr>
          <w:p w:rsidR="0098514E" w:rsidRDefault="00FE6E75">
            <w:pPr>
              <w:jc w:val="center"/>
            </w:pPr>
            <w:r>
              <w:rPr>
                <w:color w:val="000000"/>
                <w:sz w:val="24"/>
                <w:szCs w:val="24"/>
              </w:rPr>
              <w:t>20.82%</w:t>
            </w:r>
          </w:p>
        </w:tc>
        <w:tc>
          <w:tcPr>
            <w:tcW w:w="1492" w:type="dxa"/>
            <w:vAlign w:val="center"/>
          </w:tcPr>
          <w:p w:rsidR="0098514E" w:rsidRDefault="00FE6E75">
            <w:pPr>
              <w:jc w:val="center"/>
            </w:pPr>
            <w:r>
              <w:rPr>
                <w:color w:val="000000"/>
                <w:sz w:val="24"/>
                <w:szCs w:val="24"/>
              </w:rPr>
              <w:t>0.77%</w:t>
            </w:r>
          </w:p>
        </w:tc>
        <w:tc>
          <w:tcPr>
            <w:tcW w:w="1194" w:type="dxa"/>
            <w:vAlign w:val="center"/>
          </w:tcPr>
          <w:p w:rsidR="0098514E" w:rsidRDefault="00FE6E75">
            <w:pPr>
              <w:jc w:val="center"/>
            </w:pPr>
            <w:r>
              <w:rPr>
                <w:color w:val="000000"/>
                <w:sz w:val="24"/>
                <w:szCs w:val="24"/>
              </w:rPr>
              <w:t>5.47%</w:t>
            </w:r>
          </w:p>
        </w:tc>
        <w:tc>
          <w:tcPr>
            <w:tcW w:w="898" w:type="dxa"/>
            <w:vAlign w:val="center"/>
          </w:tcPr>
          <w:p w:rsidR="0098514E" w:rsidRDefault="00FE6E75">
            <w:pPr>
              <w:jc w:val="center"/>
            </w:pPr>
            <w:r>
              <w:rPr>
                <w:color w:val="000000"/>
                <w:sz w:val="24"/>
                <w:szCs w:val="24"/>
              </w:rPr>
              <w:t>0.08%</w:t>
            </w:r>
          </w:p>
        </w:tc>
      </w:tr>
      <w:tr w:rsidR="0098514E">
        <w:trPr>
          <w:jc w:val="center"/>
        </w:trPr>
        <w:tc>
          <w:tcPr>
            <w:tcW w:w="1701" w:type="dxa"/>
            <w:vAlign w:val="center"/>
          </w:tcPr>
          <w:p w:rsidR="0098514E" w:rsidRDefault="00FE6E75">
            <w:pPr>
              <w:jc w:val="left"/>
            </w:pPr>
            <w:r>
              <w:rPr>
                <w:color w:val="000000"/>
                <w:sz w:val="24"/>
                <w:szCs w:val="24"/>
              </w:rPr>
              <w:t>过去三年</w:t>
            </w:r>
          </w:p>
        </w:tc>
        <w:tc>
          <w:tcPr>
            <w:tcW w:w="1045" w:type="dxa"/>
            <w:vAlign w:val="center"/>
          </w:tcPr>
          <w:p w:rsidR="0098514E" w:rsidRDefault="00FE6E75">
            <w:pPr>
              <w:jc w:val="center"/>
            </w:pPr>
            <w:r>
              <w:rPr>
                <w:color w:val="000000"/>
                <w:sz w:val="24"/>
                <w:szCs w:val="24"/>
              </w:rPr>
              <w:t>-</w:t>
            </w:r>
          </w:p>
        </w:tc>
        <w:tc>
          <w:tcPr>
            <w:tcW w:w="1344" w:type="dxa"/>
            <w:vAlign w:val="center"/>
          </w:tcPr>
          <w:p w:rsidR="0098514E" w:rsidRDefault="00FE6E75">
            <w:pPr>
              <w:jc w:val="center"/>
            </w:pPr>
            <w:r>
              <w:rPr>
                <w:color w:val="000000"/>
                <w:sz w:val="24"/>
                <w:szCs w:val="24"/>
              </w:rPr>
              <w:t>-</w:t>
            </w:r>
          </w:p>
        </w:tc>
        <w:tc>
          <w:tcPr>
            <w:tcW w:w="1194" w:type="dxa"/>
            <w:vAlign w:val="center"/>
          </w:tcPr>
          <w:p w:rsidR="0098514E" w:rsidRDefault="00FE6E75">
            <w:pPr>
              <w:jc w:val="center"/>
            </w:pPr>
            <w:r>
              <w:rPr>
                <w:color w:val="000000"/>
                <w:sz w:val="24"/>
                <w:szCs w:val="24"/>
              </w:rPr>
              <w:t>-</w:t>
            </w:r>
          </w:p>
        </w:tc>
        <w:tc>
          <w:tcPr>
            <w:tcW w:w="1492" w:type="dxa"/>
            <w:vAlign w:val="center"/>
          </w:tcPr>
          <w:p w:rsidR="0098514E" w:rsidRDefault="00FE6E75">
            <w:pPr>
              <w:jc w:val="center"/>
            </w:pPr>
            <w:r>
              <w:rPr>
                <w:color w:val="000000"/>
                <w:sz w:val="24"/>
                <w:szCs w:val="24"/>
              </w:rPr>
              <w:t>-</w:t>
            </w:r>
          </w:p>
        </w:tc>
        <w:tc>
          <w:tcPr>
            <w:tcW w:w="1194" w:type="dxa"/>
            <w:vAlign w:val="center"/>
          </w:tcPr>
          <w:p w:rsidR="0098514E" w:rsidRDefault="00FE6E75">
            <w:pPr>
              <w:jc w:val="center"/>
            </w:pPr>
            <w:r>
              <w:rPr>
                <w:color w:val="000000"/>
                <w:sz w:val="24"/>
                <w:szCs w:val="24"/>
              </w:rPr>
              <w:t>-</w:t>
            </w:r>
          </w:p>
        </w:tc>
        <w:tc>
          <w:tcPr>
            <w:tcW w:w="898" w:type="dxa"/>
            <w:vAlign w:val="center"/>
          </w:tcPr>
          <w:p w:rsidR="0098514E" w:rsidRDefault="00FE6E75">
            <w:pPr>
              <w:jc w:val="center"/>
            </w:pPr>
            <w:r>
              <w:rPr>
                <w:color w:val="000000"/>
                <w:sz w:val="24"/>
                <w:szCs w:val="24"/>
              </w:rPr>
              <w:t>-</w:t>
            </w:r>
          </w:p>
        </w:tc>
      </w:tr>
      <w:tr w:rsidR="0098514E">
        <w:trPr>
          <w:jc w:val="center"/>
        </w:trPr>
        <w:tc>
          <w:tcPr>
            <w:tcW w:w="1701" w:type="dxa"/>
            <w:vAlign w:val="center"/>
          </w:tcPr>
          <w:p w:rsidR="0098514E" w:rsidRDefault="00FE6E75">
            <w:pPr>
              <w:jc w:val="left"/>
            </w:pPr>
            <w:r>
              <w:rPr>
                <w:color w:val="000000"/>
                <w:sz w:val="24"/>
                <w:szCs w:val="24"/>
              </w:rPr>
              <w:t>过去五年</w:t>
            </w:r>
          </w:p>
        </w:tc>
        <w:tc>
          <w:tcPr>
            <w:tcW w:w="1045" w:type="dxa"/>
            <w:vAlign w:val="center"/>
          </w:tcPr>
          <w:p w:rsidR="0098514E" w:rsidRDefault="00FE6E75">
            <w:pPr>
              <w:jc w:val="center"/>
            </w:pPr>
            <w:r>
              <w:rPr>
                <w:color w:val="000000"/>
                <w:sz w:val="24"/>
                <w:szCs w:val="24"/>
              </w:rPr>
              <w:t>-</w:t>
            </w:r>
          </w:p>
        </w:tc>
        <w:tc>
          <w:tcPr>
            <w:tcW w:w="1344" w:type="dxa"/>
            <w:vAlign w:val="center"/>
          </w:tcPr>
          <w:p w:rsidR="0098514E" w:rsidRDefault="00FE6E75">
            <w:pPr>
              <w:jc w:val="center"/>
            </w:pPr>
            <w:r>
              <w:rPr>
                <w:color w:val="000000"/>
                <w:sz w:val="24"/>
                <w:szCs w:val="24"/>
              </w:rPr>
              <w:t>-</w:t>
            </w:r>
          </w:p>
        </w:tc>
        <w:tc>
          <w:tcPr>
            <w:tcW w:w="1194" w:type="dxa"/>
            <w:vAlign w:val="center"/>
          </w:tcPr>
          <w:p w:rsidR="0098514E" w:rsidRDefault="00FE6E75">
            <w:pPr>
              <w:jc w:val="center"/>
            </w:pPr>
            <w:r>
              <w:rPr>
                <w:color w:val="000000"/>
                <w:sz w:val="24"/>
                <w:szCs w:val="24"/>
              </w:rPr>
              <w:t>-</w:t>
            </w:r>
          </w:p>
        </w:tc>
        <w:tc>
          <w:tcPr>
            <w:tcW w:w="1492" w:type="dxa"/>
            <w:vAlign w:val="center"/>
          </w:tcPr>
          <w:p w:rsidR="0098514E" w:rsidRDefault="00FE6E75">
            <w:pPr>
              <w:jc w:val="center"/>
            </w:pPr>
            <w:r>
              <w:rPr>
                <w:color w:val="000000"/>
                <w:sz w:val="24"/>
                <w:szCs w:val="24"/>
              </w:rPr>
              <w:t>-</w:t>
            </w:r>
          </w:p>
        </w:tc>
        <w:tc>
          <w:tcPr>
            <w:tcW w:w="1194" w:type="dxa"/>
            <w:vAlign w:val="center"/>
          </w:tcPr>
          <w:p w:rsidR="0098514E" w:rsidRDefault="00FE6E75">
            <w:pPr>
              <w:jc w:val="center"/>
            </w:pPr>
            <w:r>
              <w:rPr>
                <w:color w:val="000000"/>
                <w:sz w:val="24"/>
                <w:szCs w:val="24"/>
              </w:rPr>
              <w:t>-</w:t>
            </w:r>
          </w:p>
        </w:tc>
        <w:tc>
          <w:tcPr>
            <w:tcW w:w="898" w:type="dxa"/>
            <w:vAlign w:val="center"/>
          </w:tcPr>
          <w:p w:rsidR="0098514E" w:rsidRDefault="00FE6E75">
            <w:pPr>
              <w:jc w:val="center"/>
            </w:pPr>
            <w:r>
              <w:rPr>
                <w:color w:val="000000"/>
                <w:sz w:val="24"/>
                <w:szCs w:val="24"/>
              </w:rPr>
              <w:t>-</w:t>
            </w:r>
          </w:p>
        </w:tc>
      </w:tr>
      <w:tr w:rsidR="0098514E">
        <w:trPr>
          <w:jc w:val="center"/>
        </w:trPr>
        <w:tc>
          <w:tcPr>
            <w:tcW w:w="1701" w:type="dxa"/>
            <w:vAlign w:val="center"/>
          </w:tcPr>
          <w:p w:rsidR="0098514E" w:rsidRDefault="00FE6E75">
            <w:pPr>
              <w:jc w:val="left"/>
            </w:pPr>
            <w:r>
              <w:rPr>
                <w:color w:val="000000"/>
                <w:sz w:val="24"/>
                <w:szCs w:val="24"/>
              </w:rPr>
              <w:t>自基金合同生效起至今</w:t>
            </w:r>
          </w:p>
        </w:tc>
        <w:tc>
          <w:tcPr>
            <w:tcW w:w="1045" w:type="dxa"/>
            <w:vAlign w:val="center"/>
          </w:tcPr>
          <w:p w:rsidR="0098514E" w:rsidRDefault="00FE6E75">
            <w:pPr>
              <w:jc w:val="center"/>
            </w:pPr>
            <w:r>
              <w:rPr>
                <w:color w:val="000000"/>
                <w:sz w:val="24"/>
                <w:szCs w:val="24"/>
              </w:rPr>
              <w:t>44.68%</w:t>
            </w:r>
          </w:p>
        </w:tc>
        <w:tc>
          <w:tcPr>
            <w:tcW w:w="1344" w:type="dxa"/>
            <w:vAlign w:val="center"/>
          </w:tcPr>
          <w:p w:rsidR="0098514E" w:rsidRDefault="00FE6E75">
            <w:pPr>
              <w:jc w:val="center"/>
            </w:pPr>
            <w:r>
              <w:rPr>
                <w:color w:val="000000"/>
                <w:sz w:val="24"/>
                <w:szCs w:val="24"/>
              </w:rPr>
              <w:t>0.77%</w:t>
            </w:r>
          </w:p>
        </w:tc>
        <w:tc>
          <w:tcPr>
            <w:tcW w:w="1194" w:type="dxa"/>
            <w:vAlign w:val="center"/>
          </w:tcPr>
          <w:p w:rsidR="0098514E" w:rsidRDefault="00FE6E75">
            <w:pPr>
              <w:jc w:val="center"/>
            </w:pPr>
            <w:r>
              <w:rPr>
                <w:color w:val="000000"/>
                <w:sz w:val="24"/>
                <w:szCs w:val="24"/>
              </w:rPr>
              <w:t>30.65%</w:t>
            </w:r>
          </w:p>
        </w:tc>
        <w:tc>
          <w:tcPr>
            <w:tcW w:w="1492" w:type="dxa"/>
            <w:vAlign w:val="center"/>
          </w:tcPr>
          <w:p w:rsidR="0098514E" w:rsidRDefault="00FE6E75">
            <w:pPr>
              <w:jc w:val="center"/>
            </w:pPr>
            <w:r>
              <w:rPr>
                <w:color w:val="000000"/>
                <w:sz w:val="24"/>
                <w:szCs w:val="24"/>
              </w:rPr>
              <w:t>0.83%</w:t>
            </w:r>
          </w:p>
        </w:tc>
        <w:tc>
          <w:tcPr>
            <w:tcW w:w="1194" w:type="dxa"/>
            <w:vAlign w:val="center"/>
          </w:tcPr>
          <w:p w:rsidR="0098514E" w:rsidRDefault="00FE6E75">
            <w:pPr>
              <w:jc w:val="center"/>
            </w:pPr>
            <w:r>
              <w:rPr>
                <w:color w:val="000000"/>
                <w:sz w:val="24"/>
                <w:szCs w:val="24"/>
              </w:rPr>
              <w:t>14.03%</w:t>
            </w:r>
          </w:p>
        </w:tc>
        <w:tc>
          <w:tcPr>
            <w:tcW w:w="898" w:type="dxa"/>
            <w:vAlign w:val="center"/>
          </w:tcPr>
          <w:p w:rsidR="0098514E" w:rsidRDefault="00FE6E75">
            <w:pPr>
              <w:jc w:val="center"/>
            </w:pPr>
            <w:r>
              <w:rPr>
                <w:color w:val="000000"/>
                <w:sz w:val="24"/>
                <w:szCs w:val="24"/>
              </w:rPr>
              <w:t>-0.06%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2021</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8514E" w:rsidRDefault="00FE6E75">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本基金建仓期为本基金合同生效日起</w:t>
      </w:r>
      <w:r w:rsidRPr="00414345">
        <w:rPr>
          <w:color w:val="000000"/>
          <w:sz w:val="24"/>
          <w:szCs w:val="24"/>
        </w:rPr>
        <w:t>6</w:t>
      </w:r>
      <w:r w:rsidRPr="00414345">
        <w:rPr>
          <w:color w:val="000000"/>
          <w:sz w:val="24"/>
          <w:szCs w:val="24"/>
        </w:rPr>
        <w:t>个月，建仓期结束时资产配置比例符合本基金基</w:t>
      </w:r>
      <w:r w:rsidRPr="00414345">
        <w:rPr>
          <w:color w:val="000000"/>
          <w:sz w:val="24"/>
          <w:szCs w:val="24"/>
        </w:rPr>
        <w:lastRenderedPageBreak/>
        <w:t>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98514E">
        <w:trPr>
          <w:jc w:val="center"/>
        </w:trPr>
        <w:tc>
          <w:tcPr>
            <w:tcW w:w="846" w:type="dxa"/>
            <w:vAlign w:val="center"/>
          </w:tcPr>
          <w:p w:rsidR="0098514E" w:rsidRDefault="00FE6E75">
            <w:pPr>
              <w:jc w:val="center"/>
            </w:pPr>
            <w:r>
              <w:rPr>
                <w:color w:val="000000"/>
                <w:sz w:val="24"/>
                <w:szCs w:val="24"/>
              </w:rPr>
              <w:t>刘凌云</w:t>
            </w:r>
          </w:p>
        </w:tc>
        <w:tc>
          <w:tcPr>
            <w:tcW w:w="845" w:type="dxa"/>
            <w:vAlign w:val="center"/>
          </w:tcPr>
          <w:p w:rsidR="0098514E" w:rsidRDefault="00FE6E75">
            <w:pPr>
              <w:jc w:val="center"/>
            </w:pPr>
            <w:r>
              <w:rPr>
                <w:color w:val="000000"/>
                <w:sz w:val="24"/>
                <w:szCs w:val="24"/>
              </w:rPr>
              <w:t>本基金基金经理、组合基金投资部总监</w:t>
            </w:r>
          </w:p>
        </w:tc>
        <w:tc>
          <w:tcPr>
            <w:tcW w:w="1549" w:type="dxa"/>
            <w:vAlign w:val="center"/>
          </w:tcPr>
          <w:p w:rsidR="0098514E" w:rsidRDefault="00FE6E75">
            <w:pPr>
              <w:jc w:val="center"/>
            </w:pPr>
            <w:r>
              <w:rPr>
                <w:color w:val="000000"/>
                <w:sz w:val="24"/>
                <w:szCs w:val="24"/>
              </w:rPr>
              <w:t>2018-08-15</w:t>
            </w:r>
          </w:p>
        </w:tc>
        <w:tc>
          <w:tcPr>
            <w:tcW w:w="1548" w:type="dxa"/>
            <w:vAlign w:val="center"/>
          </w:tcPr>
          <w:p w:rsidR="0098514E" w:rsidRDefault="00FE6E75">
            <w:pPr>
              <w:jc w:val="center"/>
            </w:pPr>
            <w:r>
              <w:rPr>
                <w:color w:val="000000"/>
                <w:sz w:val="24"/>
                <w:szCs w:val="24"/>
              </w:rPr>
              <w:t>-</w:t>
            </w:r>
          </w:p>
        </w:tc>
        <w:tc>
          <w:tcPr>
            <w:tcW w:w="1407" w:type="dxa"/>
            <w:vAlign w:val="center"/>
          </w:tcPr>
          <w:p w:rsidR="0098514E" w:rsidRDefault="00FE6E75">
            <w:pPr>
              <w:jc w:val="center"/>
            </w:pPr>
            <w:r>
              <w:rPr>
                <w:color w:val="000000"/>
                <w:sz w:val="24"/>
                <w:szCs w:val="24"/>
              </w:rPr>
              <w:t>13</w:t>
            </w:r>
            <w:r>
              <w:rPr>
                <w:color w:val="000000"/>
                <w:sz w:val="24"/>
                <w:szCs w:val="24"/>
              </w:rPr>
              <w:t>年</w:t>
            </w:r>
          </w:p>
        </w:tc>
        <w:tc>
          <w:tcPr>
            <w:tcW w:w="2673" w:type="dxa"/>
            <w:vAlign w:val="center"/>
          </w:tcPr>
          <w:p w:rsidR="0098514E" w:rsidRDefault="00FE6E75">
            <w:r>
              <w:rPr>
                <w:color w:val="000000"/>
                <w:sz w:val="24"/>
                <w:szCs w:val="24"/>
              </w:rPr>
              <w:t>刘凌云女士，上海社会科学院经济学博士。自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月，在中海基金管理有限公司担任产品研发经理，负责策略及产品设计；自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月起加入上投摩根基金管理有限公司，历任产品经理、高级投资组合经理、客户投资组合总监，现任组合基金投资部总监兼基金经理；自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98514E">
        <w:trPr>
          <w:jc w:val="center"/>
        </w:trPr>
        <w:tc>
          <w:tcPr>
            <w:tcW w:w="846" w:type="dxa"/>
            <w:vAlign w:val="center"/>
          </w:tcPr>
          <w:p w:rsidR="0098514E" w:rsidRDefault="00FE6E75">
            <w:pPr>
              <w:jc w:val="center"/>
            </w:pPr>
            <w:r>
              <w:rPr>
                <w:color w:val="000000"/>
                <w:sz w:val="24"/>
                <w:szCs w:val="24"/>
              </w:rPr>
              <w:t>杜习杰</w:t>
            </w:r>
          </w:p>
        </w:tc>
        <w:tc>
          <w:tcPr>
            <w:tcW w:w="845" w:type="dxa"/>
            <w:vAlign w:val="center"/>
          </w:tcPr>
          <w:p w:rsidR="0098514E" w:rsidRDefault="00FE6E75">
            <w:pPr>
              <w:jc w:val="center"/>
            </w:pPr>
            <w:r>
              <w:rPr>
                <w:color w:val="000000"/>
                <w:sz w:val="24"/>
                <w:szCs w:val="24"/>
              </w:rPr>
              <w:t>本基金基金经理</w:t>
            </w:r>
          </w:p>
        </w:tc>
        <w:tc>
          <w:tcPr>
            <w:tcW w:w="1549" w:type="dxa"/>
            <w:vAlign w:val="center"/>
          </w:tcPr>
          <w:p w:rsidR="0098514E" w:rsidRDefault="00FE6E75">
            <w:pPr>
              <w:jc w:val="center"/>
            </w:pPr>
            <w:r>
              <w:rPr>
                <w:color w:val="000000"/>
                <w:sz w:val="24"/>
                <w:szCs w:val="24"/>
              </w:rPr>
              <w:t>2020-12-11</w:t>
            </w:r>
          </w:p>
        </w:tc>
        <w:tc>
          <w:tcPr>
            <w:tcW w:w="1548" w:type="dxa"/>
            <w:vAlign w:val="center"/>
          </w:tcPr>
          <w:p w:rsidR="0098514E" w:rsidRDefault="00FE6E75">
            <w:pPr>
              <w:jc w:val="center"/>
            </w:pPr>
            <w:r>
              <w:rPr>
                <w:color w:val="000000"/>
                <w:sz w:val="24"/>
                <w:szCs w:val="24"/>
              </w:rPr>
              <w:t>-</w:t>
            </w:r>
          </w:p>
        </w:tc>
        <w:tc>
          <w:tcPr>
            <w:tcW w:w="1407" w:type="dxa"/>
            <w:vAlign w:val="center"/>
          </w:tcPr>
          <w:p w:rsidR="0098514E" w:rsidRDefault="00FE6E75">
            <w:pPr>
              <w:jc w:val="center"/>
            </w:pPr>
            <w:r>
              <w:rPr>
                <w:color w:val="000000"/>
                <w:sz w:val="24"/>
                <w:szCs w:val="24"/>
              </w:rPr>
              <w:t>13</w:t>
            </w:r>
            <w:r>
              <w:rPr>
                <w:color w:val="000000"/>
                <w:sz w:val="24"/>
                <w:szCs w:val="24"/>
              </w:rPr>
              <w:t>年</w:t>
            </w:r>
          </w:p>
        </w:tc>
        <w:tc>
          <w:tcPr>
            <w:tcW w:w="2673" w:type="dxa"/>
            <w:vAlign w:val="center"/>
          </w:tcPr>
          <w:p w:rsidR="0098514E" w:rsidRDefault="00FE6E75">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月起同时担任上投摩根锦程稳健养老目标一年</w:t>
            </w:r>
            <w:r>
              <w:rPr>
                <w:color w:val="000000"/>
                <w:sz w:val="24"/>
                <w:szCs w:val="24"/>
              </w:rPr>
              <w:lastRenderedPageBreak/>
              <w:t>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bl>
    <w:p w:rsidR="0098514E" w:rsidRDefault="00FE6E75">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98514E" w:rsidRDefault="00FE6E75">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刘凌云女士为本基金首任基金经理，其任职日期为本基金基金合同生效之日；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98514E" w:rsidRDefault="00FE6E75">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8514E" w:rsidRDefault="00FE6E75">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98514E" w:rsidRDefault="00FE6E75">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w:t>
      </w:r>
      <w:r>
        <w:rPr>
          <w:color w:val="000000"/>
          <w:sz w:val="24"/>
          <w:szCs w:val="24"/>
        </w:rPr>
        <w:lastRenderedPageBreak/>
        <w:t>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98514E" w:rsidRDefault="00FE6E75">
      <w:pPr>
        <w:spacing w:before="29" w:line="288" w:lineRule="auto"/>
        <w:ind w:firstLineChars="200" w:firstLine="480"/>
        <w:rPr>
          <w:color w:val="000000"/>
          <w:sz w:val="24"/>
          <w:szCs w:val="24"/>
        </w:rPr>
      </w:pPr>
      <w:r>
        <w:rPr>
          <w:color w:val="000000"/>
          <w:sz w:val="24"/>
          <w:szCs w:val="24"/>
        </w:rPr>
        <w:t>一季度初，变异的新冠病毒给市场带来一丝阴霾，但在疫苗注射的推广下，经济复苏仍在比较明确的道路上。</w:t>
      </w:r>
      <w:r>
        <w:rPr>
          <w:color w:val="000000"/>
          <w:sz w:val="24"/>
          <w:szCs w:val="24"/>
        </w:rPr>
        <w:t>1</w:t>
      </w:r>
      <w:r>
        <w:rPr>
          <w:color w:val="000000"/>
          <w:sz w:val="24"/>
          <w:szCs w:val="24"/>
        </w:rPr>
        <w:t>月份公募基金</w:t>
      </w:r>
      <w:r>
        <w:rPr>
          <w:color w:val="000000"/>
          <w:sz w:val="24"/>
          <w:szCs w:val="24"/>
        </w:rPr>
        <w:t>IPO</w:t>
      </w:r>
      <w:r>
        <w:rPr>
          <w:color w:val="000000"/>
          <w:sz w:val="24"/>
          <w:szCs w:val="24"/>
        </w:rPr>
        <w:t>规模创下历史新高，风险偏好提升，流动性充足，市场大幅上涨。海外经济复苏强劲，推升原油等大宗商品价格上涨。经济的复苏和对通胀的担忧推升</w:t>
      </w:r>
      <w:r>
        <w:rPr>
          <w:color w:val="000000"/>
          <w:sz w:val="24"/>
          <w:szCs w:val="24"/>
        </w:rPr>
        <w:t>10</w:t>
      </w:r>
      <w:r>
        <w:rPr>
          <w:color w:val="000000"/>
          <w:sz w:val="24"/>
          <w:szCs w:val="24"/>
        </w:rPr>
        <w:t>年期美债收益率上行，并创下疫情以来的新高。全球风险资产承压，高估值权益资产大幅调整。一季度上证综指下跌近</w:t>
      </w:r>
      <w:r>
        <w:rPr>
          <w:color w:val="000000"/>
          <w:sz w:val="24"/>
          <w:szCs w:val="24"/>
        </w:rPr>
        <w:t>1%</w:t>
      </w:r>
      <w:r>
        <w:rPr>
          <w:color w:val="000000"/>
          <w:sz w:val="24"/>
          <w:szCs w:val="24"/>
        </w:rPr>
        <w:t>，价值风格大幅度跑赢成长风格。行业层面看钢铁、公用事业、银行、建筑等周期行业涨幅居前。海外权益中德国</w:t>
      </w:r>
      <w:r>
        <w:rPr>
          <w:color w:val="000000"/>
          <w:sz w:val="24"/>
          <w:szCs w:val="24"/>
        </w:rPr>
        <w:t>DAX30</w:t>
      </w:r>
      <w:r>
        <w:rPr>
          <w:color w:val="000000"/>
          <w:sz w:val="24"/>
          <w:szCs w:val="24"/>
        </w:rPr>
        <w:t>指数，日经</w:t>
      </w:r>
      <w:r>
        <w:rPr>
          <w:color w:val="000000"/>
          <w:sz w:val="24"/>
          <w:szCs w:val="24"/>
        </w:rPr>
        <w:t>225</w:t>
      </w:r>
      <w:r>
        <w:rPr>
          <w:color w:val="000000"/>
          <w:sz w:val="24"/>
          <w:szCs w:val="24"/>
        </w:rPr>
        <w:t>指数，标普</w:t>
      </w:r>
      <w:r>
        <w:rPr>
          <w:color w:val="000000"/>
          <w:sz w:val="24"/>
          <w:szCs w:val="24"/>
        </w:rPr>
        <w:t>500</w:t>
      </w:r>
      <w:r>
        <w:rPr>
          <w:color w:val="000000"/>
          <w:sz w:val="24"/>
          <w:szCs w:val="24"/>
        </w:rPr>
        <w:t>等指数涨幅居前。经济基本面显著改善，</w:t>
      </w:r>
      <w:r>
        <w:rPr>
          <w:color w:val="000000"/>
          <w:sz w:val="24"/>
          <w:szCs w:val="24"/>
        </w:rPr>
        <w:t>REITs</w:t>
      </w:r>
      <w:r>
        <w:rPr>
          <w:color w:val="000000"/>
          <w:sz w:val="24"/>
          <w:szCs w:val="24"/>
        </w:rPr>
        <w:t>涨幅明显。利率上行，美债大幅调整。</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二季度，全球疫情随疫苗普及压力逐步缓解，虽然部分地区疫情仍有反弹，但疫苗的接种仍在加速，经济逐步恢复至疫情前水平。国内经济增长边际趋缓，货币政策虽向常态回归，但节奏相对温和。近期权益市场的调整，更多是估值层面的修正，现在的估值已经开始吸引配置型资金入场，北上资金流入明显。</w:t>
      </w:r>
      <w:r w:rsidRPr="00414345">
        <w:rPr>
          <w:color w:val="000000"/>
          <w:sz w:val="24"/>
          <w:szCs w:val="24"/>
        </w:rPr>
        <w:t>3</w:t>
      </w:r>
      <w:r w:rsidRPr="00414345">
        <w:rPr>
          <w:color w:val="000000"/>
          <w:sz w:val="24"/>
          <w:szCs w:val="24"/>
        </w:rPr>
        <w:t>月下旬国内债券利率已经开始下行，缓解了白马成长股的估值压力。经济复苏期，盈利上行是支撑股价上涨的主要因素，市场大概率会重新关注盈利和估值相匹配的标的。海外经济复苏带来企业盈利复苏预期加强，货币政策仍以宽松为主，带来较好的全球配置机会。国内债市经过较长时间的调整后性价比逐步体现，当前在经济复苏上升期、通胀预期仍强情况下十年国债利率仍可能上行，但空间已经收窄，长端配置价值逐步显现。</w:t>
      </w:r>
      <w:r w:rsidRPr="00414345">
        <w:rPr>
          <w:color w:val="000000"/>
          <w:sz w:val="24"/>
          <w:szCs w:val="24"/>
        </w:rPr>
        <w:t>REITs</w:t>
      </w:r>
      <w:r w:rsidRPr="00414345">
        <w:rPr>
          <w:color w:val="000000"/>
          <w:sz w:val="24"/>
          <w:szCs w:val="24"/>
        </w:rPr>
        <w:t>基本面预期将大幅改善，在通胀环境下将会有较好的表现。</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本报告期上投摩根尚睿混合</w:t>
      </w:r>
      <w:r w:rsidRPr="00414345">
        <w:rPr>
          <w:color w:val="000000"/>
          <w:sz w:val="24"/>
          <w:szCs w:val="24"/>
        </w:rPr>
        <w:t>(FOF)</w:t>
      </w:r>
      <w:r w:rsidRPr="00414345">
        <w:rPr>
          <w:color w:val="000000"/>
          <w:sz w:val="24"/>
          <w:szCs w:val="24"/>
        </w:rPr>
        <w:t>份额净值增长率为</w:t>
      </w:r>
      <w:r w:rsidRPr="00414345">
        <w:rPr>
          <w:color w:val="000000"/>
          <w:sz w:val="24"/>
          <w:szCs w:val="24"/>
        </w:rPr>
        <w:t>:0.71%</w:t>
      </w:r>
      <w:r w:rsidRPr="00414345">
        <w:rPr>
          <w:color w:val="000000"/>
          <w:sz w:val="24"/>
          <w:szCs w:val="24"/>
        </w:rPr>
        <w:t>，同期业绩比较基准收益率为</w:t>
      </w:r>
      <w:r w:rsidRPr="00414345">
        <w:rPr>
          <w:color w:val="000000"/>
          <w:sz w:val="24"/>
          <w:szCs w:val="24"/>
        </w:rPr>
        <w:t>:-1.31%</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98514E" w:rsidRDefault="00FE6E75">
      <w:pPr>
        <w:spacing w:before="29" w:line="288" w:lineRule="auto"/>
        <w:ind w:firstLineChars="200" w:firstLine="480"/>
        <w:rPr>
          <w:color w:val="000000"/>
          <w:sz w:val="24"/>
        </w:rPr>
      </w:pPr>
      <w:r>
        <w:rPr>
          <w:color w:val="000000"/>
          <w:sz w:val="24"/>
        </w:rPr>
        <w:t>报告期内，本基金存在连续二十个工作日基金资产净值低于五千万元的情况，出现该情况的时间范围为</w:t>
      </w:r>
      <w:r>
        <w:rPr>
          <w:color w:val="000000"/>
          <w:sz w:val="24"/>
        </w:rPr>
        <w:t>2021</w:t>
      </w:r>
      <w:r>
        <w:rPr>
          <w:color w:val="000000"/>
          <w:sz w:val="24"/>
        </w:rPr>
        <w:t>年</w:t>
      </w:r>
      <w:r>
        <w:rPr>
          <w:color w:val="000000"/>
          <w:sz w:val="24"/>
        </w:rPr>
        <w:t>01</w:t>
      </w:r>
      <w:r>
        <w:rPr>
          <w:color w:val="000000"/>
          <w:sz w:val="24"/>
        </w:rPr>
        <w:t>月</w:t>
      </w:r>
      <w:r>
        <w:rPr>
          <w:color w:val="000000"/>
          <w:sz w:val="24"/>
        </w:rPr>
        <w:t>04</w:t>
      </w:r>
      <w:r>
        <w:rPr>
          <w:color w:val="000000"/>
          <w:sz w:val="24"/>
        </w:rPr>
        <w:t>日至</w:t>
      </w:r>
      <w:r>
        <w:rPr>
          <w:color w:val="000000"/>
          <w:sz w:val="24"/>
        </w:rPr>
        <w:t>2021</w:t>
      </w:r>
      <w:r>
        <w:rPr>
          <w:color w:val="000000"/>
          <w:sz w:val="24"/>
        </w:rPr>
        <w:t>年</w:t>
      </w:r>
      <w:r>
        <w:rPr>
          <w:color w:val="000000"/>
          <w:sz w:val="24"/>
        </w:rPr>
        <w:t>03</w:t>
      </w:r>
      <w:r>
        <w:rPr>
          <w:color w:val="000000"/>
          <w:sz w:val="24"/>
        </w:rPr>
        <w:t>月</w:t>
      </w:r>
      <w:r>
        <w:rPr>
          <w:color w:val="000000"/>
          <w:sz w:val="24"/>
        </w:rPr>
        <w:t>31</w:t>
      </w:r>
      <w:r>
        <w:rPr>
          <w:color w:val="000000"/>
          <w:sz w:val="24"/>
        </w:rPr>
        <w:t>日。</w:t>
      </w:r>
    </w:p>
    <w:p w:rsidR="00421CD2" w:rsidRDefault="00421CD2" w:rsidP="00421CD2">
      <w:pPr>
        <w:spacing w:before="29" w:line="288" w:lineRule="auto"/>
        <w:ind w:firstLineChars="200" w:firstLine="480"/>
        <w:rPr>
          <w:color w:val="000000"/>
          <w:sz w:val="24"/>
        </w:rPr>
      </w:pPr>
      <w:r w:rsidRPr="002070B4">
        <w:rPr>
          <w:color w:val="000000"/>
          <w:sz w:val="24"/>
        </w:rPr>
        <w:t>基金管理人拟调整本基金运作方式，加大营销力度，提升基金规模，方案已报监管机关。</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24,042,227.36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88.48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1,886,082.77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6.94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1,242,914.49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4.57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27,171,224.62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5,658.03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1,165,777.71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262.62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71,216.13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1,242,914.49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lastRenderedPageBreak/>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98514E">
        <w:tc>
          <w:tcPr>
            <w:tcW w:w="835" w:type="dxa"/>
            <w:vAlign w:val="center"/>
          </w:tcPr>
          <w:p w:rsidR="0098514E" w:rsidRDefault="00FE6E75">
            <w:pPr>
              <w:jc w:val="center"/>
            </w:pPr>
            <w:r>
              <w:rPr>
                <w:sz w:val="24"/>
                <w:szCs w:val="24"/>
              </w:rPr>
              <w:t>1</w:t>
            </w:r>
          </w:p>
        </w:tc>
        <w:tc>
          <w:tcPr>
            <w:tcW w:w="1159" w:type="dxa"/>
            <w:vAlign w:val="center"/>
          </w:tcPr>
          <w:p w:rsidR="0098514E" w:rsidRDefault="00FE6E75">
            <w:pPr>
              <w:jc w:val="center"/>
            </w:pPr>
            <w:r>
              <w:rPr>
                <w:sz w:val="24"/>
                <w:szCs w:val="24"/>
              </w:rPr>
              <w:t>004738</w:t>
            </w:r>
          </w:p>
        </w:tc>
        <w:tc>
          <w:tcPr>
            <w:tcW w:w="1161" w:type="dxa"/>
            <w:vAlign w:val="center"/>
          </w:tcPr>
          <w:p w:rsidR="0098514E" w:rsidRDefault="00FE6E75">
            <w:pPr>
              <w:jc w:val="center"/>
            </w:pPr>
            <w:r>
              <w:rPr>
                <w:sz w:val="24"/>
                <w:szCs w:val="24"/>
              </w:rPr>
              <w:t>上投摩根安隆回报混合</w:t>
            </w:r>
            <w:r>
              <w:rPr>
                <w:sz w:val="24"/>
                <w:szCs w:val="24"/>
              </w:rPr>
              <w:t>A</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2,662,797.60</w:t>
            </w:r>
          </w:p>
        </w:tc>
        <w:tc>
          <w:tcPr>
            <w:tcW w:w="1305" w:type="dxa"/>
            <w:vAlign w:val="center"/>
          </w:tcPr>
          <w:p w:rsidR="0098514E" w:rsidRDefault="00FE6E75">
            <w:pPr>
              <w:jc w:val="center"/>
            </w:pPr>
            <w:r>
              <w:rPr>
                <w:sz w:val="24"/>
                <w:szCs w:val="24"/>
              </w:rPr>
              <w:t>3,435,008.90</w:t>
            </w:r>
          </w:p>
        </w:tc>
        <w:tc>
          <w:tcPr>
            <w:tcW w:w="1161" w:type="dxa"/>
            <w:vAlign w:val="center"/>
          </w:tcPr>
          <w:p w:rsidR="0098514E" w:rsidRDefault="00FE6E75">
            <w:pPr>
              <w:jc w:val="center"/>
            </w:pPr>
            <w:r>
              <w:rPr>
                <w:sz w:val="24"/>
                <w:szCs w:val="24"/>
              </w:rPr>
              <w:t>12.93%</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2</w:t>
            </w:r>
          </w:p>
        </w:tc>
        <w:tc>
          <w:tcPr>
            <w:tcW w:w="1159" w:type="dxa"/>
            <w:vAlign w:val="center"/>
          </w:tcPr>
          <w:p w:rsidR="0098514E" w:rsidRDefault="00FE6E75">
            <w:pPr>
              <w:jc w:val="center"/>
            </w:pPr>
            <w:r>
              <w:rPr>
                <w:sz w:val="24"/>
                <w:szCs w:val="24"/>
              </w:rPr>
              <w:t>511260</w:t>
            </w:r>
          </w:p>
        </w:tc>
        <w:tc>
          <w:tcPr>
            <w:tcW w:w="1161" w:type="dxa"/>
            <w:vAlign w:val="center"/>
          </w:tcPr>
          <w:p w:rsidR="0098514E" w:rsidRDefault="00FE6E75">
            <w:pPr>
              <w:jc w:val="center"/>
            </w:pPr>
            <w:r>
              <w:rPr>
                <w:sz w:val="24"/>
                <w:szCs w:val="24"/>
              </w:rPr>
              <w:t>上证</w:t>
            </w:r>
            <w:r>
              <w:rPr>
                <w:sz w:val="24"/>
                <w:szCs w:val="24"/>
              </w:rPr>
              <w:t>10</w:t>
            </w:r>
            <w:r>
              <w:rPr>
                <w:sz w:val="24"/>
                <w:szCs w:val="24"/>
              </w:rPr>
              <w:t>年期国债</w:t>
            </w:r>
            <w:r>
              <w:rPr>
                <w:sz w:val="24"/>
                <w:szCs w:val="24"/>
              </w:rPr>
              <w:t>ETF</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21,800.00</w:t>
            </w:r>
          </w:p>
        </w:tc>
        <w:tc>
          <w:tcPr>
            <w:tcW w:w="1305" w:type="dxa"/>
            <w:vAlign w:val="center"/>
          </w:tcPr>
          <w:p w:rsidR="0098514E" w:rsidRDefault="00FE6E75">
            <w:pPr>
              <w:jc w:val="center"/>
            </w:pPr>
            <w:r>
              <w:rPr>
                <w:sz w:val="24"/>
                <w:szCs w:val="24"/>
              </w:rPr>
              <w:t>2,418,361.20</w:t>
            </w:r>
          </w:p>
        </w:tc>
        <w:tc>
          <w:tcPr>
            <w:tcW w:w="1161" w:type="dxa"/>
            <w:vAlign w:val="center"/>
          </w:tcPr>
          <w:p w:rsidR="0098514E" w:rsidRDefault="00FE6E75">
            <w:pPr>
              <w:jc w:val="center"/>
            </w:pPr>
            <w:r>
              <w:rPr>
                <w:sz w:val="24"/>
                <w:szCs w:val="24"/>
              </w:rPr>
              <w:t>9.11%</w:t>
            </w:r>
          </w:p>
        </w:tc>
        <w:tc>
          <w:tcPr>
            <w:tcW w:w="1301" w:type="dxa"/>
            <w:vAlign w:val="center"/>
          </w:tcPr>
          <w:p w:rsidR="0098514E" w:rsidRDefault="00FE6E75">
            <w:pPr>
              <w:jc w:val="center"/>
            </w:pPr>
            <w:r>
              <w:rPr>
                <w:sz w:val="24"/>
                <w:szCs w:val="24"/>
              </w:rPr>
              <w:t>否</w:t>
            </w:r>
          </w:p>
        </w:tc>
      </w:tr>
      <w:tr w:rsidR="0098514E">
        <w:tc>
          <w:tcPr>
            <w:tcW w:w="835" w:type="dxa"/>
            <w:vAlign w:val="center"/>
          </w:tcPr>
          <w:p w:rsidR="0098514E" w:rsidRDefault="00FE6E75">
            <w:pPr>
              <w:jc w:val="center"/>
            </w:pPr>
            <w:r>
              <w:rPr>
                <w:sz w:val="24"/>
                <w:szCs w:val="24"/>
              </w:rPr>
              <w:t>3</w:t>
            </w:r>
          </w:p>
        </w:tc>
        <w:tc>
          <w:tcPr>
            <w:tcW w:w="1159" w:type="dxa"/>
            <w:vAlign w:val="center"/>
          </w:tcPr>
          <w:p w:rsidR="0098514E" w:rsidRDefault="00FE6E75">
            <w:pPr>
              <w:jc w:val="center"/>
            </w:pPr>
            <w:r>
              <w:rPr>
                <w:sz w:val="24"/>
                <w:szCs w:val="24"/>
              </w:rPr>
              <w:t>376510</w:t>
            </w:r>
          </w:p>
        </w:tc>
        <w:tc>
          <w:tcPr>
            <w:tcW w:w="1161" w:type="dxa"/>
            <w:vAlign w:val="center"/>
          </w:tcPr>
          <w:p w:rsidR="0098514E" w:rsidRDefault="00FE6E75">
            <w:pPr>
              <w:jc w:val="center"/>
            </w:pPr>
            <w:r>
              <w:rPr>
                <w:sz w:val="24"/>
                <w:szCs w:val="24"/>
              </w:rPr>
              <w:t>上投摩根大盘蓝筹股票</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783,378.75</w:t>
            </w:r>
          </w:p>
        </w:tc>
        <w:tc>
          <w:tcPr>
            <w:tcW w:w="1305" w:type="dxa"/>
            <w:vAlign w:val="center"/>
          </w:tcPr>
          <w:p w:rsidR="0098514E" w:rsidRDefault="00FE6E75">
            <w:pPr>
              <w:jc w:val="center"/>
            </w:pPr>
            <w:r>
              <w:rPr>
                <w:sz w:val="24"/>
                <w:szCs w:val="24"/>
              </w:rPr>
              <w:t>2,357,265.00</w:t>
            </w:r>
          </w:p>
        </w:tc>
        <w:tc>
          <w:tcPr>
            <w:tcW w:w="1161" w:type="dxa"/>
            <w:vAlign w:val="center"/>
          </w:tcPr>
          <w:p w:rsidR="0098514E" w:rsidRDefault="00FE6E75">
            <w:pPr>
              <w:jc w:val="center"/>
            </w:pPr>
            <w:r>
              <w:rPr>
                <w:sz w:val="24"/>
                <w:szCs w:val="24"/>
              </w:rPr>
              <w:t>8.88%</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4</w:t>
            </w:r>
          </w:p>
        </w:tc>
        <w:tc>
          <w:tcPr>
            <w:tcW w:w="1159" w:type="dxa"/>
            <w:vAlign w:val="center"/>
          </w:tcPr>
          <w:p w:rsidR="0098514E" w:rsidRDefault="00FE6E75">
            <w:pPr>
              <w:jc w:val="center"/>
            </w:pPr>
            <w:r>
              <w:rPr>
                <w:sz w:val="24"/>
                <w:szCs w:val="24"/>
              </w:rPr>
              <w:t>377010</w:t>
            </w:r>
          </w:p>
        </w:tc>
        <w:tc>
          <w:tcPr>
            <w:tcW w:w="1161" w:type="dxa"/>
            <w:vAlign w:val="center"/>
          </w:tcPr>
          <w:p w:rsidR="0098514E" w:rsidRDefault="00FE6E75">
            <w:pPr>
              <w:jc w:val="center"/>
            </w:pPr>
            <w:r>
              <w:rPr>
                <w:sz w:val="24"/>
                <w:szCs w:val="24"/>
              </w:rPr>
              <w:t>上投摩根阿尔法混合</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388,256.44</w:t>
            </w:r>
          </w:p>
        </w:tc>
        <w:tc>
          <w:tcPr>
            <w:tcW w:w="1305" w:type="dxa"/>
            <w:vAlign w:val="center"/>
          </w:tcPr>
          <w:p w:rsidR="0098514E" w:rsidRDefault="00FE6E75">
            <w:pPr>
              <w:jc w:val="center"/>
            </w:pPr>
            <w:r>
              <w:rPr>
                <w:sz w:val="24"/>
                <w:szCs w:val="24"/>
              </w:rPr>
              <w:t>2,181,147.03</w:t>
            </w:r>
          </w:p>
        </w:tc>
        <w:tc>
          <w:tcPr>
            <w:tcW w:w="1161" w:type="dxa"/>
            <w:vAlign w:val="center"/>
          </w:tcPr>
          <w:p w:rsidR="0098514E" w:rsidRDefault="00FE6E75">
            <w:pPr>
              <w:jc w:val="center"/>
            </w:pPr>
            <w:r>
              <w:rPr>
                <w:sz w:val="24"/>
                <w:szCs w:val="24"/>
              </w:rPr>
              <w:t>8.21%</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5</w:t>
            </w:r>
          </w:p>
        </w:tc>
        <w:tc>
          <w:tcPr>
            <w:tcW w:w="1159" w:type="dxa"/>
            <w:vAlign w:val="center"/>
          </w:tcPr>
          <w:p w:rsidR="0098514E" w:rsidRDefault="00FE6E75">
            <w:pPr>
              <w:jc w:val="center"/>
            </w:pPr>
            <w:r>
              <w:rPr>
                <w:sz w:val="24"/>
                <w:szCs w:val="24"/>
              </w:rPr>
              <w:t>004144</w:t>
            </w:r>
          </w:p>
        </w:tc>
        <w:tc>
          <w:tcPr>
            <w:tcW w:w="1161" w:type="dxa"/>
            <w:vAlign w:val="center"/>
          </w:tcPr>
          <w:p w:rsidR="0098514E" w:rsidRDefault="00FE6E75">
            <w:pPr>
              <w:jc w:val="center"/>
            </w:pPr>
            <w:r>
              <w:rPr>
                <w:sz w:val="24"/>
                <w:szCs w:val="24"/>
              </w:rPr>
              <w:t>上投摩根安丰回报混合</w:t>
            </w:r>
            <w:r>
              <w:rPr>
                <w:sz w:val="24"/>
                <w:szCs w:val="24"/>
              </w:rPr>
              <w:t>A</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1,461,774.59</w:t>
            </w:r>
          </w:p>
        </w:tc>
        <w:tc>
          <w:tcPr>
            <w:tcW w:w="1305" w:type="dxa"/>
            <w:vAlign w:val="center"/>
          </w:tcPr>
          <w:p w:rsidR="0098514E" w:rsidRDefault="00FE6E75">
            <w:pPr>
              <w:jc w:val="center"/>
            </w:pPr>
            <w:r>
              <w:rPr>
                <w:sz w:val="24"/>
                <w:szCs w:val="24"/>
              </w:rPr>
              <w:t>2,063,294.83</w:t>
            </w:r>
          </w:p>
        </w:tc>
        <w:tc>
          <w:tcPr>
            <w:tcW w:w="1161" w:type="dxa"/>
            <w:vAlign w:val="center"/>
          </w:tcPr>
          <w:p w:rsidR="0098514E" w:rsidRDefault="00FE6E75">
            <w:pPr>
              <w:jc w:val="center"/>
            </w:pPr>
            <w:r>
              <w:rPr>
                <w:sz w:val="24"/>
                <w:szCs w:val="24"/>
              </w:rPr>
              <w:t>7.77%</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6</w:t>
            </w:r>
          </w:p>
        </w:tc>
        <w:tc>
          <w:tcPr>
            <w:tcW w:w="1159" w:type="dxa"/>
            <w:vAlign w:val="center"/>
          </w:tcPr>
          <w:p w:rsidR="0098514E" w:rsidRDefault="00FE6E75">
            <w:pPr>
              <w:jc w:val="center"/>
            </w:pPr>
            <w:r>
              <w:rPr>
                <w:sz w:val="24"/>
                <w:szCs w:val="24"/>
              </w:rPr>
              <w:t>370027</w:t>
            </w:r>
          </w:p>
        </w:tc>
        <w:tc>
          <w:tcPr>
            <w:tcW w:w="1161" w:type="dxa"/>
            <w:vAlign w:val="center"/>
          </w:tcPr>
          <w:p w:rsidR="0098514E" w:rsidRDefault="00FE6E75">
            <w:pPr>
              <w:jc w:val="center"/>
            </w:pPr>
            <w:r>
              <w:rPr>
                <w:sz w:val="24"/>
                <w:szCs w:val="24"/>
              </w:rPr>
              <w:t>上投摩</w:t>
            </w:r>
            <w:r>
              <w:rPr>
                <w:sz w:val="24"/>
                <w:szCs w:val="24"/>
              </w:rPr>
              <w:lastRenderedPageBreak/>
              <w:t>根智选</w:t>
            </w:r>
            <w:r>
              <w:rPr>
                <w:sz w:val="24"/>
                <w:szCs w:val="24"/>
              </w:rPr>
              <w:t>30</w:t>
            </w:r>
            <w:r>
              <w:rPr>
                <w:sz w:val="24"/>
                <w:szCs w:val="24"/>
              </w:rPr>
              <w:t>混合</w:t>
            </w:r>
          </w:p>
        </w:tc>
        <w:tc>
          <w:tcPr>
            <w:tcW w:w="1161" w:type="dxa"/>
            <w:vAlign w:val="center"/>
          </w:tcPr>
          <w:p w:rsidR="0098514E" w:rsidRDefault="00FE6E75">
            <w:pPr>
              <w:jc w:val="center"/>
            </w:pPr>
            <w:r>
              <w:rPr>
                <w:sz w:val="24"/>
                <w:szCs w:val="24"/>
              </w:rPr>
              <w:lastRenderedPageBreak/>
              <w:t>契约型</w:t>
            </w:r>
            <w:r>
              <w:rPr>
                <w:sz w:val="24"/>
                <w:szCs w:val="24"/>
              </w:rPr>
              <w:lastRenderedPageBreak/>
              <w:t>开放式</w:t>
            </w:r>
          </w:p>
        </w:tc>
        <w:tc>
          <w:tcPr>
            <w:tcW w:w="1159" w:type="dxa"/>
            <w:vAlign w:val="center"/>
          </w:tcPr>
          <w:p w:rsidR="0098514E" w:rsidRDefault="00FE6E75">
            <w:pPr>
              <w:jc w:val="center"/>
            </w:pPr>
            <w:r>
              <w:rPr>
                <w:sz w:val="24"/>
                <w:szCs w:val="24"/>
              </w:rPr>
              <w:lastRenderedPageBreak/>
              <w:t>514,094.</w:t>
            </w:r>
            <w:r>
              <w:rPr>
                <w:sz w:val="24"/>
                <w:szCs w:val="24"/>
              </w:rPr>
              <w:lastRenderedPageBreak/>
              <w:t>90</w:t>
            </w:r>
          </w:p>
        </w:tc>
        <w:tc>
          <w:tcPr>
            <w:tcW w:w="1305" w:type="dxa"/>
            <w:vAlign w:val="center"/>
          </w:tcPr>
          <w:p w:rsidR="0098514E" w:rsidRDefault="00FE6E75">
            <w:pPr>
              <w:jc w:val="center"/>
            </w:pPr>
            <w:r>
              <w:rPr>
                <w:sz w:val="24"/>
                <w:szCs w:val="24"/>
              </w:rPr>
              <w:lastRenderedPageBreak/>
              <w:t>1,760,980.</w:t>
            </w:r>
            <w:r>
              <w:rPr>
                <w:sz w:val="24"/>
                <w:szCs w:val="24"/>
              </w:rPr>
              <w:lastRenderedPageBreak/>
              <w:t>67</w:t>
            </w:r>
          </w:p>
        </w:tc>
        <w:tc>
          <w:tcPr>
            <w:tcW w:w="1161" w:type="dxa"/>
            <w:vAlign w:val="center"/>
          </w:tcPr>
          <w:p w:rsidR="0098514E" w:rsidRDefault="00FE6E75">
            <w:pPr>
              <w:jc w:val="center"/>
            </w:pPr>
            <w:r>
              <w:rPr>
                <w:sz w:val="24"/>
                <w:szCs w:val="24"/>
              </w:rPr>
              <w:lastRenderedPageBreak/>
              <w:t>6.63%</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7</w:t>
            </w:r>
          </w:p>
        </w:tc>
        <w:tc>
          <w:tcPr>
            <w:tcW w:w="1159" w:type="dxa"/>
            <w:vAlign w:val="center"/>
          </w:tcPr>
          <w:p w:rsidR="0098514E" w:rsidRDefault="00FE6E75">
            <w:pPr>
              <w:jc w:val="center"/>
            </w:pPr>
            <w:r>
              <w:rPr>
                <w:sz w:val="24"/>
                <w:szCs w:val="24"/>
              </w:rPr>
              <w:t>512800</w:t>
            </w:r>
          </w:p>
        </w:tc>
        <w:tc>
          <w:tcPr>
            <w:tcW w:w="1161" w:type="dxa"/>
            <w:vAlign w:val="center"/>
          </w:tcPr>
          <w:p w:rsidR="0098514E" w:rsidRDefault="00FE6E75">
            <w:pPr>
              <w:jc w:val="center"/>
            </w:pPr>
            <w:r>
              <w:rPr>
                <w:sz w:val="24"/>
                <w:szCs w:val="24"/>
              </w:rPr>
              <w:t>华宝中证银行</w:t>
            </w:r>
            <w:r>
              <w:rPr>
                <w:sz w:val="24"/>
                <w:szCs w:val="24"/>
              </w:rPr>
              <w:t>ETF</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1,187,400.00</w:t>
            </w:r>
          </w:p>
        </w:tc>
        <w:tc>
          <w:tcPr>
            <w:tcW w:w="1305" w:type="dxa"/>
            <w:vAlign w:val="center"/>
          </w:tcPr>
          <w:p w:rsidR="0098514E" w:rsidRDefault="00FE6E75">
            <w:pPr>
              <w:jc w:val="center"/>
            </w:pPr>
            <w:r>
              <w:rPr>
                <w:sz w:val="24"/>
                <w:szCs w:val="24"/>
              </w:rPr>
              <w:t>1,497,311.40</w:t>
            </w:r>
          </w:p>
        </w:tc>
        <w:tc>
          <w:tcPr>
            <w:tcW w:w="1161" w:type="dxa"/>
            <w:vAlign w:val="center"/>
          </w:tcPr>
          <w:p w:rsidR="0098514E" w:rsidRDefault="00FE6E75">
            <w:pPr>
              <w:jc w:val="center"/>
            </w:pPr>
            <w:r>
              <w:rPr>
                <w:sz w:val="24"/>
                <w:szCs w:val="24"/>
              </w:rPr>
              <w:t>5.64%</w:t>
            </w:r>
          </w:p>
        </w:tc>
        <w:tc>
          <w:tcPr>
            <w:tcW w:w="1301" w:type="dxa"/>
            <w:vAlign w:val="center"/>
          </w:tcPr>
          <w:p w:rsidR="0098514E" w:rsidRDefault="00FE6E75">
            <w:pPr>
              <w:jc w:val="center"/>
            </w:pPr>
            <w:r>
              <w:rPr>
                <w:sz w:val="24"/>
                <w:szCs w:val="24"/>
              </w:rPr>
              <w:t>否</w:t>
            </w:r>
          </w:p>
        </w:tc>
      </w:tr>
      <w:tr w:rsidR="0098514E">
        <w:tc>
          <w:tcPr>
            <w:tcW w:w="835" w:type="dxa"/>
            <w:vAlign w:val="center"/>
          </w:tcPr>
          <w:p w:rsidR="0098514E" w:rsidRDefault="00FE6E75">
            <w:pPr>
              <w:jc w:val="center"/>
            </w:pPr>
            <w:r>
              <w:rPr>
                <w:sz w:val="24"/>
                <w:szCs w:val="24"/>
              </w:rPr>
              <w:t>8</w:t>
            </w:r>
          </w:p>
        </w:tc>
        <w:tc>
          <w:tcPr>
            <w:tcW w:w="1159" w:type="dxa"/>
            <w:vAlign w:val="center"/>
          </w:tcPr>
          <w:p w:rsidR="0098514E" w:rsidRDefault="00FE6E75">
            <w:pPr>
              <w:jc w:val="center"/>
            </w:pPr>
            <w:r>
              <w:rPr>
                <w:sz w:val="24"/>
                <w:szCs w:val="24"/>
              </w:rPr>
              <w:t>000457</w:t>
            </w:r>
          </w:p>
        </w:tc>
        <w:tc>
          <w:tcPr>
            <w:tcW w:w="1161" w:type="dxa"/>
            <w:vAlign w:val="center"/>
          </w:tcPr>
          <w:p w:rsidR="0098514E" w:rsidRDefault="00FE6E75">
            <w:pPr>
              <w:jc w:val="center"/>
            </w:pPr>
            <w:r>
              <w:rPr>
                <w:sz w:val="24"/>
                <w:szCs w:val="24"/>
              </w:rPr>
              <w:t>上投摩根核心成长股票</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475,054.15</w:t>
            </w:r>
          </w:p>
        </w:tc>
        <w:tc>
          <w:tcPr>
            <w:tcW w:w="1305" w:type="dxa"/>
            <w:vAlign w:val="center"/>
          </w:tcPr>
          <w:p w:rsidR="0098514E" w:rsidRDefault="00FE6E75">
            <w:pPr>
              <w:jc w:val="center"/>
            </w:pPr>
            <w:r>
              <w:rPr>
                <w:sz w:val="24"/>
                <w:szCs w:val="24"/>
              </w:rPr>
              <w:t>1,356,517.13</w:t>
            </w:r>
          </w:p>
        </w:tc>
        <w:tc>
          <w:tcPr>
            <w:tcW w:w="1161" w:type="dxa"/>
            <w:vAlign w:val="center"/>
          </w:tcPr>
          <w:p w:rsidR="0098514E" w:rsidRDefault="00FE6E75">
            <w:pPr>
              <w:jc w:val="center"/>
            </w:pPr>
            <w:r>
              <w:rPr>
                <w:sz w:val="24"/>
                <w:szCs w:val="24"/>
              </w:rPr>
              <w:t>5.11%</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9</w:t>
            </w:r>
          </w:p>
        </w:tc>
        <w:tc>
          <w:tcPr>
            <w:tcW w:w="1159" w:type="dxa"/>
            <w:vAlign w:val="center"/>
          </w:tcPr>
          <w:p w:rsidR="0098514E" w:rsidRDefault="00FE6E75">
            <w:pPr>
              <w:jc w:val="center"/>
            </w:pPr>
            <w:r>
              <w:rPr>
                <w:sz w:val="24"/>
                <w:szCs w:val="24"/>
              </w:rPr>
              <w:t>377240</w:t>
            </w:r>
          </w:p>
        </w:tc>
        <w:tc>
          <w:tcPr>
            <w:tcW w:w="1161" w:type="dxa"/>
            <w:vAlign w:val="center"/>
          </w:tcPr>
          <w:p w:rsidR="0098514E" w:rsidRDefault="00FE6E75">
            <w:pPr>
              <w:jc w:val="center"/>
            </w:pPr>
            <w:r>
              <w:rPr>
                <w:sz w:val="24"/>
                <w:szCs w:val="24"/>
              </w:rPr>
              <w:t>上投摩根新兴动力混合</w:t>
            </w:r>
            <w:r>
              <w:rPr>
                <w:sz w:val="24"/>
                <w:szCs w:val="24"/>
              </w:rPr>
              <w:t>A</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226,985.56</w:t>
            </w:r>
          </w:p>
        </w:tc>
        <w:tc>
          <w:tcPr>
            <w:tcW w:w="1305" w:type="dxa"/>
            <w:vAlign w:val="center"/>
          </w:tcPr>
          <w:p w:rsidR="0098514E" w:rsidRDefault="00FE6E75">
            <w:pPr>
              <w:jc w:val="center"/>
            </w:pPr>
            <w:r>
              <w:rPr>
                <w:sz w:val="24"/>
                <w:szCs w:val="24"/>
              </w:rPr>
              <w:t>1,297,222.48</w:t>
            </w:r>
          </w:p>
        </w:tc>
        <w:tc>
          <w:tcPr>
            <w:tcW w:w="1161" w:type="dxa"/>
            <w:vAlign w:val="center"/>
          </w:tcPr>
          <w:p w:rsidR="0098514E" w:rsidRDefault="00FE6E75">
            <w:pPr>
              <w:jc w:val="center"/>
            </w:pPr>
            <w:r>
              <w:rPr>
                <w:sz w:val="24"/>
                <w:szCs w:val="24"/>
              </w:rPr>
              <w:t>4.88%</w:t>
            </w:r>
          </w:p>
        </w:tc>
        <w:tc>
          <w:tcPr>
            <w:tcW w:w="1301" w:type="dxa"/>
            <w:vAlign w:val="center"/>
          </w:tcPr>
          <w:p w:rsidR="0098514E" w:rsidRDefault="00FE6E75">
            <w:pPr>
              <w:jc w:val="center"/>
            </w:pPr>
            <w:r>
              <w:rPr>
                <w:sz w:val="24"/>
                <w:szCs w:val="24"/>
              </w:rPr>
              <w:t>是</w:t>
            </w:r>
          </w:p>
        </w:tc>
      </w:tr>
      <w:tr w:rsidR="0098514E">
        <w:tc>
          <w:tcPr>
            <w:tcW w:w="835" w:type="dxa"/>
            <w:vAlign w:val="center"/>
          </w:tcPr>
          <w:p w:rsidR="0098514E" w:rsidRDefault="00FE6E75">
            <w:pPr>
              <w:jc w:val="center"/>
            </w:pPr>
            <w:r>
              <w:rPr>
                <w:sz w:val="24"/>
                <w:szCs w:val="24"/>
              </w:rPr>
              <w:t>10</w:t>
            </w:r>
          </w:p>
        </w:tc>
        <w:tc>
          <w:tcPr>
            <w:tcW w:w="1159" w:type="dxa"/>
            <w:vAlign w:val="center"/>
          </w:tcPr>
          <w:p w:rsidR="0098514E" w:rsidRDefault="00FE6E75">
            <w:pPr>
              <w:jc w:val="center"/>
            </w:pPr>
            <w:r>
              <w:rPr>
                <w:sz w:val="24"/>
                <w:szCs w:val="24"/>
              </w:rPr>
              <w:t>512070</w:t>
            </w:r>
          </w:p>
        </w:tc>
        <w:tc>
          <w:tcPr>
            <w:tcW w:w="1161" w:type="dxa"/>
            <w:vAlign w:val="center"/>
          </w:tcPr>
          <w:p w:rsidR="0098514E" w:rsidRDefault="00FE6E75">
            <w:pPr>
              <w:jc w:val="center"/>
            </w:pPr>
            <w:r>
              <w:rPr>
                <w:sz w:val="24"/>
                <w:szCs w:val="24"/>
              </w:rPr>
              <w:t>易方达沪深</w:t>
            </w:r>
            <w:r>
              <w:rPr>
                <w:sz w:val="24"/>
                <w:szCs w:val="24"/>
              </w:rPr>
              <w:t>300</w:t>
            </w:r>
            <w:r>
              <w:rPr>
                <w:sz w:val="24"/>
                <w:szCs w:val="24"/>
              </w:rPr>
              <w:t>非银</w:t>
            </w:r>
            <w:r>
              <w:rPr>
                <w:sz w:val="24"/>
                <w:szCs w:val="24"/>
              </w:rPr>
              <w:t>ETF</w:t>
            </w:r>
          </w:p>
        </w:tc>
        <w:tc>
          <w:tcPr>
            <w:tcW w:w="1161" w:type="dxa"/>
            <w:vAlign w:val="center"/>
          </w:tcPr>
          <w:p w:rsidR="0098514E" w:rsidRDefault="00FE6E75">
            <w:pPr>
              <w:jc w:val="center"/>
            </w:pPr>
            <w:r>
              <w:rPr>
                <w:sz w:val="24"/>
                <w:szCs w:val="24"/>
              </w:rPr>
              <w:t>契约型开放式</w:t>
            </w:r>
          </w:p>
        </w:tc>
        <w:tc>
          <w:tcPr>
            <w:tcW w:w="1159" w:type="dxa"/>
            <w:vAlign w:val="center"/>
          </w:tcPr>
          <w:p w:rsidR="0098514E" w:rsidRDefault="00FE6E75">
            <w:pPr>
              <w:jc w:val="center"/>
            </w:pPr>
            <w:r>
              <w:rPr>
                <w:sz w:val="24"/>
                <w:szCs w:val="24"/>
              </w:rPr>
              <w:t>403,140.00</w:t>
            </w:r>
          </w:p>
        </w:tc>
        <w:tc>
          <w:tcPr>
            <w:tcW w:w="1305" w:type="dxa"/>
            <w:vAlign w:val="center"/>
          </w:tcPr>
          <w:p w:rsidR="0098514E" w:rsidRDefault="00FE6E75">
            <w:pPr>
              <w:jc w:val="center"/>
            </w:pPr>
            <w:r>
              <w:rPr>
                <w:sz w:val="24"/>
                <w:szCs w:val="24"/>
              </w:rPr>
              <w:t>937,703.64</w:t>
            </w:r>
          </w:p>
        </w:tc>
        <w:tc>
          <w:tcPr>
            <w:tcW w:w="1161" w:type="dxa"/>
            <w:vAlign w:val="center"/>
          </w:tcPr>
          <w:p w:rsidR="0098514E" w:rsidRDefault="00FE6E75">
            <w:pPr>
              <w:jc w:val="center"/>
            </w:pPr>
            <w:r>
              <w:rPr>
                <w:sz w:val="24"/>
                <w:szCs w:val="24"/>
              </w:rPr>
              <w:t>3.53%</w:t>
            </w:r>
          </w:p>
        </w:tc>
        <w:tc>
          <w:tcPr>
            <w:tcW w:w="1301" w:type="dxa"/>
            <w:vAlign w:val="center"/>
          </w:tcPr>
          <w:p w:rsidR="0098514E" w:rsidRDefault="00FE6E75">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22,431.25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22,431.25</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70,871.45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61,475.43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12,801.44</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10,600.47</w:t>
            </w:r>
          </w:p>
        </w:tc>
      </w:tr>
      <w:tr w:rsidR="0098514E">
        <w:tc>
          <w:tcPr>
            <w:tcW w:w="3012" w:type="dxa"/>
            <w:vAlign w:val="center"/>
          </w:tcPr>
          <w:p w:rsidR="0098514E" w:rsidRDefault="00FE6E75">
            <w:pPr>
              <w:jc w:val="left"/>
            </w:pPr>
            <w:r>
              <w:rPr>
                <w:rFonts w:eastAsiaTheme="minorEastAsia"/>
                <w:color w:val="000000" w:themeColor="text1"/>
                <w:sz w:val="24"/>
                <w:szCs w:val="24"/>
              </w:rPr>
              <w:t>当期交易基金产生的交易费（元）</w:t>
            </w:r>
          </w:p>
        </w:tc>
        <w:tc>
          <w:tcPr>
            <w:tcW w:w="3012" w:type="dxa"/>
            <w:vAlign w:val="center"/>
          </w:tcPr>
          <w:p w:rsidR="0098514E" w:rsidRDefault="00FE6E75">
            <w:pPr>
              <w:jc w:val="right"/>
            </w:pPr>
            <w:r>
              <w:rPr>
                <w:rFonts w:eastAsiaTheme="minorEastAsia"/>
                <w:color w:val="000000" w:themeColor="text1"/>
                <w:sz w:val="24"/>
                <w:szCs w:val="24"/>
              </w:rPr>
              <w:t>6,210.23</w:t>
            </w:r>
          </w:p>
        </w:tc>
        <w:tc>
          <w:tcPr>
            <w:tcW w:w="3012" w:type="dxa"/>
            <w:vAlign w:val="center"/>
          </w:tcPr>
          <w:p w:rsidR="0098514E" w:rsidRDefault="00FE6E75">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lastRenderedPageBreak/>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31,089,691.29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1,844,864.84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14,579,038.55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18,355,517.58</w:t>
            </w:r>
          </w:p>
        </w:tc>
      </w:tr>
    </w:tbl>
    <w:p w:rsidR="00320E90" w:rsidRDefault="00320E90" w:rsidP="00C15CAC">
      <w:pPr>
        <w:autoSpaceDE w:val="0"/>
        <w:autoSpaceDN w:val="0"/>
        <w:adjustRightInd w:val="0"/>
        <w:spacing w:before="29" w:line="288" w:lineRule="auto"/>
        <w:jc w:val="left"/>
        <w:rPr>
          <w:color w:val="000000"/>
          <w:sz w:val="24"/>
          <w:szCs w:val="24"/>
        </w:rPr>
      </w:pPr>
    </w:p>
    <w:p w:rsidR="00FE6E75" w:rsidRPr="00ED2620" w:rsidRDefault="00FE6E75" w:rsidP="00FE6E75">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R="00FE6E75" w:rsidRPr="00ED2620" w:rsidRDefault="00FE6E75" w:rsidP="00FE6E75">
      <w:pPr>
        <w:spacing w:line="288" w:lineRule="auto"/>
        <w:jc w:val="left"/>
        <w:rPr>
          <w:sz w:val="24"/>
          <w:szCs w:val="24"/>
        </w:rPr>
      </w:pPr>
      <w:r w:rsidRPr="00ED2620">
        <w:rPr>
          <w:b/>
          <w:sz w:val="24"/>
        </w:rPr>
        <w:t xml:space="preserve">8.1 </w:t>
      </w:r>
      <w:r w:rsidRPr="00ED2620">
        <w:rPr>
          <w:b/>
          <w:sz w:val="24"/>
        </w:rPr>
        <w:t>基金管理人持有本基金份额变动情况</w:t>
      </w:r>
    </w:p>
    <w:p w:rsidR="00480B35" w:rsidRPr="00FE6E75" w:rsidRDefault="00FE6E75" w:rsidP="00C15CAC">
      <w:pPr>
        <w:autoSpaceDE w:val="0"/>
        <w:autoSpaceDN w:val="0"/>
        <w:adjustRightInd w:val="0"/>
        <w:spacing w:before="29" w:line="288" w:lineRule="auto"/>
        <w:jc w:val="left"/>
        <w:rPr>
          <w:color w:val="000000"/>
          <w:sz w:val="24"/>
        </w:rPr>
      </w:pPr>
      <w:r>
        <w:rPr>
          <w:color w:val="000000"/>
          <w:sz w:val="24"/>
        </w:rPr>
        <w:t xml:space="preserve">  </w:t>
      </w:r>
      <w:r>
        <w:rPr>
          <w:rFonts w:hint="eastAsia"/>
          <w:color w:val="000000"/>
          <w:sz w:val="24"/>
        </w:rPr>
        <w:t>无。</w:t>
      </w:r>
    </w:p>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FE6E75">
        <w:rPr>
          <w:rFonts w:asciiTheme="minorEastAsia" w:eastAsiaTheme="minorEastAsia" w:hAnsiTheme="minor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FE6E75" w:rsidP="003C50AD">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9</w:t>
      </w:r>
      <w:r w:rsidR="003C50AD" w:rsidRPr="009A5C99">
        <w:rPr>
          <w:rFonts w:ascii="宋体" w:hAnsi="宋体"/>
          <w:b/>
          <w:bCs/>
          <w:color w:val="000000"/>
          <w:kern w:val="0"/>
          <w:sz w:val="24"/>
          <w:szCs w:val="24"/>
        </w:rPr>
        <w:t>.</w:t>
      </w:r>
      <w:r w:rsidR="003C50AD"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98514E">
        <w:tc>
          <w:tcPr>
            <w:tcW w:w="993" w:type="dxa"/>
            <w:vMerge w:val="restart"/>
            <w:vAlign w:val="center"/>
          </w:tcPr>
          <w:p w:rsidR="0098514E" w:rsidRDefault="00FE6E75">
            <w:r>
              <w:rPr>
                <w:rFonts w:ascii="宋体" w:hAnsi="宋体" w:hint="eastAsia"/>
                <w:bCs/>
                <w:color w:val="000000"/>
                <w:kern w:val="0"/>
              </w:rPr>
              <w:t>个人</w:t>
            </w:r>
          </w:p>
        </w:tc>
        <w:tc>
          <w:tcPr>
            <w:tcW w:w="992" w:type="dxa"/>
            <w:vAlign w:val="center"/>
          </w:tcPr>
          <w:p w:rsidR="0098514E" w:rsidRDefault="00FE6E75">
            <w:pPr>
              <w:jc w:val="center"/>
            </w:pPr>
            <w:r>
              <w:rPr>
                <w:rFonts w:ascii="宋体" w:hAnsi="宋体"/>
                <w:kern w:val="0"/>
              </w:rPr>
              <w:t>1</w:t>
            </w:r>
          </w:p>
        </w:tc>
        <w:tc>
          <w:tcPr>
            <w:tcW w:w="1843" w:type="dxa"/>
            <w:vAlign w:val="center"/>
          </w:tcPr>
          <w:p w:rsidR="0098514E" w:rsidRDefault="00FE6E75">
            <w:pPr>
              <w:jc w:val="center"/>
            </w:pPr>
            <w:r>
              <w:rPr>
                <w:rFonts w:ascii="宋体" w:hAnsi="宋体"/>
                <w:kern w:val="0"/>
              </w:rPr>
              <w:t>20210113-20210331</w:t>
            </w:r>
          </w:p>
        </w:tc>
        <w:tc>
          <w:tcPr>
            <w:tcW w:w="851" w:type="dxa"/>
            <w:vAlign w:val="center"/>
          </w:tcPr>
          <w:p w:rsidR="0098514E" w:rsidRDefault="00FE6E75">
            <w:pPr>
              <w:jc w:val="center"/>
            </w:pPr>
            <w:r>
              <w:rPr>
                <w:rFonts w:ascii="宋体" w:hAnsi="宋体"/>
                <w:kern w:val="0"/>
              </w:rPr>
              <w:t>5,043,192.61</w:t>
            </w:r>
          </w:p>
        </w:tc>
        <w:tc>
          <w:tcPr>
            <w:tcW w:w="850" w:type="dxa"/>
            <w:vAlign w:val="center"/>
          </w:tcPr>
          <w:p w:rsidR="0098514E" w:rsidRDefault="00FE6E75">
            <w:pPr>
              <w:jc w:val="center"/>
            </w:pPr>
            <w:r>
              <w:rPr>
                <w:rFonts w:ascii="宋体" w:hAnsi="宋体"/>
                <w:kern w:val="0"/>
              </w:rPr>
              <w:t>0.00</w:t>
            </w:r>
          </w:p>
        </w:tc>
        <w:tc>
          <w:tcPr>
            <w:tcW w:w="1134" w:type="dxa"/>
            <w:vAlign w:val="center"/>
          </w:tcPr>
          <w:p w:rsidR="0098514E" w:rsidRDefault="00FE6E75">
            <w:pPr>
              <w:jc w:val="center"/>
            </w:pPr>
            <w:r>
              <w:rPr>
                <w:rFonts w:ascii="宋体" w:hAnsi="宋体"/>
                <w:kern w:val="0"/>
              </w:rPr>
              <w:t>0.00</w:t>
            </w:r>
          </w:p>
        </w:tc>
        <w:tc>
          <w:tcPr>
            <w:tcW w:w="1419" w:type="dxa"/>
            <w:vAlign w:val="center"/>
          </w:tcPr>
          <w:p w:rsidR="0098514E" w:rsidRDefault="00FE6E75">
            <w:pPr>
              <w:jc w:val="center"/>
            </w:pPr>
            <w:r>
              <w:rPr>
                <w:rFonts w:ascii="宋体" w:hAnsi="宋体"/>
                <w:kern w:val="0"/>
              </w:rPr>
              <w:t>5,043,192.61</w:t>
            </w:r>
          </w:p>
        </w:tc>
        <w:tc>
          <w:tcPr>
            <w:tcW w:w="1130" w:type="dxa"/>
            <w:vAlign w:val="center"/>
          </w:tcPr>
          <w:p w:rsidR="0098514E" w:rsidRDefault="00FE6E75">
            <w:pPr>
              <w:jc w:val="center"/>
            </w:pPr>
            <w:r>
              <w:rPr>
                <w:rFonts w:ascii="宋体" w:hAnsi="宋体"/>
                <w:kern w:val="0"/>
              </w:rPr>
              <w:t>27.48%</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FE6E7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FE6E75"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98514E" w:rsidRDefault="00FE6E7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、中国证监会准予上投摩根尚睿混合型基金中基金</w:t>
      </w:r>
      <w:r>
        <w:rPr>
          <w:color w:val="000000"/>
          <w:sz w:val="24"/>
          <w:szCs w:val="24"/>
        </w:rPr>
        <w:t>(FOF)</w:t>
      </w:r>
      <w:r>
        <w:rPr>
          <w:color w:val="000000"/>
          <w:sz w:val="24"/>
          <w:szCs w:val="24"/>
        </w:rPr>
        <w:t>募集注册的文件；</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98514E" w:rsidRDefault="00FE6E75">
      <w:pPr>
        <w:spacing w:before="29" w:line="288" w:lineRule="auto"/>
        <w:ind w:firstLineChars="200" w:firstLine="480"/>
        <w:rPr>
          <w:color w:val="000000"/>
          <w:sz w:val="24"/>
          <w:szCs w:val="24"/>
        </w:rPr>
      </w:pPr>
      <w:r>
        <w:rPr>
          <w:color w:val="000000"/>
          <w:sz w:val="24"/>
          <w:szCs w:val="24"/>
        </w:rPr>
        <w:lastRenderedPageBreak/>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FE6E75"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FE6E75"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7B" w:rsidRDefault="0006777B" w:rsidP="00876D65">
      <w:r>
        <w:separator/>
      </w:r>
    </w:p>
  </w:endnote>
  <w:endnote w:type="continuationSeparator" w:id="0">
    <w:p w:rsidR="0006777B" w:rsidRDefault="0006777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F86F91">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F86F91">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7B" w:rsidRDefault="0006777B" w:rsidP="00876D65">
      <w:r>
        <w:separator/>
      </w:r>
    </w:p>
  </w:footnote>
  <w:footnote w:type="continuationSeparator" w:id="0">
    <w:p w:rsidR="0006777B" w:rsidRDefault="0006777B"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上投摩根尚睿混合型基金中基金</w:t>
    </w:r>
    <w:r w:rsidRPr="003E676C">
      <w:rPr>
        <w:sz w:val="24"/>
        <w:szCs w:val="24"/>
      </w:rPr>
      <w:t>(FOF)2021</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514E"/>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27BE1"/>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6F91"/>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E6E75"/>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89F4-D21E-470D-AE73-729030B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14</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584</cp:revision>
  <dcterms:created xsi:type="dcterms:W3CDTF">2012-10-16T06:07:00Z</dcterms:created>
  <dcterms:modified xsi:type="dcterms:W3CDTF">2021-04-21T02:51:00Z</dcterms:modified>
</cp:coreProperties>
</file>