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上投摩根尚睿混合型基金中基金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07D71" w:rsidRDefault="00F223E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上投摩根尚睿混合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006042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006042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31,089,691.29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通过优选基金，并结合严格的风险控制，实现基金资产的长期稳健增值。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407D71" w:rsidRDefault="00F223EE">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、资产配置策略</w:t>
            </w:r>
          </w:p>
          <w:p w:rsidR="00407D71" w:rsidRDefault="00F223EE">
            <w:pPr>
              <w:adjustRightInd w:val="0"/>
              <w:spacing w:before="29" w:line="288" w:lineRule="auto"/>
              <w:ind w:left="17"/>
              <w:jc w:val="left"/>
              <w:rPr>
                <w:color w:val="000000"/>
                <w:sz w:val="24"/>
                <w:szCs w:val="24"/>
              </w:rPr>
            </w:pPr>
            <w:r>
              <w:rPr>
                <w:color w:val="000000"/>
                <w:kern w:val="0"/>
                <w:sz w:val="24"/>
                <w:szCs w:val="24"/>
              </w:rPr>
              <w:t>在大类资产配置上，结合产品定位、风险收益特征以及管理人的长期资本市场观点确定基金的资产配置方案。</w:t>
            </w:r>
          </w:p>
          <w:p w:rsidR="00407D71" w:rsidRDefault="00F223EE">
            <w:pPr>
              <w:adjustRightInd w:val="0"/>
              <w:spacing w:before="29" w:line="288" w:lineRule="auto"/>
              <w:ind w:left="17"/>
              <w:jc w:val="left"/>
              <w:rPr>
                <w:color w:val="000000"/>
                <w:sz w:val="24"/>
                <w:szCs w:val="24"/>
              </w:rPr>
            </w:pPr>
            <w:r>
              <w:rPr>
                <w:color w:val="000000"/>
                <w:kern w:val="0"/>
                <w:sz w:val="24"/>
                <w:szCs w:val="24"/>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407D71" w:rsidRDefault="00F223EE">
            <w:pPr>
              <w:adjustRightInd w:val="0"/>
              <w:spacing w:before="29" w:line="288" w:lineRule="auto"/>
              <w:ind w:left="17"/>
              <w:jc w:val="left"/>
              <w:rPr>
                <w:color w:val="000000"/>
                <w:sz w:val="24"/>
                <w:szCs w:val="24"/>
              </w:rPr>
            </w:pPr>
            <w:r>
              <w:rPr>
                <w:color w:val="000000"/>
                <w:kern w:val="0"/>
                <w:sz w:val="24"/>
                <w:szCs w:val="24"/>
              </w:rPr>
              <w:t>密切关注市场风险的变化以及各资产类别的风险收益</w:t>
            </w:r>
            <w:r>
              <w:rPr>
                <w:color w:val="000000"/>
                <w:kern w:val="0"/>
                <w:sz w:val="24"/>
                <w:szCs w:val="24"/>
              </w:rPr>
              <w:lastRenderedPageBreak/>
              <w:t>的相对变化趋势，适度调整中长期战略配置比例。当资本市场发生重大变化且管理人认为将影响各类资产的预期时，根据实际情况调整资产配置比例。</w:t>
            </w:r>
          </w:p>
          <w:p w:rsidR="00407D71" w:rsidRDefault="00F223EE">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w:t>
            </w:r>
          </w:p>
          <w:p w:rsidR="00407D71" w:rsidRDefault="00F223EE">
            <w:pPr>
              <w:adjustRightInd w:val="0"/>
              <w:spacing w:before="29" w:line="288" w:lineRule="auto"/>
              <w:ind w:left="17"/>
              <w:jc w:val="left"/>
              <w:rPr>
                <w:color w:val="000000"/>
                <w:sz w:val="24"/>
                <w:szCs w:val="24"/>
              </w:rPr>
            </w:pPr>
            <w:r>
              <w:rPr>
                <w:color w:val="000000"/>
                <w:kern w:val="0"/>
                <w:sz w:val="24"/>
                <w:szCs w:val="24"/>
              </w:rPr>
              <w:t>综合运用定量分析和定性分析的方式，通过层层筛选，优选能持续创造超额收益的基金构建投资组合。</w:t>
            </w:r>
          </w:p>
          <w:p w:rsidR="00407D71" w:rsidRDefault="00F223EE">
            <w:pPr>
              <w:adjustRightInd w:val="0"/>
              <w:spacing w:before="29" w:line="288" w:lineRule="auto"/>
              <w:ind w:left="17"/>
              <w:jc w:val="left"/>
              <w:rPr>
                <w:color w:val="000000"/>
                <w:sz w:val="24"/>
                <w:szCs w:val="24"/>
              </w:rPr>
            </w:pPr>
            <w:r>
              <w:rPr>
                <w:color w:val="000000"/>
                <w:kern w:val="0"/>
                <w:sz w:val="24"/>
                <w:szCs w:val="24"/>
              </w:rPr>
              <w:t>首先，通过初步的定量指标筛选出历史业绩表现良好、规模适中、流动性较好的基金。在初步筛选的基础上，进一步通过尽职调查在基金管理公司层面进行考察，形成基金筛选基础池。</w:t>
            </w:r>
          </w:p>
          <w:p w:rsidR="00407D71" w:rsidRDefault="00F223EE">
            <w:pPr>
              <w:adjustRightInd w:val="0"/>
              <w:spacing w:before="29" w:line="288" w:lineRule="auto"/>
              <w:ind w:left="17"/>
              <w:jc w:val="left"/>
              <w:rPr>
                <w:color w:val="000000"/>
                <w:sz w:val="24"/>
                <w:szCs w:val="24"/>
              </w:rPr>
            </w:pPr>
            <w:r>
              <w:rPr>
                <w:color w:val="000000"/>
                <w:kern w:val="0"/>
                <w:sz w:val="24"/>
                <w:szCs w:val="24"/>
              </w:rPr>
              <w:t>其次，结合尽职调查结果以及公开数据，对基金经理进行深度访谈，筛选后将不同投资风格</w:t>
            </w:r>
            <w:r>
              <w:rPr>
                <w:color w:val="000000"/>
                <w:kern w:val="0"/>
                <w:sz w:val="24"/>
                <w:szCs w:val="24"/>
              </w:rPr>
              <w:t>/</w:t>
            </w:r>
            <w:r>
              <w:rPr>
                <w:color w:val="000000"/>
                <w:kern w:val="0"/>
                <w:sz w:val="24"/>
                <w:szCs w:val="24"/>
              </w:rPr>
              <w:t>策略的代表性基金列入未来基金构建投资组合的核心池。</w:t>
            </w:r>
          </w:p>
          <w:p w:rsidR="00407D71" w:rsidRDefault="00F223EE">
            <w:pPr>
              <w:adjustRightInd w:val="0"/>
              <w:spacing w:before="29" w:line="288" w:lineRule="auto"/>
              <w:ind w:left="17"/>
              <w:jc w:val="left"/>
              <w:rPr>
                <w:color w:val="000000"/>
                <w:sz w:val="24"/>
                <w:szCs w:val="24"/>
              </w:rPr>
            </w:pPr>
            <w:r>
              <w:rPr>
                <w:color w:val="000000"/>
                <w:kern w:val="0"/>
                <w:sz w:val="24"/>
                <w:szCs w:val="24"/>
              </w:rPr>
              <w:t>本基金目前将主要投资于本基金管理人旗下的公募基金，并根据定量及定性分析策略优选标的基金。未来本基金管理人本着审慎尽职的原则，可将投资范围逐步扩展至其他管理人旗下的公募基金。</w:t>
            </w:r>
          </w:p>
          <w:p w:rsidR="00407D71" w:rsidRDefault="00F223EE">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w:t>
            </w:r>
          </w:p>
          <w:p w:rsidR="00407D71" w:rsidRDefault="00F223EE">
            <w:pPr>
              <w:adjustRightInd w:val="0"/>
              <w:spacing w:before="29" w:line="288" w:lineRule="auto"/>
              <w:ind w:left="17"/>
              <w:jc w:val="left"/>
              <w:rPr>
                <w:color w:val="000000"/>
                <w:sz w:val="24"/>
                <w:szCs w:val="24"/>
              </w:rPr>
            </w:pPr>
            <w:r>
              <w:rPr>
                <w:color w:val="000000"/>
                <w:kern w:val="0"/>
                <w:sz w:val="24"/>
                <w:szCs w:val="24"/>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407D71" w:rsidRDefault="00F223EE">
            <w:pPr>
              <w:adjustRightInd w:val="0"/>
              <w:spacing w:before="29" w:line="288" w:lineRule="auto"/>
              <w:ind w:left="17"/>
              <w:jc w:val="left"/>
              <w:rPr>
                <w:color w:val="000000"/>
                <w:sz w:val="24"/>
                <w:szCs w:val="24"/>
              </w:rPr>
            </w:pPr>
            <w:r>
              <w:rPr>
                <w:color w:val="000000"/>
                <w:kern w:val="0"/>
                <w:sz w:val="24"/>
                <w:szCs w:val="24"/>
              </w:rPr>
              <w:t>4</w:t>
            </w:r>
            <w:r>
              <w:rPr>
                <w:color w:val="000000"/>
                <w:kern w:val="0"/>
                <w:sz w:val="24"/>
                <w:szCs w:val="24"/>
              </w:rPr>
              <w:t>、债券投资策略</w:t>
            </w:r>
          </w:p>
          <w:p w:rsidR="00407D71" w:rsidRDefault="00F223EE">
            <w:pPr>
              <w:adjustRightInd w:val="0"/>
              <w:spacing w:before="29" w:line="288" w:lineRule="auto"/>
              <w:ind w:left="17"/>
              <w:jc w:val="left"/>
              <w:rPr>
                <w:color w:val="000000"/>
                <w:sz w:val="24"/>
                <w:szCs w:val="24"/>
              </w:rPr>
            </w:pPr>
            <w:r>
              <w:rPr>
                <w:color w:val="000000"/>
                <w:kern w:val="0"/>
                <w:sz w:val="24"/>
                <w:szCs w:val="24"/>
              </w:rPr>
              <w:t>结合不同债券品种的到期收益率、流动性、市场规模等情况，并根据对债券收益率曲线形态、息差变化的预测，对债券组合进行动态调整。</w:t>
            </w:r>
          </w:p>
          <w:p w:rsidR="00407D71" w:rsidRDefault="00F223EE">
            <w:pPr>
              <w:adjustRightInd w:val="0"/>
              <w:spacing w:before="29" w:line="288" w:lineRule="auto"/>
              <w:ind w:left="17"/>
              <w:jc w:val="left"/>
              <w:rPr>
                <w:color w:val="000000"/>
                <w:sz w:val="24"/>
                <w:szCs w:val="24"/>
              </w:rPr>
            </w:pPr>
            <w:r>
              <w:rPr>
                <w:color w:val="000000"/>
                <w:kern w:val="0"/>
                <w:sz w:val="24"/>
                <w:szCs w:val="24"/>
              </w:rPr>
              <w:t>5</w:t>
            </w:r>
            <w:r>
              <w:rPr>
                <w:color w:val="000000"/>
                <w:kern w:val="0"/>
                <w:sz w:val="24"/>
                <w:szCs w:val="24"/>
              </w:rPr>
              <w:t>、中小企业私募债投资策略</w:t>
            </w:r>
          </w:p>
          <w:p w:rsidR="00407D71" w:rsidRDefault="00F223EE">
            <w:pPr>
              <w:adjustRightInd w:val="0"/>
              <w:spacing w:before="29" w:line="288" w:lineRule="auto"/>
              <w:ind w:left="17"/>
              <w:jc w:val="left"/>
              <w:rPr>
                <w:color w:val="000000"/>
                <w:sz w:val="24"/>
                <w:szCs w:val="24"/>
              </w:rPr>
            </w:pPr>
            <w:r>
              <w:rPr>
                <w:color w:val="000000"/>
                <w:kern w:val="0"/>
                <w:sz w:val="24"/>
                <w:szCs w:val="24"/>
              </w:rPr>
              <w:t>本基金对中小企业私募债的投资主要从自上而下判断景气周期和自下而上精选标的两个角度出发，结合信用分析和信用评估进行。</w:t>
            </w:r>
          </w:p>
          <w:p w:rsidR="00407D71" w:rsidRDefault="00F223EE">
            <w:pPr>
              <w:adjustRightInd w:val="0"/>
              <w:spacing w:before="29" w:line="288" w:lineRule="auto"/>
              <w:ind w:left="17"/>
              <w:jc w:val="left"/>
              <w:rPr>
                <w:color w:val="000000"/>
                <w:sz w:val="24"/>
                <w:szCs w:val="24"/>
              </w:rPr>
            </w:pPr>
            <w:r>
              <w:rPr>
                <w:color w:val="000000"/>
                <w:kern w:val="0"/>
                <w:sz w:val="24"/>
                <w:szCs w:val="24"/>
              </w:rPr>
              <w:t>6</w:t>
            </w:r>
            <w:r>
              <w:rPr>
                <w:color w:val="000000"/>
                <w:kern w:val="0"/>
                <w:sz w:val="24"/>
                <w:szCs w:val="24"/>
              </w:rPr>
              <w:t>、证券公司短期公司债投资策略</w:t>
            </w:r>
          </w:p>
          <w:p w:rsidR="00407D71" w:rsidRDefault="00F223EE">
            <w:pPr>
              <w:adjustRightInd w:val="0"/>
              <w:spacing w:before="29" w:line="288" w:lineRule="auto"/>
              <w:ind w:left="17"/>
              <w:jc w:val="left"/>
              <w:rPr>
                <w:color w:val="000000"/>
                <w:sz w:val="24"/>
                <w:szCs w:val="24"/>
              </w:rPr>
            </w:pPr>
            <w:r>
              <w:rPr>
                <w:color w:val="000000"/>
                <w:kern w:val="0"/>
                <w:sz w:val="24"/>
                <w:szCs w:val="24"/>
              </w:rPr>
              <w:t>主要从分析证券行业整体情况、证券公司基本面情况入手，分析证券公司短期公司债券的违约风险及合理的利差水平，对其进行独立、客观的价值评估。</w:t>
            </w:r>
          </w:p>
          <w:p w:rsidR="00407D71" w:rsidRDefault="00F223EE">
            <w:pPr>
              <w:adjustRightInd w:val="0"/>
              <w:spacing w:before="29" w:line="288" w:lineRule="auto"/>
              <w:ind w:left="17"/>
              <w:jc w:val="left"/>
              <w:rPr>
                <w:color w:val="000000"/>
                <w:sz w:val="24"/>
                <w:szCs w:val="24"/>
              </w:rPr>
            </w:pPr>
            <w:r>
              <w:rPr>
                <w:color w:val="000000"/>
                <w:kern w:val="0"/>
                <w:sz w:val="24"/>
                <w:szCs w:val="24"/>
              </w:rPr>
              <w:lastRenderedPageBreak/>
              <w:t>7</w:t>
            </w:r>
            <w:r>
              <w:rPr>
                <w:color w:val="000000"/>
                <w:kern w:val="0"/>
                <w:sz w:val="24"/>
                <w:szCs w:val="24"/>
              </w:rPr>
              <w:t>、资产支持证券投资策略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综合考虑市场利率、发行条款、支持资产的构成及质量等因素，对资产支持证券的风险与收益状况进行评估，确定资产合理配置比例。</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本基金的业绩比较基准为：中证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407D71" w:rsidRDefault="00F223EE">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本基金属于混合型基金中基金，预期风险和收益水平低于股票型基金，高于债券型和货币市场基金，属于较高风险收益水平的基金产品。</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223EE" w:rsidRPr="00414345" w:rsidTr="00F223E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223EE" w:rsidRPr="00414345" w:rsidTr="00F223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1,947,525.58</w:t>
            </w:r>
          </w:p>
        </w:tc>
      </w:tr>
      <w:tr w:rsidR="00F223EE" w:rsidRPr="00414345" w:rsidTr="00F223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3,571,446.11</w:t>
            </w:r>
          </w:p>
        </w:tc>
      </w:tr>
      <w:tr w:rsidR="00F223EE" w:rsidRPr="00414345" w:rsidTr="00F223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0.0991</w:t>
            </w:r>
          </w:p>
        </w:tc>
      </w:tr>
      <w:tr w:rsidR="00F223EE" w:rsidRPr="00414345" w:rsidTr="00F223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44,664,344.89</w:t>
            </w:r>
          </w:p>
        </w:tc>
      </w:tr>
      <w:tr w:rsidR="00F223EE" w:rsidRPr="00414345" w:rsidTr="00F223E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1.4366</w:t>
            </w:r>
          </w:p>
        </w:tc>
      </w:tr>
    </w:tbl>
    <w:p w:rsidR="00407D71" w:rsidRDefault="00F223EE">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07D71">
        <w:trPr>
          <w:jc w:val="center"/>
        </w:trPr>
        <w:tc>
          <w:tcPr>
            <w:tcW w:w="1701" w:type="dxa"/>
            <w:vAlign w:val="center"/>
          </w:tcPr>
          <w:p w:rsidR="00407D71" w:rsidRDefault="00F223EE">
            <w:pPr>
              <w:jc w:val="left"/>
            </w:pPr>
            <w:r>
              <w:rPr>
                <w:color w:val="000000"/>
                <w:sz w:val="24"/>
                <w:szCs w:val="24"/>
              </w:rPr>
              <w:t>过去三个月</w:t>
            </w:r>
          </w:p>
        </w:tc>
        <w:tc>
          <w:tcPr>
            <w:tcW w:w="1045" w:type="dxa"/>
            <w:vAlign w:val="center"/>
          </w:tcPr>
          <w:p w:rsidR="00407D71" w:rsidRDefault="00F223EE">
            <w:pPr>
              <w:jc w:val="center"/>
            </w:pPr>
            <w:r>
              <w:rPr>
                <w:color w:val="000000"/>
                <w:sz w:val="24"/>
                <w:szCs w:val="24"/>
              </w:rPr>
              <w:t>7.40%</w:t>
            </w:r>
          </w:p>
        </w:tc>
        <w:tc>
          <w:tcPr>
            <w:tcW w:w="1344" w:type="dxa"/>
            <w:vAlign w:val="center"/>
          </w:tcPr>
          <w:p w:rsidR="00407D71" w:rsidRDefault="00F223EE">
            <w:pPr>
              <w:jc w:val="center"/>
            </w:pPr>
            <w:r>
              <w:rPr>
                <w:color w:val="000000"/>
                <w:sz w:val="24"/>
                <w:szCs w:val="24"/>
              </w:rPr>
              <w:t>0.73%</w:t>
            </w:r>
          </w:p>
        </w:tc>
        <w:tc>
          <w:tcPr>
            <w:tcW w:w="1194" w:type="dxa"/>
            <w:vAlign w:val="center"/>
          </w:tcPr>
          <w:p w:rsidR="00407D71" w:rsidRDefault="00F223EE">
            <w:pPr>
              <w:jc w:val="center"/>
            </w:pPr>
            <w:r>
              <w:rPr>
                <w:color w:val="000000"/>
                <w:sz w:val="24"/>
                <w:szCs w:val="24"/>
              </w:rPr>
              <w:t>7.08%</w:t>
            </w:r>
          </w:p>
        </w:tc>
        <w:tc>
          <w:tcPr>
            <w:tcW w:w="1492" w:type="dxa"/>
            <w:vAlign w:val="center"/>
          </w:tcPr>
          <w:p w:rsidR="00407D71" w:rsidRDefault="00F223EE">
            <w:pPr>
              <w:jc w:val="center"/>
            </w:pPr>
            <w:r>
              <w:rPr>
                <w:color w:val="000000"/>
                <w:sz w:val="24"/>
                <w:szCs w:val="24"/>
              </w:rPr>
              <w:t>0.61%</w:t>
            </w:r>
          </w:p>
        </w:tc>
        <w:tc>
          <w:tcPr>
            <w:tcW w:w="1194" w:type="dxa"/>
            <w:vAlign w:val="center"/>
          </w:tcPr>
          <w:p w:rsidR="00407D71" w:rsidRDefault="00F223EE">
            <w:pPr>
              <w:jc w:val="center"/>
            </w:pPr>
            <w:r>
              <w:rPr>
                <w:color w:val="000000"/>
                <w:sz w:val="24"/>
                <w:szCs w:val="24"/>
              </w:rPr>
              <w:t>0.32%</w:t>
            </w:r>
          </w:p>
        </w:tc>
        <w:tc>
          <w:tcPr>
            <w:tcW w:w="898" w:type="dxa"/>
            <w:vAlign w:val="center"/>
          </w:tcPr>
          <w:p w:rsidR="00407D71" w:rsidRDefault="00F223EE">
            <w:pPr>
              <w:jc w:val="center"/>
            </w:pPr>
            <w:r>
              <w:rPr>
                <w:color w:val="000000"/>
                <w:sz w:val="24"/>
                <w:szCs w:val="24"/>
              </w:rPr>
              <w:t>0.12%</w:t>
            </w:r>
          </w:p>
        </w:tc>
      </w:tr>
      <w:tr w:rsidR="00407D71">
        <w:trPr>
          <w:jc w:val="center"/>
        </w:trPr>
        <w:tc>
          <w:tcPr>
            <w:tcW w:w="1701" w:type="dxa"/>
            <w:vAlign w:val="center"/>
          </w:tcPr>
          <w:p w:rsidR="00407D71" w:rsidRDefault="00F223EE">
            <w:pPr>
              <w:jc w:val="left"/>
            </w:pPr>
            <w:r>
              <w:rPr>
                <w:color w:val="000000"/>
                <w:sz w:val="24"/>
                <w:szCs w:val="24"/>
              </w:rPr>
              <w:t>过去六个月</w:t>
            </w:r>
          </w:p>
        </w:tc>
        <w:tc>
          <w:tcPr>
            <w:tcW w:w="1045" w:type="dxa"/>
            <w:vAlign w:val="center"/>
          </w:tcPr>
          <w:p w:rsidR="00407D71" w:rsidRDefault="00F223EE">
            <w:pPr>
              <w:jc w:val="center"/>
            </w:pPr>
            <w:r>
              <w:rPr>
                <w:color w:val="000000"/>
                <w:sz w:val="24"/>
                <w:szCs w:val="24"/>
              </w:rPr>
              <w:t>13.45%</w:t>
            </w:r>
          </w:p>
        </w:tc>
        <w:tc>
          <w:tcPr>
            <w:tcW w:w="1344" w:type="dxa"/>
            <w:vAlign w:val="center"/>
          </w:tcPr>
          <w:p w:rsidR="00407D71" w:rsidRDefault="00F223EE">
            <w:pPr>
              <w:jc w:val="center"/>
            </w:pPr>
            <w:r>
              <w:rPr>
                <w:color w:val="000000"/>
                <w:sz w:val="24"/>
                <w:szCs w:val="24"/>
              </w:rPr>
              <w:t>0.88%</w:t>
            </w:r>
          </w:p>
        </w:tc>
        <w:tc>
          <w:tcPr>
            <w:tcW w:w="1194" w:type="dxa"/>
            <w:vAlign w:val="center"/>
          </w:tcPr>
          <w:p w:rsidR="00407D71" w:rsidRDefault="00F223EE">
            <w:pPr>
              <w:jc w:val="center"/>
            </w:pPr>
            <w:r>
              <w:rPr>
                <w:color w:val="000000"/>
                <w:sz w:val="24"/>
                <w:szCs w:val="24"/>
              </w:rPr>
              <w:t>12.86%</w:t>
            </w:r>
          </w:p>
        </w:tc>
        <w:tc>
          <w:tcPr>
            <w:tcW w:w="1492" w:type="dxa"/>
            <w:vAlign w:val="center"/>
          </w:tcPr>
          <w:p w:rsidR="00407D71" w:rsidRDefault="00F223EE">
            <w:pPr>
              <w:jc w:val="center"/>
            </w:pPr>
            <w:r>
              <w:rPr>
                <w:color w:val="000000"/>
                <w:sz w:val="24"/>
                <w:szCs w:val="24"/>
              </w:rPr>
              <w:t>0.81%</w:t>
            </w:r>
          </w:p>
        </w:tc>
        <w:tc>
          <w:tcPr>
            <w:tcW w:w="1194" w:type="dxa"/>
            <w:vAlign w:val="center"/>
          </w:tcPr>
          <w:p w:rsidR="00407D71" w:rsidRDefault="00F223EE">
            <w:pPr>
              <w:jc w:val="center"/>
            </w:pPr>
            <w:r>
              <w:rPr>
                <w:color w:val="000000"/>
                <w:sz w:val="24"/>
                <w:szCs w:val="24"/>
              </w:rPr>
              <w:t>0.59%</w:t>
            </w:r>
          </w:p>
        </w:tc>
        <w:tc>
          <w:tcPr>
            <w:tcW w:w="898" w:type="dxa"/>
            <w:vAlign w:val="center"/>
          </w:tcPr>
          <w:p w:rsidR="00407D71" w:rsidRDefault="00F223EE">
            <w:pPr>
              <w:jc w:val="center"/>
            </w:pPr>
            <w:r>
              <w:rPr>
                <w:color w:val="000000"/>
                <w:sz w:val="24"/>
                <w:szCs w:val="24"/>
              </w:rPr>
              <w:t>0.07%</w:t>
            </w:r>
          </w:p>
        </w:tc>
      </w:tr>
      <w:tr w:rsidR="00407D71">
        <w:trPr>
          <w:jc w:val="center"/>
        </w:trPr>
        <w:tc>
          <w:tcPr>
            <w:tcW w:w="1701" w:type="dxa"/>
            <w:vAlign w:val="center"/>
          </w:tcPr>
          <w:p w:rsidR="00407D71" w:rsidRDefault="00F223EE">
            <w:pPr>
              <w:jc w:val="left"/>
            </w:pPr>
            <w:r>
              <w:rPr>
                <w:color w:val="000000"/>
                <w:sz w:val="24"/>
                <w:szCs w:val="24"/>
              </w:rPr>
              <w:t>过去一年</w:t>
            </w:r>
          </w:p>
        </w:tc>
        <w:tc>
          <w:tcPr>
            <w:tcW w:w="1045" w:type="dxa"/>
            <w:vAlign w:val="center"/>
          </w:tcPr>
          <w:p w:rsidR="00407D71" w:rsidRDefault="00F223EE">
            <w:pPr>
              <w:jc w:val="center"/>
            </w:pPr>
            <w:r>
              <w:rPr>
                <w:color w:val="000000"/>
                <w:sz w:val="24"/>
                <w:szCs w:val="24"/>
              </w:rPr>
              <w:t>20.15%</w:t>
            </w:r>
          </w:p>
        </w:tc>
        <w:tc>
          <w:tcPr>
            <w:tcW w:w="1344" w:type="dxa"/>
            <w:vAlign w:val="center"/>
          </w:tcPr>
          <w:p w:rsidR="00407D71" w:rsidRDefault="00F223EE">
            <w:pPr>
              <w:jc w:val="center"/>
            </w:pPr>
            <w:r>
              <w:rPr>
                <w:color w:val="000000"/>
                <w:sz w:val="24"/>
                <w:szCs w:val="24"/>
              </w:rPr>
              <w:t>1.01%</w:t>
            </w:r>
          </w:p>
        </w:tc>
        <w:tc>
          <w:tcPr>
            <w:tcW w:w="1194" w:type="dxa"/>
            <w:vAlign w:val="center"/>
          </w:tcPr>
          <w:p w:rsidR="00407D71" w:rsidRDefault="00F223EE">
            <w:pPr>
              <w:jc w:val="center"/>
            </w:pPr>
            <w:r>
              <w:rPr>
                <w:color w:val="000000"/>
                <w:sz w:val="24"/>
                <w:szCs w:val="24"/>
              </w:rPr>
              <w:t>16.66%</w:t>
            </w:r>
          </w:p>
        </w:tc>
        <w:tc>
          <w:tcPr>
            <w:tcW w:w="1492" w:type="dxa"/>
            <w:vAlign w:val="center"/>
          </w:tcPr>
          <w:p w:rsidR="00407D71" w:rsidRDefault="00F223EE">
            <w:pPr>
              <w:jc w:val="center"/>
            </w:pPr>
            <w:r>
              <w:rPr>
                <w:color w:val="000000"/>
                <w:sz w:val="24"/>
                <w:szCs w:val="24"/>
              </w:rPr>
              <w:t>0.86%</w:t>
            </w:r>
          </w:p>
        </w:tc>
        <w:tc>
          <w:tcPr>
            <w:tcW w:w="1194" w:type="dxa"/>
            <w:vAlign w:val="center"/>
          </w:tcPr>
          <w:p w:rsidR="00407D71" w:rsidRDefault="00F223EE">
            <w:pPr>
              <w:jc w:val="center"/>
            </w:pPr>
            <w:r>
              <w:rPr>
                <w:color w:val="000000"/>
                <w:sz w:val="24"/>
                <w:szCs w:val="24"/>
              </w:rPr>
              <w:t>3.49%</w:t>
            </w:r>
          </w:p>
        </w:tc>
        <w:tc>
          <w:tcPr>
            <w:tcW w:w="898" w:type="dxa"/>
            <w:vAlign w:val="center"/>
          </w:tcPr>
          <w:p w:rsidR="00407D71" w:rsidRDefault="00F223EE">
            <w:pPr>
              <w:jc w:val="center"/>
            </w:pPr>
            <w:r>
              <w:rPr>
                <w:color w:val="000000"/>
                <w:sz w:val="24"/>
                <w:szCs w:val="24"/>
              </w:rPr>
              <w:t>0.15%</w:t>
            </w:r>
          </w:p>
        </w:tc>
      </w:tr>
      <w:tr w:rsidR="00407D71">
        <w:trPr>
          <w:jc w:val="center"/>
        </w:trPr>
        <w:tc>
          <w:tcPr>
            <w:tcW w:w="1701" w:type="dxa"/>
            <w:vAlign w:val="center"/>
          </w:tcPr>
          <w:p w:rsidR="00407D71" w:rsidRDefault="00F223EE">
            <w:pPr>
              <w:jc w:val="left"/>
            </w:pPr>
            <w:r>
              <w:rPr>
                <w:color w:val="000000"/>
                <w:sz w:val="24"/>
                <w:szCs w:val="24"/>
              </w:rPr>
              <w:t>过去三年</w:t>
            </w:r>
          </w:p>
        </w:tc>
        <w:tc>
          <w:tcPr>
            <w:tcW w:w="1045" w:type="dxa"/>
            <w:vAlign w:val="center"/>
          </w:tcPr>
          <w:p w:rsidR="00407D71" w:rsidRDefault="00F223EE">
            <w:pPr>
              <w:jc w:val="center"/>
            </w:pPr>
            <w:r>
              <w:rPr>
                <w:color w:val="000000"/>
                <w:sz w:val="24"/>
                <w:szCs w:val="24"/>
              </w:rPr>
              <w:t>-</w:t>
            </w:r>
          </w:p>
        </w:tc>
        <w:tc>
          <w:tcPr>
            <w:tcW w:w="1344" w:type="dxa"/>
            <w:vAlign w:val="center"/>
          </w:tcPr>
          <w:p w:rsidR="00407D71" w:rsidRDefault="00F223EE">
            <w:pPr>
              <w:jc w:val="center"/>
            </w:pPr>
            <w:r>
              <w:rPr>
                <w:color w:val="000000"/>
                <w:sz w:val="24"/>
                <w:szCs w:val="24"/>
              </w:rPr>
              <w:t>-</w:t>
            </w:r>
          </w:p>
        </w:tc>
        <w:tc>
          <w:tcPr>
            <w:tcW w:w="1194" w:type="dxa"/>
            <w:vAlign w:val="center"/>
          </w:tcPr>
          <w:p w:rsidR="00407D71" w:rsidRDefault="00F223EE">
            <w:pPr>
              <w:jc w:val="center"/>
            </w:pPr>
            <w:r>
              <w:rPr>
                <w:color w:val="000000"/>
                <w:sz w:val="24"/>
                <w:szCs w:val="24"/>
              </w:rPr>
              <w:t>-</w:t>
            </w:r>
          </w:p>
        </w:tc>
        <w:tc>
          <w:tcPr>
            <w:tcW w:w="1492" w:type="dxa"/>
            <w:vAlign w:val="center"/>
          </w:tcPr>
          <w:p w:rsidR="00407D71" w:rsidRDefault="00F223EE">
            <w:pPr>
              <w:jc w:val="center"/>
            </w:pPr>
            <w:r>
              <w:rPr>
                <w:color w:val="000000"/>
                <w:sz w:val="24"/>
                <w:szCs w:val="24"/>
              </w:rPr>
              <w:t>-</w:t>
            </w:r>
          </w:p>
        </w:tc>
        <w:tc>
          <w:tcPr>
            <w:tcW w:w="1194" w:type="dxa"/>
            <w:vAlign w:val="center"/>
          </w:tcPr>
          <w:p w:rsidR="00407D71" w:rsidRDefault="00F223EE">
            <w:pPr>
              <w:jc w:val="center"/>
            </w:pPr>
            <w:r>
              <w:rPr>
                <w:color w:val="000000"/>
                <w:sz w:val="24"/>
                <w:szCs w:val="24"/>
              </w:rPr>
              <w:t>-</w:t>
            </w:r>
          </w:p>
        </w:tc>
        <w:tc>
          <w:tcPr>
            <w:tcW w:w="898" w:type="dxa"/>
            <w:vAlign w:val="center"/>
          </w:tcPr>
          <w:p w:rsidR="00407D71" w:rsidRDefault="00F223EE">
            <w:pPr>
              <w:jc w:val="center"/>
            </w:pPr>
            <w:r>
              <w:rPr>
                <w:color w:val="000000"/>
                <w:sz w:val="24"/>
                <w:szCs w:val="24"/>
              </w:rPr>
              <w:t>-</w:t>
            </w:r>
          </w:p>
        </w:tc>
      </w:tr>
      <w:tr w:rsidR="00407D71">
        <w:trPr>
          <w:jc w:val="center"/>
        </w:trPr>
        <w:tc>
          <w:tcPr>
            <w:tcW w:w="1701" w:type="dxa"/>
            <w:vAlign w:val="center"/>
          </w:tcPr>
          <w:p w:rsidR="00407D71" w:rsidRDefault="00F223EE">
            <w:pPr>
              <w:jc w:val="left"/>
            </w:pPr>
            <w:r>
              <w:rPr>
                <w:color w:val="000000"/>
                <w:sz w:val="24"/>
                <w:szCs w:val="24"/>
              </w:rPr>
              <w:t>过去五年</w:t>
            </w:r>
          </w:p>
        </w:tc>
        <w:tc>
          <w:tcPr>
            <w:tcW w:w="1045" w:type="dxa"/>
            <w:vAlign w:val="center"/>
          </w:tcPr>
          <w:p w:rsidR="00407D71" w:rsidRDefault="00F223EE">
            <w:pPr>
              <w:jc w:val="center"/>
            </w:pPr>
            <w:r>
              <w:rPr>
                <w:color w:val="000000"/>
                <w:sz w:val="24"/>
                <w:szCs w:val="24"/>
              </w:rPr>
              <w:t>-</w:t>
            </w:r>
          </w:p>
        </w:tc>
        <w:tc>
          <w:tcPr>
            <w:tcW w:w="1344" w:type="dxa"/>
            <w:vAlign w:val="center"/>
          </w:tcPr>
          <w:p w:rsidR="00407D71" w:rsidRDefault="00F223EE">
            <w:pPr>
              <w:jc w:val="center"/>
            </w:pPr>
            <w:r>
              <w:rPr>
                <w:color w:val="000000"/>
                <w:sz w:val="24"/>
                <w:szCs w:val="24"/>
              </w:rPr>
              <w:t>-</w:t>
            </w:r>
          </w:p>
        </w:tc>
        <w:tc>
          <w:tcPr>
            <w:tcW w:w="1194" w:type="dxa"/>
            <w:vAlign w:val="center"/>
          </w:tcPr>
          <w:p w:rsidR="00407D71" w:rsidRDefault="00F223EE">
            <w:pPr>
              <w:jc w:val="center"/>
            </w:pPr>
            <w:r>
              <w:rPr>
                <w:color w:val="000000"/>
                <w:sz w:val="24"/>
                <w:szCs w:val="24"/>
              </w:rPr>
              <w:t>-</w:t>
            </w:r>
          </w:p>
        </w:tc>
        <w:tc>
          <w:tcPr>
            <w:tcW w:w="1492" w:type="dxa"/>
            <w:vAlign w:val="center"/>
          </w:tcPr>
          <w:p w:rsidR="00407D71" w:rsidRDefault="00F223EE">
            <w:pPr>
              <w:jc w:val="center"/>
            </w:pPr>
            <w:r>
              <w:rPr>
                <w:color w:val="000000"/>
                <w:sz w:val="24"/>
                <w:szCs w:val="24"/>
              </w:rPr>
              <w:t>-</w:t>
            </w:r>
          </w:p>
        </w:tc>
        <w:tc>
          <w:tcPr>
            <w:tcW w:w="1194" w:type="dxa"/>
            <w:vAlign w:val="center"/>
          </w:tcPr>
          <w:p w:rsidR="00407D71" w:rsidRDefault="00F223EE">
            <w:pPr>
              <w:jc w:val="center"/>
            </w:pPr>
            <w:r>
              <w:rPr>
                <w:color w:val="000000"/>
                <w:sz w:val="24"/>
                <w:szCs w:val="24"/>
              </w:rPr>
              <w:t>-</w:t>
            </w:r>
          </w:p>
        </w:tc>
        <w:tc>
          <w:tcPr>
            <w:tcW w:w="898" w:type="dxa"/>
            <w:vAlign w:val="center"/>
          </w:tcPr>
          <w:p w:rsidR="00407D71" w:rsidRDefault="00F223EE">
            <w:pPr>
              <w:jc w:val="center"/>
            </w:pPr>
            <w:r>
              <w:rPr>
                <w:color w:val="000000"/>
                <w:sz w:val="24"/>
                <w:szCs w:val="24"/>
              </w:rPr>
              <w:t>-</w:t>
            </w:r>
          </w:p>
        </w:tc>
      </w:tr>
      <w:tr w:rsidR="00407D71">
        <w:trPr>
          <w:jc w:val="center"/>
        </w:trPr>
        <w:tc>
          <w:tcPr>
            <w:tcW w:w="1701" w:type="dxa"/>
            <w:vAlign w:val="center"/>
          </w:tcPr>
          <w:p w:rsidR="00407D71" w:rsidRDefault="00F223EE">
            <w:pPr>
              <w:jc w:val="left"/>
            </w:pPr>
            <w:r>
              <w:rPr>
                <w:color w:val="000000"/>
                <w:sz w:val="24"/>
                <w:szCs w:val="24"/>
              </w:rPr>
              <w:t>自基金合同生效起至今</w:t>
            </w:r>
          </w:p>
        </w:tc>
        <w:tc>
          <w:tcPr>
            <w:tcW w:w="1045" w:type="dxa"/>
            <w:vAlign w:val="center"/>
          </w:tcPr>
          <w:p w:rsidR="00407D71" w:rsidRDefault="00F223EE">
            <w:pPr>
              <w:jc w:val="center"/>
            </w:pPr>
            <w:r>
              <w:rPr>
                <w:color w:val="000000"/>
                <w:sz w:val="24"/>
                <w:szCs w:val="24"/>
              </w:rPr>
              <w:t>43.66%</w:t>
            </w:r>
          </w:p>
        </w:tc>
        <w:tc>
          <w:tcPr>
            <w:tcW w:w="1344" w:type="dxa"/>
            <w:vAlign w:val="center"/>
          </w:tcPr>
          <w:p w:rsidR="00407D71" w:rsidRDefault="00F223EE">
            <w:pPr>
              <w:jc w:val="center"/>
            </w:pPr>
            <w:r>
              <w:rPr>
                <w:color w:val="000000"/>
                <w:sz w:val="24"/>
                <w:szCs w:val="24"/>
              </w:rPr>
              <w:t>0.75%</w:t>
            </w:r>
          </w:p>
        </w:tc>
        <w:tc>
          <w:tcPr>
            <w:tcW w:w="1194" w:type="dxa"/>
            <w:vAlign w:val="center"/>
          </w:tcPr>
          <w:p w:rsidR="00407D71" w:rsidRDefault="00F223EE">
            <w:pPr>
              <w:jc w:val="center"/>
            </w:pPr>
            <w:r>
              <w:rPr>
                <w:color w:val="000000"/>
                <w:sz w:val="24"/>
                <w:szCs w:val="24"/>
              </w:rPr>
              <w:t>32.72%</w:t>
            </w:r>
          </w:p>
        </w:tc>
        <w:tc>
          <w:tcPr>
            <w:tcW w:w="1492" w:type="dxa"/>
            <w:vAlign w:val="center"/>
          </w:tcPr>
          <w:p w:rsidR="00407D71" w:rsidRDefault="00F223EE">
            <w:pPr>
              <w:jc w:val="center"/>
            </w:pPr>
            <w:r>
              <w:rPr>
                <w:color w:val="000000"/>
                <w:sz w:val="24"/>
                <w:szCs w:val="24"/>
              </w:rPr>
              <w:t>0.83%</w:t>
            </w:r>
          </w:p>
        </w:tc>
        <w:tc>
          <w:tcPr>
            <w:tcW w:w="1194" w:type="dxa"/>
            <w:vAlign w:val="center"/>
          </w:tcPr>
          <w:p w:rsidR="00407D71" w:rsidRDefault="00F223EE">
            <w:pPr>
              <w:jc w:val="center"/>
            </w:pPr>
            <w:r>
              <w:rPr>
                <w:color w:val="000000"/>
                <w:sz w:val="24"/>
                <w:szCs w:val="24"/>
              </w:rPr>
              <w:t>10.94%</w:t>
            </w:r>
          </w:p>
        </w:tc>
        <w:tc>
          <w:tcPr>
            <w:tcW w:w="898" w:type="dxa"/>
            <w:vAlign w:val="center"/>
          </w:tcPr>
          <w:p w:rsidR="00407D71" w:rsidRDefault="00F223EE">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上投摩根尚睿混合型基金中基金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7D71" w:rsidRDefault="00F223EE">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日，图示时间段为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31</w:t>
      </w:r>
      <w:r>
        <w:rPr>
          <w:color w:val="000000"/>
          <w:sz w:val="24"/>
          <w:szCs w:val="24"/>
        </w:rPr>
        <w:t>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本基金建仓期自</w:t>
      </w:r>
      <w:r w:rsidRPr="00414345">
        <w:rPr>
          <w:color w:val="000000"/>
          <w:sz w:val="24"/>
          <w:szCs w:val="24"/>
        </w:rPr>
        <w:t>2018</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日至</w:t>
      </w:r>
      <w:r w:rsidRPr="00414345">
        <w:rPr>
          <w:color w:val="000000"/>
          <w:sz w:val="24"/>
          <w:szCs w:val="24"/>
        </w:rPr>
        <w:t>2019</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14</w:t>
      </w:r>
      <w:r w:rsidRPr="00414345">
        <w:rPr>
          <w:color w:val="000000"/>
          <w:sz w:val="24"/>
          <w:szCs w:val="24"/>
        </w:rPr>
        <w:t>日，建仓期结束时资产配置比例符合本基金基金合同规定。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07D71">
        <w:trPr>
          <w:jc w:val="center"/>
        </w:trPr>
        <w:tc>
          <w:tcPr>
            <w:tcW w:w="846" w:type="dxa"/>
            <w:vAlign w:val="center"/>
          </w:tcPr>
          <w:p w:rsidR="00407D71" w:rsidRDefault="00F223EE">
            <w:pPr>
              <w:jc w:val="center"/>
            </w:pPr>
            <w:r>
              <w:rPr>
                <w:color w:val="000000"/>
                <w:sz w:val="24"/>
                <w:szCs w:val="24"/>
              </w:rPr>
              <w:t>刘凌云</w:t>
            </w:r>
          </w:p>
        </w:tc>
        <w:tc>
          <w:tcPr>
            <w:tcW w:w="845" w:type="dxa"/>
            <w:vAlign w:val="center"/>
          </w:tcPr>
          <w:p w:rsidR="00407D71" w:rsidRDefault="00F223EE">
            <w:pPr>
              <w:jc w:val="center"/>
            </w:pPr>
            <w:r>
              <w:rPr>
                <w:color w:val="000000"/>
                <w:sz w:val="24"/>
                <w:szCs w:val="24"/>
              </w:rPr>
              <w:t>本基金基金经理、组合基金投资部总监</w:t>
            </w:r>
          </w:p>
        </w:tc>
        <w:tc>
          <w:tcPr>
            <w:tcW w:w="1549" w:type="dxa"/>
            <w:vAlign w:val="center"/>
          </w:tcPr>
          <w:p w:rsidR="00407D71" w:rsidRDefault="00F223EE">
            <w:pPr>
              <w:jc w:val="center"/>
            </w:pPr>
            <w:r>
              <w:rPr>
                <w:color w:val="000000"/>
                <w:sz w:val="24"/>
                <w:szCs w:val="24"/>
              </w:rPr>
              <w:t>2018-08-15</w:t>
            </w:r>
          </w:p>
        </w:tc>
        <w:tc>
          <w:tcPr>
            <w:tcW w:w="1548" w:type="dxa"/>
            <w:vAlign w:val="center"/>
          </w:tcPr>
          <w:p w:rsidR="00407D71" w:rsidRDefault="00F223EE">
            <w:pPr>
              <w:jc w:val="center"/>
            </w:pPr>
            <w:r>
              <w:rPr>
                <w:color w:val="000000"/>
                <w:sz w:val="24"/>
                <w:szCs w:val="24"/>
              </w:rPr>
              <w:t>-</w:t>
            </w:r>
          </w:p>
        </w:tc>
        <w:tc>
          <w:tcPr>
            <w:tcW w:w="1407" w:type="dxa"/>
            <w:vAlign w:val="center"/>
          </w:tcPr>
          <w:p w:rsidR="00407D71" w:rsidRDefault="00F223EE">
            <w:pPr>
              <w:jc w:val="center"/>
            </w:pPr>
            <w:r>
              <w:rPr>
                <w:color w:val="000000"/>
                <w:sz w:val="24"/>
                <w:szCs w:val="24"/>
              </w:rPr>
              <w:t>13</w:t>
            </w:r>
            <w:r>
              <w:rPr>
                <w:color w:val="000000"/>
                <w:sz w:val="24"/>
                <w:szCs w:val="24"/>
              </w:rPr>
              <w:t>年</w:t>
            </w:r>
          </w:p>
        </w:tc>
        <w:tc>
          <w:tcPr>
            <w:tcW w:w="2673" w:type="dxa"/>
            <w:vAlign w:val="center"/>
          </w:tcPr>
          <w:p w:rsidR="00407D71" w:rsidRDefault="00F223EE">
            <w:r>
              <w:rPr>
                <w:color w:val="000000"/>
                <w:sz w:val="24"/>
                <w:szCs w:val="24"/>
              </w:rPr>
              <w:t>刘凌云女士，上海社会科学院经济学博士。自</w:t>
            </w:r>
            <w:r>
              <w:rPr>
                <w:color w:val="000000"/>
                <w:sz w:val="24"/>
                <w:szCs w:val="24"/>
              </w:rPr>
              <w:t>2008</w:t>
            </w:r>
            <w:r>
              <w:rPr>
                <w:color w:val="000000"/>
                <w:sz w:val="24"/>
                <w:szCs w:val="24"/>
              </w:rPr>
              <w:t>年</w:t>
            </w:r>
            <w:r>
              <w:rPr>
                <w:color w:val="000000"/>
                <w:sz w:val="24"/>
                <w:szCs w:val="24"/>
              </w:rPr>
              <w:t>6</w:t>
            </w:r>
            <w:r>
              <w:rPr>
                <w:color w:val="000000"/>
                <w:sz w:val="24"/>
                <w:szCs w:val="24"/>
              </w:rPr>
              <w:t>月至</w:t>
            </w:r>
            <w:r>
              <w:rPr>
                <w:color w:val="000000"/>
                <w:sz w:val="24"/>
                <w:szCs w:val="24"/>
              </w:rPr>
              <w:t>2009</w:t>
            </w:r>
            <w:r>
              <w:rPr>
                <w:color w:val="000000"/>
                <w:sz w:val="24"/>
                <w:szCs w:val="24"/>
              </w:rPr>
              <w:t>年</w:t>
            </w:r>
            <w:r>
              <w:rPr>
                <w:color w:val="000000"/>
                <w:sz w:val="24"/>
                <w:szCs w:val="24"/>
              </w:rPr>
              <w:t>7</w:t>
            </w:r>
            <w:r>
              <w:rPr>
                <w:color w:val="000000"/>
                <w:sz w:val="24"/>
                <w:szCs w:val="24"/>
              </w:rPr>
              <w:t>月，在中海基金管理有限公司担任产品研发经理，负责策略及产品设计；自</w:t>
            </w:r>
            <w:r>
              <w:rPr>
                <w:color w:val="000000"/>
                <w:sz w:val="24"/>
                <w:szCs w:val="24"/>
              </w:rPr>
              <w:t>2009</w:t>
            </w:r>
            <w:r>
              <w:rPr>
                <w:color w:val="000000"/>
                <w:sz w:val="24"/>
                <w:szCs w:val="24"/>
              </w:rPr>
              <w:t>年</w:t>
            </w:r>
            <w:r>
              <w:rPr>
                <w:color w:val="000000"/>
                <w:sz w:val="24"/>
                <w:szCs w:val="24"/>
              </w:rPr>
              <w:t>7</w:t>
            </w:r>
            <w:r>
              <w:rPr>
                <w:color w:val="000000"/>
                <w:sz w:val="24"/>
                <w:szCs w:val="24"/>
              </w:rPr>
              <w:t>月起加入上投摩根基金管理有限公司，历任产品经理、高级投资组合经理、客户投资组合总监，现任组合基金投资部总监兼基金经理；自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r w:rsidR="00407D71">
        <w:trPr>
          <w:jc w:val="center"/>
        </w:trPr>
        <w:tc>
          <w:tcPr>
            <w:tcW w:w="846" w:type="dxa"/>
            <w:vAlign w:val="center"/>
          </w:tcPr>
          <w:p w:rsidR="00407D71" w:rsidRDefault="00F223EE">
            <w:pPr>
              <w:jc w:val="center"/>
            </w:pPr>
            <w:r>
              <w:rPr>
                <w:color w:val="000000"/>
                <w:sz w:val="24"/>
                <w:szCs w:val="24"/>
              </w:rPr>
              <w:t>杜习杰</w:t>
            </w:r>
          </w:p>
        </w:tc>
        <w:tc>
          <w:tcPr>
            <w:tcW w:w="845" w:type="dxa"/>
            <w:vAlign w:val="center"/>
          </w:tcPr>
          <w:p w:rsidR="00407D71" w:rsidRDefault="00F223EE">
            <w:pPr>
              <w:jc w:val="center"/>
            </w:pPr>
            <w:r>
              <w:rPr>
                <w:color w:val="000000"/>
                <w:sz w:val="24"/>
                <w:szCs w:val="24"/>
              </w:rPr>
              <w:t>本基金基金经理</w:t>
            </w:r>
          </w:p>
        </w:tc>
        <w:tc>
          <w:tcPr>
            <w:tcW w:w="1549" w:type="dxa"/>
            <w:vAlign w:val="center"/>
          </w:tcPr>
          <w:p w:rsidR="00407D71" w:rsidRDefault="00F223EE">
            <w:pPr>
              <w:jc w:val="center"/>
            </w:pPr>
            <w:r>
              <w:rPr>
                <w:color w:val="000000"/>
                <w:sz w:val="24"/>
                <w:szCs w:val="24"/>
              </w:rPr>
              <w:t>2020-12-11</w:t>
            </w:r>
          </w:p>
        </w:tc>
        <w:tc>
          <w:tcPr>
            <w:tcW w:w="1548" w:type="dxa"/>
            <w:vAlign w:val="center"/>
          </w:tcPr>
          <w:p w:rsidR="00407D71" w:rsidRDefault="00F223EE">
            <w:pPr>
              <w:jc w:val="center"/>
            </w:pPr>
            <w:r>
              <w:rPr>
                <w:color w:val="000000"/>
                <w:sz w:val="24"/>
                <w:szCs w:val="24"/>
              </w:rPr>
              <w:t>-</w:t>
            </w:r>
          </w:p>
        </w:tc>
        <w:tc>
          <w:tcPr>
            <w:tcW w:w="1407" w:type="dxa"/>
            <w:vAlign w:val="center"/>
          </w:tcPr>
          <w:p w:rsidR="00407D71" w:rsidRDefault="00F223EE">
            <w:pPr>
              <w:jc w:val="center"/>
            </w:pPr>
            <w:r>
              <w:rPr>
                <w:color w:val="000000"/>
                <w:sz w:val="24"/>
                <w:szCs w:val="24"/>
              </w:rPr>
              <w:t>12</w:t>
            </w:r>
            <w:r>
              <w:rPr>
                <w:color w:val="000000"/>
                <w:sz w:val="24"/>
                <w:szCs w:val="24"/>
              </w:rPr>
              <w:t>年</w:t>
            </w:r>
          </w:p>
        </w:tc>
        <w:tc>
          <w:tcPr>
            <w:tcW w:w="2673" w:type="dxa"/>
            <w:vAlign w:val="center"/>
          </w:tcPr>
          <w:p w:rsidR="00407D71" w:rsidRDefault="00F223EE">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w:t>
            </w:r>
            <w:r>
              <w:rPr>
                <w:color w:val="000000"/>
                <w:sz w:val="24"/>
                <w:szCs w:val="24"/>
              </w:rPr>
              <w:lastRenderedPageBreak/>
              <w:t>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r w:rsidR="00407D71">
        <w:trPr>
          <w:jc w:val="center"/>
        </w:trPr>
        <w:tc>
          <w:tcPr>
            <w:tcW w:w="846" w:type="dxa"/>
            <w:vAlign w:val="center"/>
          </w:tcPr>
          <w:p w:rsidR="00407D71" w:rsidRDefault="00F223EE">
            <w:pPr>
              <w:jc w:val="center"/>
            </w:pPr>
            <w:r>
              <w:rPr>
                <w:color w:val="000000"/>
                <w:sz w:val="24"/>
                <w:szCs w:val="24"/>
              </w:rPr>
              <w:lastRenderedPageBreak/>
              <w:t>孟鸣</w:t>
            </w:r>
          </w:p>
        </w:tc>
        <w:tc>
          <w:tcPr>
            <w:tcW w:w="845" w:type="dxa"/>
            <w:vAlign w:val="center"/>
          </w:tcPr>
          <w:p w:rsidR="00407D71" w:rsidRDefault="00F223EE">
            <w:pPr>
              <w:jc w:val="center"/>
            </w:pPr>
            <w:r>
              <w:rPr>
                <w:color w:val="000000"/>
                <w:sz w:val="24"/>
                <w:szCs w:val="24"/>
              </w:rPr>
              <w:t>本基金基金经理</w:t>
            </w:r>
          </w:p>
        </w:tc>
        <w:tc>
          <w:tcPr>
            <w:tcW w:w="1549" w:type="dxa"/>
            <w:vAlign w:val="center"/>
          </w:tcPr>
          <w:p w:rsidR="00407D71" w:rsidRDefault="00F223EE">
            <w:pPr>
              <w:jc w:val="center"/>
            </w:pPr>
            <w:r>
              <w:rPr>
                <w:color w:val="000000"/>
                <w:sz w:val="24"/>
                <w:szCs w:val="24"/>
              </w:rPr>
              <w:t>2018-08-15</w:t>
            </w:r>
          </w:p>
        </w:tc>
        <w:tc>
          <w:tcPr>
            <w:tcW w:w="1548" w:type="dxa"/>
            <w:vAlign w:val="center"/>
          </w:tcPr>
          <w:p w:rsidR="00407D71" w:rsidRDefault="00F223EE">
            <w:pPr>
              <w:jc w:val="center"/>
            </w:pPr>
            <w:r>
              <w:rPr>
                <w:color w:val="000000"/>
                <w:sz w:val="24"/>
                <w:szCs w:val="24"/>
              </w:rPr>
              <w:t>2020-12-11</w:t>
            </w:r>
          </w:p>
        </w:tc>
        <w:tc>
          <w:tcPr>
            <w:tcW w:w="1407" w:type="dxa"/>
            <w:vAlign w:val="center"/>
          </w:tcPr>
          <w:p w:rsidR="00407D71" w:rsidRDefault="00F223EE">
            <w:pPr>
              <w:jc w:val="center"/>
            </w:pPr>
            <w:r>
              <w:rPr>
                <w:color w:val="000000"/>
                <w:sz w:val="24"/>
                <w:szCs w:val="24"/>
              </w:rPr>
              <w:t>14</w:t>
            </w:r>
            <w:r>
              <w:rPr>
                <w:color w:val="000000"/>
                <w:sz w:val="24"/>
                <w:szCs w:val="24"/>
              </w:rPr>
              <w:t>年</w:t>
            </w:r>
          </w:p>
        </w:tc>
        <w:tc>
          <w:tcPr>
            <w:tcW w:w="2673" w:type="dxa"/>
            <w:vAlign w:val="center"/>
          </w:tcPr>
          <w:p w:rsidR="00407D71" w:rsidRDefault="00F223EE">
            <w:r>
              <w:rPr>
                <w:color w:val="000000"/>
                <w:sz w:val="24"/>
                <w:szCs w:val="24"/>
              </w:rPr>
              <w:t>孟鸣先生，上海外国语大学日本文化经济本科。自</w:t>
            </w:r>
            <w:r>
              <w:rPr>
                <w:color w:val="000000"/>
                <w:sz w:val="24"/>
                <w:szCs w:val="24"/>
              </w:rPr>
              <w:t>2001</w:t>
            </w:r>
            <w:r>
              <w:rPr>
                <w:color w:val="000000"/>
                <w:sz w:val="24"/>
                <w:szCs w:val="24"/>
              </w:rPr>
              <w:t>年</w:t>
            </w:r>
            <w:r>
              <w:rPr>
                <w:color w:val="000000"/>
                <w:sz w:val="24"/>
                <w:szCs w:val="24"/>
              </w:rPr>
              <w:t>6</w:t>
            </w:r>
            <w:r>
              <w:rPr>
                <w:color w:val="000000"/>
                <w:sz w:val="24"/>
                <w:szCs w:val="24"/>
              </w:rPr>
              <w:t>月至</w:t>
            </w:r>
            <w:r>
              <w:rPr>
                <w:color w:val="000000"/>
                <w:sz w:val="24"/>
                <w:szCs w:val="24"/>
              </w:rPr>
              <w:t>2003</w:t>
            </w:r>
            <w:r>
              <w:rPr>
                <w:color w:val="000000"/>
                <w:sz w:val="24"/>
                <w:szCs w:val="24"/>
              </w:rPr>
              <w:t>年</w:t>
            </w:r>
            <w:r>
              <w:rPr>
                <w:color w:val="000000"/>
                <w:sz w:val="24"/>
                <w:szCs w:val="24"/>
              </w:rPr>
              <w:t>7</w:t>
            </w:r>
            <w:r>
              <w:rPr>
                <w:color w:val="000000"/>
                <w:sz w:val="24"/>
                <w:szCs w:val="24"/>
              </w:rPr>
              <w:t>月，在三菱</w:t>
            </w:r>
            <w:r>
              <w:rPr>
                <w:color w:val="000000"/>
                <w:sz w:val="24"/>
                <w:szCs w:val="24"/>
              </w:rPr>
              <w:t>UFJ</w:t>
            </w:r>
            <w:r>
              <w:rPr>
                <w:color w:val="000000"/>
                <w:sz w:val="24"/>
                <w:szCs w:val="24"/>
              </w:rPr>
              <w:t>银行担任职员；自</w:t>
            </w:r>
            <w:r>
              <w:rPr>
                <w:color w:val="000000"/>
                <w:sz w:val="24"/>
                <w:szCs w:val="24"/>
              </w:rPr>
              <w:t>2003</w:t>
            </w:r>
            <w:r>
              <w:rPr>
                <w:color w:val="000000"/>
                <w:sz w:val="24"/>
                <w:szCs w:val="24"/>
              </w:rPr>
              <w:t>年</w:t>
            </w:r>
            <w:r>
              <w:rPr>
                <w:color w:val="000000"/>
                <w:sz w:val="24"/>
                <w:szCs w:val="24"/>
              </w:rPr>
              <w:t>8</w:t>
            </w:r>
            <w:r>
              <w:rPr>
                <w:color w:val="000000"/>
                <w:sz w:val="24"/>
                <w:szCs w:val="24"/>
              </w:rPr>
              <w:t>月至</w:t>
            </w:r>
            <w:r>
              <w:rPr>
                <w:color w:val="000000"/>
                <w:sz w:val="24"/>
                <w:szCs w:val="24"/>
              </w:rPr>
              <w:t>2004</w:t>
            </w:r>
            <w:r>
              <w:rPr>
                <w:color w:val="000000"/>
                <w:sz w:val="24"/>
                <w:szCs w:val="24"/>
              </w:rPr>
              <w:t>年</w:t>
            </w:r>
            <w:r>
              <w:rPr>
                <w:color w:val="000000"/>
                <w:sz w:val="24"/>
                <w:szCs w:val="24"/>
              </w:rPr>
              <w:t>10</w:t>
            </w:r>
            <w:r>
              <w:rPr>
                <w:color w:val="000000"/>
                <w:sz w:val="24"/>
                <w:szCs w:val="24"/>
              </w:rPr>
              <w:t>月，在麦肯光明传播集团担任客户经理；自</w:t>
            </w:r>
            <w:r>
              <w:rPr>
                <w:color w:val="000000"/>
                <w:sz w:val="24"/>
                <w:szCs w:val="24"/>
              </w:rPr>
              <w:t>2004</w:t>
            </w:r>
            <w:r>
              <w:rPr>
                <w:color w:val="000000"/>
                <w:sz w:val="24"/>
                <w:szCs w:val="24"/>
              </w:rPr>
              <w:t>年</w:t>
            </w:r>
            <w:r>
              <w:rPr>
                <w:color w:val="000000"/>
                <w:sz w:val="24"/>
                <w:szCs w:val="24"/>
              </w:rPr>
              <w:t>10</w:t>
            </w:r>
            <w:r>
              <w:rPr>
                <w:color w:val="000000"/>
                <w:sz w:val="24"/>
                <w:szCs w:val="24"/>
              </w:rPr>
              <w:t>月加入埃森哲，</w:t>
            </w:r>
            <w:r>
              <w:rPr>
                <w:color w:val="000000"/>
                <w:sz w:val="24"/>
                <w:szCs w:val="24"/>
              </w:rPr>
              <w:t>2004</w:t>
            </w:r>
            <w:r>
              <w:rPr>
                <w:color w:val="000000"/>
                <w:sz w:val="24"/>
                <w:szCs w:val="24"/>
              </w:rPr>
              <w:t>年</w:t>
            </w:r>
            <w:r>
              <w:rPr>
                <w:color w:val="000000"/>
                <w:sz w:val="24"/>
                <w:szCs w:val="24"/>
              </w:rPr>
              <w:t>10</w:t>
            </w:r>
            <w:r>
              <w:rPr>
                <w:color w:val="000000"/>
                <w:sz w:val="24"/>
                <w:szCs w:val="24"/>
              </w:rPr>
              <w:t>月至</w:t>
            </w:r>
            <w:r>
              <w:rPr>
                <w:color w:val="000000"/>
                <w:sz w:val="24"/>
                <w:szCs w:val="24"/>
              </w:rPr>
              <w:t>2006</w:t>
            </w:r>
            <w:r>
              <w:rPr>
                <w:color w:val="000000"/>
                <w:sz w:val="24"/>
                <w:szCs w:val="24"/>
              </w:rPr>
              <w:t>年</w:t>
            </w:r>
            <w:r>
              <w:rPr>
                <w:color w:val="000000"/>
                <w:sz w:val="24"/>
                <w:szCs w:val="24"/>
              </w:rPr>
              <w:t>8</w:t>
            </w:r>
            <w:r>
              <w:rPr>
                <w:color w:val="000000"/>
                <w:sz w:val="24"/>
                <w:szCs w:val="24"/>
              </w:rPr>
              <w:t>月，由埃森哲派出为美国证券托管清算机构服务，担任金融信息咨询部研究组长；自</w:t>
            </w:r>
            <w:r>
              <w:rPr>
                <w:color w:val="000000"/>
                <w:sz w:val="24"/>
                <w:szCs w:val="24"/>
              </w:rPr>
              <w:t>2006</w:t>
            </w:r>
            <w:r>
              <w:rPr>
                <w:color w:val="000000"/>
                <w:sz w:val="24"/>
                <w:szCs w:val="24"/>
              </w:rPr>
              <w:t>年</w:t>
            </w:r>
            <w:r>
              <w:rPr>
                <w:color w:val="000000"/>
                <w:sz w:val="24"/>
                <w:szCs w:val="24"/>
              </w:rPr>
              <w:t>9</w:t>
            </w:r>
            <w:r>
              <w:rPr>
                <w:color w:val="000000"/>
                <w:sz w:val="24"/>
                <w:szCs w:val="24"/>
              </w:rPr>
              <w:t>月到</w:t>
            </w:r>
            <w:r>
              <w:rPr>
                <w:color w:val="000000"/>
                <w:sz w:val="24"/>
                <w:szCs w:val="24"/>
              </w:rPr>
              <w:t>2015</w:t>
            </w:r>
            <w:r>
              <w:rPr>
                <w:color w:val="000000"/>
                <w:sz w:val="24"/>
                <w:szCs w:val="24"/>
              </w:rPr>
              <w:t>年</w:t>
            </w:r>
            <w:r>
              <w:rPr>
                <w:color w:val="000000"/>
                <w:sz w:val="24"/>
                <w:szCs w:val="24"/>
              </w:rPr>
              <w:t>1</w:t>
            </w:r>
            <w:r>
              <w:rPr>
                <w:color w:val="000000"/>
                <w:sz w:val="24"/>
                <w:szCs w:val="24"/>
              </w:rPr>
              <w:t>月，服务于德意志银行股票研究团队，担任证券研究部部门负责人，其间由于合同关系变更，</w:t>
            </w:r>
            <w:r>
              <w:rPr>
                <w:color w:val="000000"/>
                <w:sz w:val="24"/>
                <w:szCs w:val="24"/>
              </w:rPr>
              <w:t>2013</w:t>
            </w:r>
            <w:r>
              <w:rPr>
                <w:color w:val="000000"/>
                <w:sz w:val="24"/>
                <w:szCs w:val="24"/>
              </w:rPr>
              <w:t>年</w:t>
            </w:r>
            <w:r>
              <w:rPr>
                <w:color w:val="000000"/>
                <w:sz w:val="24"/>
                <w:szCs w:val="24"/>
              </w:rPr>
              <w:t>11</w:t>
            </w:r>
            <w:r>
              <w:rPr>
                <w:color w:val="000000"/>
                <w:sz w:val="24"/>
                <w:szCs w:val="24"/>
              </w:rPr>
              <w:t>月至</w:t>
            </w:r>
            <w:r>
              <w:rPr>
                <w:color w:val="000000"/>
                <w:sz w:val="24"/>
                <w:szCs w:val="24"/>
              </w:rPr>
              <w:t>2015</w:t>
            </w:r>
            <w:r>
              <w:rPr>
                <w:color w:val="000000"/>
                <w:sz w:val="24"/>
                <w:szCs w:val="24"/>
              </w:rPr>
              <w:t>年</w:t>
            </w:r>
            <w:r>
              <w:rPr>
                <w:color w:val="000000"/>
                <w:sz w:val="24"/>
                <w:szCs w:val="24"/>
              </w:rPr>
              <w:t>1</w:t>
            </w:r>
            <w:r>
              <w:rPr>
                <w:color w:val="000000"/>
                <w:sz w:val="24"/>
                <w:szCs w:val="24"/>
              </w:rPr>
              <w:t>月受雇于易唯思商务咨询；自</w:t>
            </w:r>
            <w:r>
              <w:rPr>
                <w:color w:val="000000"/>
                <w:sz w:val="24"/>
                <w:szCs w:val="24"/>
              </w:rPr>
              <w:t>2015</w:t>
            </w:r>
            <w:r>
              <w:rPr>
                <w:color w:val="000000"/>
                <w:sz w:val="24"/>
                <w:szCs w:val="24"/>
              </w:rPr>
              <w:t>年</w:t>
            </w:r>
            <w:r>
              <w:rPr>
                <w:color w:val="000000"/>
                <w:sz w:val="24"/>
                <w:szCs w:val="24"/>
              </w:rPr>
              <w:t>1</w:t>
            </w:r>
            <w:r>
              <w:rPr>
                <w:color w:val="000000"/>
                <w:sz w:val="24"/>
                <w:szCs w:val="24"/>
              </w:rPr>
              <w:t>月起加入上投摩根基金管理有限公司，历任公司高级投资组合经理、资深投资组合经理、基金经理；自</w:t>
            </w:r>
            <w:r>
              <w:rPr>
                <w:color w:val="000000"/>
                <w:sz w:val="24"/>
                <w:szCs w:val="24"/>
              </w:rPr>
              <w:t>2018</w:t>
            </w:r>
            <w:r>
              <w:rPr>
                <w:color w:val="000000"/>
                <w:sz w:val="24"/>
                <w:szCs w:val="24"/>
              </w:rPr>
              <w:t>年</w:t>
            </w:r>
            <w:r>
              <w:rPr>
                <w:color w:val="000000"/>
                <w:sz w:val="24"/>
                <w:szCs w:val="24"/>
              </w:rPr>
              <w:t>8</w:t>
            </w:r>
            <w:r>
              <w:rPr>
                <w:color w:val="000000"/>
                <w:sz w:val="24"/>
                <w:szCs w:val="24"/>
              </w:rPr>
              <w:t>月至</w:t>
            </w:r>
            <w:r>
              <w:rPr>
                <w:color w:val="000000"/>
                <w:sz w:val="24"/>
                <w:szCs w:val="24"/>
              </w:rPr>
              <w:t>2020</w:t>
            </w:r>
            <w:r>
              <w:rPr>
                <w:color w:val="000000"/>
                <w:sz w:val="24"/>
                <w:szCs w:val="24"/>
              </w:rPr>
              <w:t>年</w:t>
            </w:r>
            <w:r>
              <w:rPr>
                <w:color w:val="000000"/>
                <w:sz w:val="24"/>
                <w:szCs w:val="24"/>
              </w:rPr>
              <w:t>12</w:t>
            </w:r>
            <w:r>
              <w:rPr>
                <w:color w:val="000000"/>
                <w:sz w:val="24"/>
                <w:szCs w:val="24"/>
              </w:rPr>
              <w:t>月担任上投摩根尚睿混合型基金中基金（</w:t>
            </w:r>
            <w:r>
              <w:rPr>
                <w:color w:val="000000"/>
                <w:sz w:val="24"/>
                <w:szCs w:val="24"/>
              </w:rPr>
              <w:t>FOF</w:t>
            </w:r>
            <w:r>
              <w:rPr>
                <w:color w:val="000000"/>
                <w:sz w:val="24"/>
                <w:szCs w:val="24"/>
              </w:rPr>
              <w:t>）基金经理。</w:t>
            </w:r>
          </w:p>
        </w:tc>
      </w:tr>
    </w:tbl>
    <w:p w:rsidR="00407D71" w:rsidRDefault="00F223E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 xml:space="preserve">1. </w:t>
      </w:r>
      <w:r>
        <w:rPr>
          <w:color w:val="000000"/>
          <w:sz w:val="24"/>
          <w:szCs w:val="24"/>
        </w:rPr>
        <w:t>任职日期和离任日期均指根据公司决定确定的聘任日期和解聘日期。</w:t>
      </w:r>
    </w:p>
    <w:p w:rsidR="00407D71" w:rsidRDefault="00F223EE">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孟鸣先生、刘凌云女士为本基金首任基金经理，其任职日期为本基金基金合同生效</w:t>
      </w:r>
      <w:r>
        <w:rPr>
          <w:color w:val="000000"/>
          <w:sz w:val="24"/>
          <w:szCs w:val="24"/>
        </w:rPr>
        <w:lastRenderedPageBreak/>
        <w:t>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在本报告期内，基金管理人不存在损害基金份额持有人利益的行为，勤勉尽责地为基金份额持有人谋求利益。基金管理人遵守了《证券投资基金法》及其他有关法律法规、《上投摩根尚睿混合型基金中基金</w:t>
      </w:r>
      <w:r w:rsidRPr="00414345">
        <w:rPr>
          <w:color w:val="000000"/>
          <w:sz w:val="24"/>
          <w:szCs w:val="24"/>
        </w:rPr>
        <w:t>(FOF)</w:t>
      </w:r>
      <w:r w:rsidRPr="00414345">
        <w:rPr>
          <w:color w:val="000000"/>
          <w:sz w:val="24"/>
          <w:szCs w:val="24"/>
        </w:rPr>
        <w:t>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07D71" w:rsidRDefault="00F223EE">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07D71" w:rsidRDefault="00F223EE">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7D71" w:rsidRDefault="00F223EE">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7D71" w:rsidRDefault="00F223EE">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四季度，经济复苏逐渐成为驱动市场的主要因素。随着美国大选落地，不确定因素的影响降低，美国货币政策持续宽松并计划推出新一轮的刺激政策，新冠疫苗开始接种，一系列因素都提升了全球投资者的风险偏好。各大类资产都有显著的涨幅，其中</w:t>
      </w:r>
      <w:r>
        <w:rPr>
          <w:color w:val="000000"/>
          <w:sz w:val="24"/>
          <w:szCs w:val="24"/>
        </w:rPr>
        <w:t>A</w:t>
      </w:r>
      <w:r>
        <w:rPr>
          <w:color w:val="000000"/>
          <w:sz w:val="24"/>
          <w:szCs w:val="24"/>
        </w:rPr>
        <w:t>股震荡上行，且结构分化严重，成长风格大幅超越价值风格。行业层面看，有色金属、新能源、食品饮料涨幅居前。海外权益资产中，日经</w:t>
      </w:r>
      <w:r>
        <w:rPr>
          <w:color w:val="000000"/>
          <w:sz w:val="24"/>
          <w:szCs w:val="24"/>
        </w:rPr>
        <w:t>225</w:t>
      </w:r>
      <w:r>
        <w:rPr>
          <w:color w:val="000000"/>
          <w:sz w:val="24"/>
          <w:szCs w:val="24"/>
        </w:rPr>
        <w:t>指数创出了近二十年来的新高，在主要海外经济体中位于前列。国内债券收益率下行，固定收益类资产底部</w:t>
      </w:r>
      <w:r>
        <w:rPr>
          <w:color w:val="000000"/>
          <w:sz w:val="24"/>
          <w:szCs w:val="24"/>
        </w:rPr>
        <w:lastRenderedPageBreak/>
        <w:t>反弹。海外经济开始逐步复苏，利率处于历史底部，发达市场债券面临较大的回调风险，新兴市场债券显著好于发达市场债券。避险需求降低，黄金走弱。美元持续贬值，大宗商品价格上升。</w:t>
      </w:r>
    </w:p>
    <w:p w:rsidR="00407D71" w:rsidRDefault="00F223EE">
      <w:pPr>
        <w:spacing w:before="29" w:line="288" w:lineRule="auto"/>
        <w:ind w:firstLineChars="200" w:firstLine="480"/>
        <w:rPr>
          <w:color w:val="000000"/>
          <w:sz w:val="24"/>
          <w:szCs w:val="24"/>
        </w:rPr>
      </w:pPr>
      <w:r>
        <w:rPr>
          <w:color w:val="000000"/>
          <w:sz w:val="24"/>
          <w:szCs w:val="24"/>
        </w:rPr>
        <w:t xml:space="preserve"> </w:t>
      </w:r>
      <w:r>
        <w:rPr>
          <w:color w:val="000000"/>
          <w:sz w:val="24"/>
          <w:szCs w:val="24"/>
        </w:rPr>
        <w:t>展望未来，经济明确复苏是驱动市场的主因，在疫苗的利好刺激下，经济复苏预期加强，全球风险偏好均有所提升。开年市场流动性相对充裕，公募基金发行回暖有望为市场提供增量资金。经济复苏叠加通胀预期，低估值顺周期板块配置价值相对更高。科技仍是配置的主线，新能源、电子等行业将继续受益于景气度提升和增量资金的流入。</w:t>
      </w:r>
    </w:p>
    <w:p w:rsidR="00407D71" w:rsidRDefault="00F223EE">
      <w:pPr>
        <w:spacing w:before="29" w:line="288" w:lineRule="auto"/>
        <w:ind w:firstLineChars="200" w:firstLine="480"/>
        <w:rPr>
          <w:color w:val="000000"/>
          <w:sz w:val="24"/>
          <w:szCs w:val="24"/>
        </w:rPr>
      </w:pPr>
      <w:r>
        <w:rPr>
          <w:color w:val="000000"/>
          <w:sz w:val="24"/>
          <w:szCs w:val="24"/>
        </w:rPr>
        <w:t>流动性边际转向，利率债出现反弹，短端下行更多，期限利差修复到位，短期可能反弹已经到位。目前债券收益率处于高位，中长期看债券仍具有较高的配置价值。发达市场债券收益率处于低位，随着经济复苏，利率走高概率增大，海外发达市场债券面临较大的回调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疫情对</w:t>
      </w:r>
      <w:r w:rsidRPr="00414345">
        <w:rPr>
          <w:color w:val="000000"/>
          <w:sz w:val="24"/>
          <w:szCs w:val="24"/>
        </w:rPr>
        <w:t>REITs</w:t>
      </w:r>
      <w:r w:rsidRPr="00414345">
        <w:rPr>
          <w:color w:val="000000"/>
          <w:sz w:val="24"/>
          <w:szCs w:val="24"/>
        </w:rPr>
        <w:t>的基本面影响较大，随着疫苗接种，疫情影响趋弱，在经济复苏的背景下，</w:t>
      </w:r>
      <w:r w:rsidRPr="00414345">
        <w:rPr>
          <w:color w:val="000000"/>
          <w:sz w:val="24"/>
          <w:szCs w:val="24"/>
        </w:rPr>
        <w:t>REITs</w:t>
      </w:r>
      <w:r w:rsidRPr="00414345">
        <w:rPr>
          <w:color w:val="000000"/>
          <w:sz w:val="24"/>
          <w:szCs w:val="24"/>
        </w:rPr>
        <w:t>凸显配置价值。美元持续走弱，进一步推升大宗商品价格上升，通胀预期利好黄金。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本报告期上投摩根尚睿混合</w:t>
      </w:r>
      <w:r w:rsidRPr="00414345">
        <w:rPr>
          <w:color w:val="000000"/>
          <w:sz w:val="24"/>
          <w:szCs w:val="24"/>
        </w:rPr>
        <w:t>(FOF)</w:t>
      </w:r>
      <w:r w:rsidRPr="00414345">
        <w:rPr>
          <w:color w:val="000000"/>
          <w:sz w:val="24"/>
          <w:szCs w:val="24"/>
        </w:rPr>
        <w:t>份额净值增长率为</w:t>
      </w:r>
      <w:r w:rsidRPr="00414345">
        <w:rPr>
          <w:color w:val="000000"/>
          <w:sz w:val="24"/>
          <w:szCs w:val="24"/>
        </w:rPr>
        <w:t>:7.40%</w:t>
      </w:r>
      <w:r w:rsidRPr="00414345">
        <w:rPr>
          <w:color w:val="000000"/>
          <w:sz w:val="24"/>
          <w:szCs w:val="24"/>
        </w:rPr>
        <w:t>，同期业绩比较基准收益率为</w:t>
      </w:r>
      <w:r w:rsidRPr="00414345">
        <w:rPr>
          <w:color w:val="000000"/>
          <w:sz w:val="24"/>
          <w:szCs w:val="24"/>
        </w:rPr>
        <w:t>:7.08%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44,091,339.70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86.56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1,999,800.00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1,999,800.00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4,728,283.26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115,179.36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50,934,602.32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07D71">
        <w:trPr>
          <w:jc w:val="center"/>
        </w:trPr>
        <w:tc>
          <w:tcPr>
            <w:tcW w:w="850" w:type="dxa"/>
            <w:vAlign w:val="center"/>
          </w:tcPr>
          <w:p w:rsidR="00407D71" w:rsidRDefault="00F223EE">
            <w:pPr>
              <w:jc w:val="center"/>
            </w:pPr>
            <w:r>
              <w:rPr>
                <w:color w:val="000000"/>
                <w:sz w:val="24"/>
                <w:szCs w:val="24"/>
              </w:rPr>
              <w:t>1</w:t>
            </w:r>
          </w:p>
        </w:tc>
        <w:tc>
          <w:tcPr>
            <w:tcW w:w="1475" w:type="dxa"/>
            <w:vAlign w:val="center"/>
          </w:tcPr>
          <w:p w:rsidR="00407D71" w:rsidRDefault="00F223EE">
            <w:pPr>
              <w:jc w:val="center"/>
            </w:pPr>
            <w:r>
              <w:rPr>
                <w:color w:val="000000"/>
                <w:sz w:val="24"/>
                <w:szCs w:val="24"/>
              </w:rPr>
              <w:t>019627</w:t>
            </w:r>
          </w:p>
        </w:tc>
        <w:tc>
          <w:tcPr>
            <w:tcW w:w="1769" w:type="dxa"/>
            <w:vAlign w:val="center"/>
          </w:tcPr>
          <w:p w:rsidR="00407D71" w:rsidRDefault="00F223EE">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407D71" w:rsidRDefault="00F223EE">
            <w:pPr>
              <w:jc w:val="right"/>
            </w:pPr>
            <w:r>
              <w:rPr>
                <w:color w:val="000000"/>
                <w:sz w:val="24"/>
                <w:szCs w:val="24"/>
              </w:rPr>
              <w:t>20,000</w:t>
            </w:r>
          </w:p>
        </w:tc>
        <w:tc>
          <w:tcPr>
            <w:tcW w:w="2150" w:type="dxa"/>
            <w:vAlign w:val="center"/>
          </w:tcPr>
          <w:p w:rsidR="00407D71" w:rsidRDefault="00F223EE">
            <w:pPr>
              <w:jc w:val="right"/>
            </w:pPr>
            <w:r>
              <w:rPr>
                <w:color w:val="000000"/>
                <w:sz w:val="24"/>
                <w:szCs w:val="24"/>
              </w:rPr>
              <w:t>1,999,800.00</w:t>
            </w:r>
          </w:p>
        </w:tc>
        <w:tc>
          <w:tcPr>
            <w:tcW w:w="1237" w:type="dxa"/>
            <w:vAlign w:val="center"/>
          </w:tcPr>
          <w:p w:rsidR="00407D71" w:rsidRDefault="00F223EE">
            <w:pPr>
              <w:jc w:val="right"/>
            </w:pPr>
            <w:r>
              <w:rPr>
                <w:color w:val="000000"/>
                <w:sz w:val="24"/>
                <w:szCs w:val="24"/>
              </w:rPr>
              <w:t>4.48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5,228.12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44,408.04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65,543.20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115,179.36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w:t>
      </w:r>
      <w:r w:rsidRPr="00414345">
        <w:rPr>
          <w:color w:val="000000"/>
          <w:sz w:val="24"/>
          <w:szCs w:val="24"/>
        </w:rPr>
        <w:t>,</w:t>
      </w:r>
      <w:r w:rsidRPr="00414345">
        <w:rPr>
          <w:color w:val="000000"/>
          <w:sz w:val="24"/>
          <w:szCs w:val="24"/>
        </w:rPr>
        <w:t>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407D71">
        <w:tc>
          <w:tcPr>
            <w:tcW w:w="835" w:type="dxa"/>
            <w:vAlign w:val="center"/>
          </w:tcPr>
          <w:p w:rsidR="00407D71" w:rsidRDefault="00F223EE">
            <w:pPr>
              <w:jc w:val="center"/>
            </w:pPr>
            <w:r>
              <w:rPr>
                <w:sz w:val="24"/>
                <w:szCs w:val="24"/>
              </w:rPr>
              <w:t>1</w:t>
            </w:r>
          </w:p>
        </w:tc>
        <w:tc>
          <w:tcPr>
            <w:tcW w:w="1159" w:type="dxa"/>
            <w:vAlign w:val="center"/>
          </w:tcPr>
          <w:p w:rsidR="00407D71" w:rsidRDefault="00F223EE">
            <w:pPr>
              <w:jc w:val="center"/>
            </w:pPr>
            <w:r>
              <w:rPr>
                <w:sz w:val="24"/>
                <w:szCs w:val="24"/>
              </w:rPr>
              <w:t>377010</w:t>
            </w:r>
          </w:p>
        </w:tc>
        <w:tc>
          <w:tcPr>
            <w:tcW w:w="1161" w:type="dxa"/>
            <w:vAlign w:val="center"/>
          </w:tcPr>
          <w:p w:rsidR="00407D71" w:rsidRDefault="00F223EE">
            <w:pPr>
              <w:jc w:val="center"/>
            </w:pPr>
            <w:r>
              <w:rPr>
                <w:sz w:val="24"/>
                <w:szCs w:val="24"/>
              </w:rPr>
              <w:t>上投摩根阿尔法混合</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1,128,256.44</w:t>
            </w:r>
          </w:p>
        </w:tc>
        <w:tc>
          <w:tcPr>
            <w:tcW w:w="1305" w:type="dxa"/>
            <w:vAlign w:val="center"/>
          </w:tcPr>
          <w:p w:rsidR="00407D71" w:rsidRDefault="00F223EE">
            <w:pPr>
              <w:jc w:val="center"/>
            </w:pPr>
            <w:r>
              <w:rPr>
                <w:sz w:val="24"/>
                <w:szCs w:val="24"/>
              </w:rPr>
              <w:t>5,707,059.55</w:t>
            </w:r>
          </w:p>
        </w:tc>
        <w:tc>
          <w:tcPr>
            <w:tcW w:w="1161" w:type="dxa"/>
            <w:vAlign w:val="center"/>
          </w:tcPr>
          <w:p w:rsidR="00407D71" w:rsidRDefault="00F223EE">
            <w:pPr>
              <w:jc w:val="center"/>
            </w:pPr>
            <w:r>
              <w:rPr>
                <w:sz w:val="24"/>
                <w:szCs w:val="24"/>
              </w:rPr>
              <w:t>12.78%</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2</w:t>
            </w:r>
          </w:p>
        </w:tc>
        <w:tc>
          <w:tcPr>
            <w:tcW w:w="1159" w:type="dxa"/>
            <w:vAlign w:val="center"/>
          </w:tcPr>
          <w:p w:rsidR="00407D71" w:rsidRDefault="00F223EE">
            <w:pPr>
              <w:jc w:val="center"/>
            </w:pPr>
            <w:r>
              <w:rPr>
                <w:sz w:val="24"/>
                <w:szCs w:val="24"/>
              </w:rPr>
              <w:t>377240</w:t>
            </w:r>
          </w:p>
        </w:tc>
        <w:tc>
          <w:tcPr>
            <w:tcW w:w="1161" w:type="dxa"/>
            <w:vAlign w:val="center"/>
          </w:tcPr>
          <w:p w:rsidR="00407D71" w:rsidRDefault="00F223EE">
            <w:pPr>
              <w:jc w:val="center"/>
            </w:pPr>
            <w:r>
              <w:rPr>
                <w:sz w:val="24"/>
                <w:szCs w:val="24"/>
              </w:rPr>
              <w:t>上投摩根新兴动力混合</w:t>
            </w:r>
            <w:r>
              <w:rPr>
                <w:sz w:val="24"/>
                <w:szCs w:val="24"/>
              </w:rPr>
              <w:t>A</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956,985.56</w:t>
            </w:r>
          </w:p>
        </w:tc>
        <w:tc>
          <w:tcPr>
            <w:tcW w:w="1305" w:type="dxa"/>
            <w:vAlign w:val="center"/>
          </w:tcPr>
          <w:p w:rsidR="00407D71" w:rsidRDefault="00F223EE">
            <w:pPr>
              <w:jc w:val="center"/>
            </w:pPr>
            <w:r>
              <w:rPr>
                <w:sz w:val="24"/>
                <w:szCs w:val="24"/>
              </w:rPr>
              <w:t>5,509,365.87</w:t>
            </w:r>
          </w:p>
        </w:tc>
        <w:tc>
          <w:tcPr>
            <w:tcW w:w="1161" w:type="dxa"/>
            <w:vAlign w:val="center"/>
          </w:tcPr>
          <w:p w:rsidR="00407D71" w:rsidRDefault="00F223EE">
            <w:pPr>
              <w:jc w:val="center"/>
            </w:pPr>
            <w:r>
              <w:rPr>
                <w:sz w:val="24"/>
                <w:szCs w:val="24"/>
              </w:rPr>
              <w:t>12.34%</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3</w:t>
            </w:r>
          </w:p>
        </w:tc>
        <w:tc>
          <w:tcPr>
            <w:tcW w:w="1159" w:type="dxa"/>
            <w:vAlign w:val="center"/>
          </w:tcPr>
          <w:p w:rsidR="00407D71" w:rsidRDefault="00F223EE">
            <w:pPr>
              <w:jc w:val="center"/>
            </w:pPr>
            <w:r>
              <w:rPr>
                <w:sz w:val="24"/>
                <w:szCs w:val="24"/>
              </w:rPr>
              <w:t>004738</w:t>
            </w:r>
          </w:p>
        </w:tc>
        <w:tc>
          <w:tcPr>
            <w:tcW w:w="1161" w:type="dxa"/>
            <w:vAlign w:val="center"/>
          </w:tcPr>
          <w:p w:rsidR="00407D71" w:rsidRDefault="00F223EE">
            <w:pPr>
              <w:jc w:val="center"/>
            </w:pPr>
            <w:r>
              <w:rPr>
                <w:sz w:val="24"/>
                <w:szCs w:val="24"/>
              </w:rPr>
              <w:t>上投摩根安隆回报混合</w:t>
            </w:r>
            <w:r>
              <w:rPr>
                <w:sz w:val="24"/>
                <w:szCs w:val="24"/>
              </w:rPr>
              <w:t>A</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4,154,846.32</w:t>
            </w:r>
          </w:p>
        </w:tc>
        <w:tc>
          <w:tcPr>
            <w:tcW w:w="1305" w:type="dxa"/>
            <w:vAlign w:val="center"/>
          </w:tcPr>
          <w:p w:rsidR="00407D71" w:rsidRDefault="00F223EE">
            <w:pPr>
              <w:jc w:val="center"/>
            </w:pPr>
            <w:r>
              <w:rPr>
                <w:sz w:val="24"/>
                <w:szCs w:val="24"/>
              </w:rPr>
              <w:t>5,314,879.41</w:t>
            </w:r>
          </w:p>
        </w:tc>
        <w:tc>
          <w:tcPr>
            <w:tcW w:w="1161" w:type="dxa"/>
            <w:vAlign w:val="center"/>
          </w:tcPr>
          <w:p w:rsidR="00407D71" w:rsidRDefault="00F223EE">
            <w:pPr>
              <w:jc w:val="center"/>
            </w:pPr>
            <w:r>
              <w:rPr>
                <w:sz w:val="24"/>
                <w:szCs w:val="24"/>
              </w:rPr>
              <w:t>11.90%</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4</w:t>
            </w:r>
          </w:p>
        </w:tc>
        <w:tc>
          <w:tcPr>
            <w:tcW w:w="1159" w:type="dxa"/>
            <w:vAlign w:val="center"/>
          </w:tcPr>
          <w:p w:rsidR="00407D71" w:rsidRDefault="00F223EE">
            <w:pPr>
              <w:jc w:val="center"/>
            </w:pPr>
            <w:r>
              <w:rPr>
                <w:sz w:val="24"/>
                <w:szCs w:val="24"/>
              </w:rPr>
              <w:t>511260</w:t>
            </w:r>
          </w:p>
        </w:tc>
        <w:tc>
          <w:tcPr>
            <w:tcW w:w="1161" w:type="dxa"/>
            <w:vAlign w:val="center"/>
          </w:tcPr>
          <w:p w:rsidR="00407D71" w:rsidRDefault="00F223EE">
            <w:pPr>
              <w:jc w:val="center"/>
            </w:pPr>
            <w:r>
              <w:rPr>
                <w:sz w:val="24"/>
                <w:szCs w:val="24"/>
              </w:rPr>
              <w:t>上证</w:t>
            </w:r>
            <w:r>
              <w:rPr>
                <w:sz w:val="24"/>
                <w:szCs w:val="24"/>
              </w:rPr>
              <w:t>10</w:t>
            </w:r>
            <w:r>
              <w:rPr>
                <w:sz w:val="24"/>
                <w:szCs w:val="24"/>
              </w:rPr>
              <w:t>年期国债</w:t>
            </w:r>
            <w:r>
              <w:rPr>
                <w:sz w:val="24"/>
                <w:szCs w:val="24"/>
              </w:rPr>
              <w:t>ETF</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40,000.00</w:t>
            </w:r>
          </w:p>
        </w:tc>
        <w:tc>
          <w:tcPr>
            <w:tcW w:w="1305" w:type="dxa"/>
            <w:vAlign w:val="center"/>
          </w:tcPr>
          <w:p w:rsidR="00407D71" w:rsidRDefault="00F223EE">
            <w:pPr>
              <w:jc w:val="center"/>
            </w:pPr>
            <w:r>
              <w:rPr>
                <w:sz w:val="24"/>
                <w:szCs w:val="24"/>
              </w:rPr>
              <w:t>4,404,200.00</w:t>
            </w:r>
          </w:p>
        </w:tc>
        <w:tc>
          <w:tcPr>
            <w:tcW w:w="1161" w:type="dxa"/>
            <w:vAlign w:val="center"/>
          </w:tcPr>
          <w:p w:rsidR="00407D71" w:rsidRDefault="00F223EE">
            <w:pPr>
              <w:jc w:val="center"/>
            </w:pPr>
            <w:r>
              <w:rPr>
                <w:sz w:val="24"/>
                <w:szCs w:val="24"/>
              </w:rPr>
              <w:t>9.86%</w:t>
            </w:r>
          </w:p>
        </w:tc>
        <w:tc>
          <w:tcPr>
            <w:tcW w:w="1301" w:type="dxa"/>
            <w:vAlign w:val="center"/>
          </w:tcPr>
          <w:p w:rsidR="00407D71" w:rsidRDefault="00F223EE">
            <w:pPr>
              <w:jc w:val="center"/>
            </w:pPr>
            <w:r>
              <w:rPr>
                <w:sz w:val="24"/>
                <w:szCs w:val="24"/>
              </w:rPr>
              <w:t>否</w:t>
            </w:r>
          </w:p>
        </w:tc>
      </w:tr>
      <w:tr w:rsidR="00407D71">
        <w:tc>
          <w:tcPr>
            <w:tcW w:w="835" w:type="dxa"/>
            <w:vAlign w:val="center"/>
          </w:tcPr>
          <w:p w:rsidR="00407D71" w:rsidRDefault="00F223EE">
            <w:pPr>
              <w:jc w:val="center"/>
            </w:pPr>
            <w:r>
              <w:rPr>
                <w:sz w:val="24"/>
                <w:szCs w:val="24"/>
              </w:rPr>
              <w:lastRenderedPageBreak/>
              <w:t>5</w:t>
            </w:r>
          </w:p>
        </w:tc>
        <w:tc>
          <w:tcPr>
            <w:tcW w:w="1159" w:type="dxa"/>
            <w:vAlign w:val="center"/>
          </w:tcPr>
          <w:p w:rsidR="00407D71" w:rsidRDefault="00F223EE">
            <w:pPr>
              <w:jc w:val="center"/>
            </w:pPr>
            <w:r>
              <w:rPr>
                <w:sz w:val="24"/>
                <w:szCs w:val="24"/>
              </w:rPr>
              <w:t>370027</w:t>
            </w:r>
          </w:p>
        </w:tc>
        <w:tc>
          <w:tcPr>
            <w:tcW w:w="1161" w:type="dxa"/>
            <w:vAlign w:val="center"/>
          </w:tcPr>
          <w:p w:rsidR="00407D71" w:rsidRDefault="00F223EE">
            <w:pPr>
              <w:jc w:val="center"/>
            </w:pPr>
            <w:r>
              <w:rPr>
                <w:sz w:val="24"/>
                <w:szCs w:val="24"/>
              </w:rPr>
              <w:t>上投摩根智选</w:t>
            </w:r>
            <w:r>
              <w:rPr>
                <w:sz w:val="24"/>
                <w:szCs w:val="24"/>
              </w:rPr>
              <w:t>30</w:t>
            </w:r>
            <w:r>
              <w:rPr>
                <w:sz w:val="24"/>
                <w:szCs w:val="24"/>
              </w:rPr>
              <w:t>混合</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864,094.90</w:t>
            </w:r>
          </w:p>
        </w:tc>
        <w:tc>
          <w:tcPr>
            <w:tcW w:w="1305" w:type="dxa"/>
            <w:vAlign w:val="center"/>
          </w:tcPr>
          <w:p w:rsidR="00407D71" w:rsidRDefault="00F223EE">
            <w:pPr>
              <w:jc w:val="center"/>
            </w:pPr>
            <w:r>
              <w:rPr>
                <w:sz w:val="24"/>
                <w:szCs w:val="24"/>
              </w:rPr>
              <w:t>3,165,525.26</w:t>
            </w:r>
          </w:p>
        </w:tc>
        <w:tc>
          <w:tcPr>
            <w:tcW w:w="1161" w:type="dxa"/>
            <w:vAlign w:val="center"/>
          </w:tcPr>
          <w:p w:rsidR="00407D71" w:rsidRDefault="00F223EE">
            <w:pPr>
              <w:jc w:val="center"/>
            </w:pPr>
            <w:r>
              <w:rPr>
                <w:sz w:val="24"/>
                <w:szCs w:val="24"/>
              </w:rPr>
              <w:t>7.09%</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6</w:t>
            </w:r>
          </w:p>
        </w:tc>
        <w:tc>
          <w:tcPr>
            <w:tcW w:w="1159" w:type="dxa"/>
            <w:vAlign w:val="center"/>
          </w:tcPr>
          <w:p w:rsidR="00407D71" w:rsidRDefault="00F223EE">
            <w:pPr>
              <w:jc w:val="center"/>
            </w:pPr>
            <w:r>
              <w:rPr>
                <w:sz w:val="24"/>
                <w:szCs w:val="24"/>
              </w:rPr>
              <w:t>376510</w:t>
            </w:r>
          </w:p>
        </w:tc>
        <w:tc>
          <w:tcPr>
            <w:tcW w:w="1161" w:type="dxa"/>
            <w:vAlign w:val="center"/>
          </w:tcPr>
          <w:p w:rsidR="00407D71" w:rsidRDefault="00F223EE">
            <w:pPr>
              <w:jc w:val="center"/>
            </w:pPr>
            <w:r>
              <w:rPr>
                <w:sz w:val="24"/>
                <w:szCs w:val="24"/>
              </w:rPr>
              <w:t>上投摩根大盘蓝筹股票</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783,378.75</w:t>
            </w:r>
          </w:p>
        </w:tc>
        <w:tc>
          <w:tcPr>
            <w:tcW w:w="1305" w:type="dxa"/>
            <w:vAlign w:val="center"/>
          </w:tcPr>
          <w:p w:rsidR="00407D71" w:rsidRDefault="00F223EE">
            <w:pPr>
              <w:jc w:val="center"/>
            </w:pPr>
            <w:r>
              <w:rPr>
                <w:sz w:val="24"/>
                <w:szCs w:val="24"/>
              </w:rPr>
              <w:t>2,468,426.44</w:t>
            </w:r>
          </w:p>
        </w:tc>
        <w:tc>
          <w:tcPr>
            <w:tcW w:w="1161" w:type="dxa"/>
            <w:vAlign w:val="center"/>
          </w:tcPr>
          <w:p w:rsidR="00407D71" w:rsidRDefault="00F223EE">
            <w:pPr>
              <w:jc w:val="center"/>
            </w:pPr>
            <w:r>
              <w:rPr>
                <w:sz w:val="24"/>
                <w:szCs w:val="24"/>
              </w:rPr>
              <w:t>5.53%</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7</w:t>
            </w:r>
          </w:p>
        </w:tc>
        <w:tc>
          <w:tcPr>
            <w:tcW w:w="1159" w:type="dxa"/>
            <w:vAlign w:val="center"/>
          </w:tcPr>
          <w:p w:rsidR="00407D71" w:rsidRDefault="00F223EE">
            <w:pPr>
              <w:jc w:val="center"/>
            </w:pPr>
            <w:r>
              <w:rPr>
                <w:sz w:val="24"/>
                <w:szCs w:val="24"/>
              </w:rPr>
              <w:t>004144</w:t>
            </w:r>
          </w:p>
        </w:tc>
        <w:tc>
          <w:tcPr>
            <w:tcW w:w="1161" w:type="dxa"/>
            <w:vAlign w:val="center"/>
          </w:tcPr>
          <w:p w:rsidR="00407D71" w:rsidRDefault="00F223EE">
            <w:pPr>
              <w:jc w:val="center"/>
            </w:pPr>
            <w:r>
              <w:rPr>
                <w:sz w:val="24"/>
                <w:szCs w:val="24"/>
              </w:rPr>
              <w:t>上投摩根安丰回报混合</w:t>
            </w:r>
            <w:r>
              <w:rPr>
                <w:sz w:val="24"/>
                <w:szCs w:val="24"/>
              </w:rPr>
              <w:t>A</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1,461,774.59</w:t>
            </w:r>
          </w:p>
        </w:tc>
        <w:tc>
          <w:tcPr>
            <w:tcW w:w="1305" w:type="dxa"/>
            <w:vAlign w:val="center"/>
          </w:tcPr>
          <w:p w:rsidR="00407D71" w:rsidRDefault="00F223EE">
            <w:pPr>
              <w:jc w:val="center"/>
            </w:pPr>
            <w:r>
              <w:rPr>
                <w:sz w:val="24"/>
                <w:szCs w:val="24"/>
              </w:rPr>
              <w:t>2,033,766.99</w:t>
            </w:r>
          </w:p>
        </w:tc>
        <w:tc>
          <w:tcPr>
            <w:tcW w:w="1161" w:type="dxa"/>
            <w:vAlign w:val="center"/>
          </w:tcPr>
          <w:p w:rsidR="00407D71" w:rsidRDefault="00F223EE">
            <w:pPr>
              <w:jc w:val="center"/>
            </w:pPr>
            <w:r>
              <w:rPr>
                <w:sz w:val="24"/>
                <w:szCs w:val="24"/>
              </w:rPr>
              <w:t>4.55%</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8</w:t>
            </w:r>
          </w:p>
        </w:tc>
        <w:tc>
          <w:tcPr>
            <w:tcW w:w="1159" w:type="dxa"/>
            <w:vAlign w:val="center"/>
          </w:tcPr>
          <w:p w:rsidR="00407D71" w:rsidRDefault="00F223EE">
            <w:pPr>
              <w:jc w:val="center"/>
            </w:pPr>
            <w:r>
              <w:rPr>
                <w:sz w:val="24"/>
                <w:szCs w:val="24"/>
              </w:rPr>
              <w:t>512800</w:t>
            </w:r>
          </w:p>
        </w:tc>
        <w:tc>
          <w:tcPr>
            <w:tcW w:w="1161" w:type="dxa"/>
            <w:vAlign w:val="center"/>
          </w:tcPr>
          <w:p w:rsidR="00407D71" w:rsidRDefault="00F223EE">
            <w:pPr>
              <w:jc w:val="center"/>
            </w:pPr>
            <w:r>
              <w:rPr>
                <w:sz w:val="24"/>
                <w:szCs w:val="24"/>
              </w:rPr>
              <w:t>华宝中证银行</w:t>
            </w:r>
            <w:r>
              <w:rPr>
                <w:sz w:val="24"/>
                <w:szCs w:val="24"/>
              </w:rPr>
              <w:t>ETF</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1,770,500.00</w:t>
            </w:r>
          </w:p>
        </w:tc>
        <w:tc>
          <w:tcPr>
            <w:tcW w:w="1305" w:type="dxa"/>
            <w:vAlign w:val="center"/>
          </w:tcPr>
          <w:p w:rsidR="00407D71" w:rsidRDefault="00F223EE">
            <w:pPr>
              <w:jc w:val="center"/>
            </w:pPr>
            <w:r>
              <w:rPr>
                <w:sz w:val="24"/>
                <w:szCs w:val="24"/>
              </w:rPr>
              <w:t>2,027,222.50</w:t>
            </w:r>
          </w:p>
        </w:tc>
        <w:tc>
          <w:tcPr>
            <w:tcW w:w="1161" w:type="dxa"/>
            <w:vAlign w:val="center"/>
          </w:tcPr>
          <w:p w:rsidR="00407D71" w:rsidRDefault="00F223EE">
            <w:pPr>
              <w:jc w:val="center"/>
            </w:pPr>
            <w:r>
              <w:rPr>
                <w:sz w:val="24"/>
                <w:szCs w:val="24"/>
              </w:rPr>
              <w:t>4.54%</w:t>
            </w:r>
          </w:p>
        </w:tc>
        <w:tc>
          <w:tcPr>
            <w:tcW w:w="1301" w:type="dxa"/>
            <w:vAlign w:val="center"/>
          </w:tcPr>
          <w:p w:rsidR="00407D71" w:rsidRDefault="00F223EE">
            <w:pPr>
              <w:jc w:val="center"/>
            </w:pPr>
            <w:r>
              <w:rPr>
                <w:sz w:val="24"/>
                <w:szCs w:val="24"/>
              </w:rPr>
              <w:t>否</w:t>
            </w:r>
          </w:p>
        </w:tc>
      </w:tr>
      <w:tr w:rsidR="00407D71">
        <w:tc>
          <w:tcPr>
            <w:tcW w:w="835" w:type="dxa"/>
            <w:vAlign w:val="center"/>
          </w:tcPr>
          <w:p w:rsidR="00407D71" w:rsidRDefault="00F223EE">
            <w:pPr>
              <w:jc w:val="center"/>
            </w:pPr>
            <w:r>
              <w:rPr>
                <w:sz w:val="24"/>
                <w:szCs w:val="24"/>
              </w:rPr>
              <w:t>9</w:t>
            </w:r>
          </w:p>
        </w:tc>
        <w:tc>
          <w:tcPr>
            <w:tcW w:w="1159" w:type="dxa"/>
            <w:vAlign w:val="center"/>
          </w:tcPr>
          <w:p w:rsidR="00407D71" w:rsidRDefault="00F223EE">
            <w:pPr>
              <w:jc w:val="center"/>
            </w:pPr>
            <w:r>
              <w:rPr>
                <w:sz w:val="24"/>
                <w:szCs w:val="24"/>
              </w:rPr>
              <w:t>001766</w:t>
            </w:r>
          </w:p>
        </w:tc>
        <w:tc>
          <w:tcPr>
            <w:tcW w:w="1161" w:type="dxa"/>
            <w:vAlign w:val="center"/>
          </w:tcPr>
          <w:p w:rsidR="00407D71" w:rsidRDefault="00F223EE">
            <w:pPr>
              <w:jc w:val="center"/>
            </w:pPr>
            <w:r>
              <w:rPr>
                <w:sz w:val="24"/>
                <w:szCs w:val="24"/>
              </w:rPr>
              <w:t>上投摩根医疗健康股票</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774,244.66</w:t>
            </w:r>
          </w:p>
        </w:tc>
        <w:tc>
          <w:tcPr>
            <w:tcW w:w="1305" w:type="dxa"/>
            <w:vAlign w:val="center"/>
          </w:tcPr>
          <w:p w:rsidR="00407D71" w:rsidRDefault="00F223EE">
            <w:pPr>
              <w:jc w:val="center"/>
            </w:pPr>
            <w:r>
              <w:rPr>
                <w:sz w:val="24"/>
                <w:szCs w:val="24"/>
              </w:rPr>
              <w:t>1,978,891.93</w:t>
            </w:r>
          </w:p>
        </w:tc>
        <w:tc>
          <w:tcPr>
            <w:tcW w:w="1161" w:type="dxa"/>
            <w:vAlign w:val="center"/>
          </w:tcPr>
          <w:p w:rsidR="00407D71" w:rsidRDefault="00F223EE">
            <w:pPr>
              <w:jc w:val="center"/>
            </w:pPr>
            <w:r>
              <w:rPr>
                <w:sz w:val="24"/>
                <w:szCs w:val="24"/>
              </w:rPr>
              <w:t>4.43%</w:t>
            </w:r>
          </w:p>
        </w:tc>
        <w:tc>
          <w:tcPr>
            <w:tcW w:w="1301" w:type="dxa"/>
            <w:vAlign w:val="center"/>
          </w:tcPr>
          <w:p w:rsidR="00407D71" w:rsidRDefault="00F223EE">
            <w:pPr>
              <w:jc w:val="center"/>
            </w:pPr>
            <w:r>
              <w:rPr>
                <w:sz w:val="24"/>
                <w:szCs w:val="24"/>
              </w:rPr>
              <w:t>是</w:t>
            </w:r>
          </w:p>
        </w:tc>
      </w:tr>
      <w:tr w:rsidR="00407D71">
        <w:tc>
          <w:tcPr>
            <w:tcW w:w="835" w:type="dxa"/>
            <w:vAlign w:val="center"/>
          </w:tcPr>
          <w:p w:rsidR="00407D71" w:rsidRDefault="00F223EE">
            <w:pPr>
              <w:jc w:val="center"/>
            </w:pPr>
            <w:r>
              <w:rPr>
                <w:sz w:val="24"/>
                <w:szCs w:val="24"/>
              </w:rPr>
              <w:t>10</w:t>
            </w:r>
          </w:p>
        </w:tc>
        <w:tc>
          <w:tcPr>
            <w:tcW w:w="1159" w:type="dxa"/>
            <w:vAlign w:val="center"/>
          </w:tcPr>
          <w:p w:rsidR="00407D71" w:rsidRDefault="00F223EE">
            <w:pPr>
              <w:jc w:val="center"/>
            </w:pPr>
            <w:r>
              <w:rPr>
                <w:sz w:val="24"/>
                <w:szCs w:val="24"/>
              </w:rPr>
              <w:t>006250</w:t>
            </w:r>
          </w:p>
        </w:tc>
        <w:tc>
          <w:tcPr>
            <w:tcW w:w="1161" w:type="dxa"/>
            <w:vAlign w:val="center"/>
          </w:tcPr>
          <w:p w:rsidR="00407D71" w:rsidRDefault="00F223EE">
            <w:pPr>
              <w:jc w:val="center"/>
            </w:pPr>
            <w:r>
              <w:rPr>
                <w:sz w:val="24"/>
                <w:szCs w:val="24"/>
              </w:rPr>
              <w:t>上投摩根动力精选混合</w:t>
            </w:r>
          </w:p>
        </w:tc>
        <w:tc>
          <w:tcPr>
            <w:tcW w:w="1161" w:type="dxa"/>
            <w:vAlign w:val="center"/>
          </w:tcPr>
          <w:p w:rsidR="00407D71" w:rsidRDefault="00F223EE">
            <w:pPr>
              <w:jc w:val="center"/>
            </w:pPr>
            <w:r>
              <w:rPr>
                <w:sz w:val="24"/>
                <w:szCs w:val="24"/>
              </w:rPr>
              <w:t>契约型开放式</w:t>
            </w:r>
          </w:p>
        </w:tc>
        <w:tc>
          <w:tcPr>
            <w:tcW w:w="1159" w:type="dxa"/>
            <w:vAlign w:val="center"/>
          </w:tcPr>
          <w:p w:rsidR="00407D71" w:rsidRDefault="00F223EE">
            <w:pPr>
              <w:jc w:val="center"/>
            </w:pPr>
            <w:r>
              <w:rPr>
                <w:sz w:val="24"/>
                <w:szCs w:val="24"/>
              </w:rPr>
              <w:t>743,221.15</w:t>
            </w:r>
          </w:p>
        </w:tc>
        <w:tc>
          <w:tcPr>
            <w:tcW w:w="1305" w:type="dxa"/>
            <w:vAlign w:val="center"/>
          </w:tcPr>
          <w:p w:rsidR="00407D71" w:rsidRDefault="00F223EE">
            <w:pPr>
              <w:jc w:val="center"/>
            </w:pPr>
            <w:r>
              <w:rPr>
                <w:sz w:val="24"/>
                <w:szCs w:val="24"/>
              </w:rPr>
              <w:t>1,893,727.49</w:t>
            </w:r>
          </w:p>
        </w:tc>
        <w:tc>
          <w:tcPr>
            <w:tcW w:w="1161" w:type="dxa"/>
            <w:vAlign w:val="center"/>
          </w:tcPr>
          <w:p w:rsidR="00407D71" w:rsidRDefault="00F223EE">
            <w:pPr>
              <w:jc w:val="center"/>
            </w:pPr>
            <w:r>
              <w:rPr>
                <w:sz w:val="24"/>
                <w:szCs w:val="24"/>
              </w:rPr>
              <w:t>4.24%</w:t>
            </w:r>
          </w:p>
        </w:tc>
        <w:tc>
          <w:tcPr>
            <w:tcW w:w="1301" w:type="dxa"/>
            <w:vAlign w:val="center"/>
          </w:tcPr>
          <w:p w:rsidR="00407D71" w:rsidRDefault="00F223EE">
            <w:pPr>
              <w:jc w:val="center"/>
            </w:pPr>
            <w:r>
              <w:rPr>
                <w:sz w:val="24"/>
                <w:szCs w:val="24"/>
              </w:rPr>
              <w:t>是</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7,689.18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7,689.18</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102,593.54</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77,448.37</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18,790.71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13,083.29</w:t>
            </w:r>
          </w:p>
        </w:tc>
      </w:tr>
      <w:tr w:rsidR="00407D71">
        <w:tc>
          <w:tcPr>
            <w:tcW w:w="3012" w:type="dxa"/>
            <w:vAlign w:val="center"/>
          </w:tcPr>
          <w:p w:rsidR="00407D71" w:rsidRDefault="00F223EE">
            <w:pPr>
              <w:jc w:val="left"/>
            </w:pPr>
            <w:r>
              <w:rPr>
                <w:rFonts w:eastAsiaTheme="minorEastAsia"/>
                <w:color w:val="000000" w:themeColor="text1"/>
                <w:sz w:val="24"/>
                <w:szCs w:val="24"/>
              </w:rPr>
              <w:t>当期交易基金产生的交易费（元）</w:t>
            </w:r>
          </w:p>
        </w:tc>
        <w:tc>
          <w:tcPr>
            <w:tcW w:w="3012" w:type="dxa"/>
            <w:vAlign w:val="center"/>
          </w:tcPr>
          <w:p w:rsidR="00407D71" w:rsidRDefault="00F223EE">
            <w:pPr>
              <w:jc w:val="right"/>
            </w:pPr>
            <w:r>
              <w:rPr>
                <w:rFonts w:eastAsiaTheme="minorEastAsia"/>
                <w:color w:val="000000" w:themeColor="text1"/>
                <w:sz w:val="24"/>
                <w:szCs w:val="24"/>
              </w:rPr>
              <w:t>5,296.20</w:t>
            </w:r>
          </w:p>
        </w:tc>
        <w:tc>
          <w:tcPr>
            <w:tcW w:w="3012" w:type="dxa"/>
            <w:vAlign w:val="center"/>
          </w:tcPr>
          <w:p w:rsidR="00407D71" w:rsidRDefault="00F223EE">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36,837,177.74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11,709,178.14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17,456,664.59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31,089,691.29</w:t>
            </w:r>
          </w:p>
        </w:tc>
      </w:tr>
    </w:tbl>
    <w:p w:rsidR="00320E90" w:rsidRDefault="00320E90" w:rsidP="00C15CAC">
      <w:pPr>
        <w:autoSpaceDE w:val="0"/>
        <w:autoSpaceDN w:val="0"/>
        <w:adjustRightInd w:val="0"/>
        <w:spacing w:before="29" w:line="288" w:lineRule="auto"/>
        <w:jc w:val="left"/>
        <w:rPr>
          <w:color w:val="000000"/>
          <w:sz w:val="24"/>
          <w:szCs w:val="24"/>
        </w:rPr>
      </w:pPr>
    </w:p>
    <w:p w:rsidR="0015306B" w:rsidRDefault="0015306B" w:rsidP="0015306B">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§8  </w:t>
      </w:r>
      <w:r>
        <w:rPr>
          <w:rFonts w:ascii="方正仿宋简体" w:hint="eastAsia"/>
          <w:color w:val="000000" w:themeColor="text1"/>
          <w:sz w:val="24"/>
          <w:szCs w:val="24"/>
        </w:rPr>
        <w:t>基金管理人运用固有资金投资本基金情况</w:t>
      </w:r>
    </w:p>
    <w:p w:rsidR="0015306B" w:rsidRDefault="0015306B" w:rsidP="0015306B">
      <w:pPr>
        <w:spacing w:line="360" w:lineRule="auto"/>
        <w:jc w:val="left"/>
        <w:rPr>
          <w:color w:val="000000" w:themeColor="text1"/>
          <w:sz w:val="24"/>
          <w:szCs w:val="24"/>
        </w:rPr>
      </w:pPr>
      <w:r>
        <w:rPr>
          <w:b/>
          <w:color w:val="000000" w:themeColor="text1"/>
          <w:sz w:val="24"/>
        </w:rPr>
        <w:t xml:space="preserve">8.1 </w:t>
      </w:r>
      <w:r>
        <w:rPr>
          <w:rFonts w:hint="eastAsia"/>
          <w:b/>
          <w:color w:val="000000" w:themeColor="text1"/>
          <w:sz w:val="24"/>
        </w:rPr>
        <w:t>基金管理人持有本基金份额变动情况</w:t>
      </w:r>
    </w:p>
    <w:p w:rsidR="0015306B" w:rsidRDefault="0015306B" w:rsidP="0015306B">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15306B" w:rsidRPr="00414345" w:rsidRDefault="0015306B" w:rsidP="00C15CAC">
      <w:pPr>
        <w:autoSpaceDE w:val="0"/>
        <w:autoSpaceDN w:val="0"/>
        <w:adjustRightInd w:val="0"/>
        <w:spacing w:before="29" w:line="288" w:lineRule="auto"/>
        <w:jc w:val="left"/>
        <w:rPr>
          <w:rFonts w:hint="eastAsia"/>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15306B">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15306B" w:rsidP="003C50AD">
      <w:pPr>
        <w:autoSpaceDE w:val="0"/>
        <w:autoSpaceDN w:val="0"/>
        <w:adjustRightInd w:val="0"/>
        <w:spacing w:line="360" w:lineRule="auto"/>
        <w:jc w:val="left"/>
        <w:rPr>
          <w:rFonts w:ascii="宋体" w:hAnsi="宋体"/>
          <w:b/>
          <w:bCs/>
          <w:color w:val="000000"/>
          <w:kern w:val="0"/>
          <w:sz w:val="24"/>
          <w:szCs w:val="24"/>
        </w:rPr>
      </w:pPr>
      <w:r>
        <w:rPr>
          <w:rFonts w:ascii="宋体" w:hAnsi="宋体"/>
          <w:b/>
          <w:bCs/>
          <w:color w:val="000000"/>
          <w:kern w:val="0"/>
          <w:sz w:val="24"/>
          <w:szCs w:val="24"/>
        </w:rPr>
        <w:t>9</w:t>
      </w:r>
      <w:r w:rsidR="003C50AD" w:rsidRPr="009A5C99">
        <w:rPr>
          <w:rFonts w:ascii="宋体" w:hAnsi="宋体"/>
          <w:b/>
          <w:bCs/>
          <w:color w:val="000000"/>
          <w:kern w:val="0"/>
          <w:sz w:val="24"/>
          <w:szCs w:val="24"/>
        </w:rPr>
        <w:t>.</w:t>
      </w:r>
      <w:r w:rsidR="003C50AD"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07D71">
        <w:tc>
          <w:tcPr>
            <w:tcW w:w="993" w:type="dxa"/>
            <w:vMerge w:val="restart"/>
            <w:vAlign w:val="center"/>
          </w:tcPr>
          <w:p w:rsidR="00407D71" w:rsidRDefault="00F223EE">
            <w:r>
              <w:rPr>
                <w:rFonts w:ascii="宋体" w:hAnsi="宋体" w:hint="eastAsia"/>
                <w:bCs/>
                <w:color w:val="000000"/>
                <w:kern w:val="0"/>
              </w:rPr>
              <w:t>个人</w:t>
            </w:r>
          </w:p>
        </w:tc>
        <w:tc>
          <w:tcPr>
            <w:tcW w:w="992" w:type="dxa"/>
            <w:vAlign w:val="center"/>
          </w:tcPr>
          <w:p w:rsidR="00407D71" w:rsidRDefault="00F223EE">
            <w:pPr>
              <w:jc w:val="center"/>
            </w:pPr>
            <w:r>
              <w:rPr>
                <w:rFonts w:ascii="宋体" w:hAnsi="宋体"/>
                <w:kern w:val="0"/>
              </w:rPr>
              <w:t>1</w:t>
            </w:r>
          </w:p>
        </w:tc>
        <w:tc>
          <w:tcPr>
            <w:tcW w:w="1843" w:type="dxa"/>
            <w:vAlign w:val="center"/>
          </w:tcPr>
          <w:p w:rsidR="00407D71" w:rsidRDefault="00F223EE">
            <w:pPr>
              <w:jc w:val="center"/>
            </w:pPr>
            <w:r>
              <w:rPr>
                <w:rFonts w:ascii="宋体" w:hAnsi="宋体"/>
                <w:kern w:val="0"/>
              </w:rPr>
              <w:t>20201104-20201129</w:t>
            </w:r>
          </w:p>
        </w:tc>
        <w:tc>
          <w:tcPr>
            <w:tcW w:w="851" w:type="dxa"/>
            <w:vAlign w:val="center"/>
          </w:tcPr>
          <w:p w:rsidR="00407D71" w:rsidRDefault="00F223EE">
            <w:pPr>
              <w:jc w:val="center"/>
            </w:pPr>
            <w:r>
              <w:rPr>
                <w:rFonts w:ascii="宋体" w:hAnsi="宋体"/>
                <w:kern w:val="0"/>
              </w:rPr>
              <w:t>6,098,934.92</w:t>
            </w:r>
          </w:p>
        </w:tc>
        <w:tc>
          <w:tcPr>
            <w:tcW w:w="850" w:type="dxa"/>
            <w:vAlign w:val="center"/>
          </w:tcPr>
          <w:p w:rsidR="00407D71" w:rsidRDefault="00F223EE">
            <w:pPr>
              <w:jc w:val="center"/>
            </w:pPr>
            <w:r>
              <w:rPr>
                <w:rFonts w:ascii="宋体" w:hAnsi="宋体"/>
                <w:kern w:val="0"/>
              </w:rPr>
              <w:t>1,448,855.40</w:t>
            </w:r>
          </w:p>
        </w:tc>
        <w:tc>
          <w:tcPr>
            <w:tcW w:w="1134" w:type="dxa"/>
            <w:vAlign w:val="center"/>
          </w:tcPr>
          <w:p w:rsidR="00407D71" w:rsidRDefault="00F223EE">
            <w:pPr>
              <w:jc w:val="center"/>
            </w:pPr>
            <w:r>
              <w:rPr>
                <w:rFonts w:ascii="宋体" w:hAnsi="宋体"/>
                <w:kern w:val="0"/>
              </w:rPr>
              <w:t>2,504,597.71</w:t>
            </w:r>
          </w:p>
        </w:tc>
        <w:tc>
          <w:tcPr>
            <w:tcW w:w="1419" w:type="dxa"/>
            <w:vAlign w:val="center"/>
          </w:tcPr>
          <w:p w:rsidR="00407D71" w:rsidRDefault="00F223EE">
            <w:pPr>
              <w:jc w:val="center"/>
            </w:pPr>
            <w:r>
              <w:rPr>
                <w:rFonts w:ascii="宋体" w:hAnsi="宋体"/>
                <w:kern w:val="0"/>
              </w:rPr>
              <w:t>5,043,192.61</w:t>
            </w:r>
          </w:p>
        </w:tc>
        <w:tc>
          <w:tcPr>
            <w:tcW w:w="1130" w:type="dxa"/>
            <w:vAlign w:val="center"/>
          </w:tcPr>
          <w:p w:rsidR="00407D71" w:rsidRDefault="00F223EE">
            <w:pPr>
              <w:jc w:val="center"/>
            </w:pPr>
            <w:r>
              <w:rPr>
                <w:rFonts w:ascii="宋体" w:hAnsi="宋体"/>
                <w:kern w:val="0"/>
              </w:rPr>
              <w:t>16.22%</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5306B">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15306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07D71" w:rsidRDefault="00F223E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、中国证监会准予上投摩根尚睿混合型基金中基金</w:t>
      </w:r>
      <w:r>
        <w:rPr>
          <w:color w:val="000000"/>
          <w:sz w:val="24"/>
          <w:szCs w:val="24"/>
        </w:rPr>
        <w:t>(FOF)</w:t>
      </w:r>
      <w:r>
        <w:rPr>
          <w:color w:val="000000"/>
          <w:sz w:val="24"/>
          <w:szCs w:val="24"/>
        </w:rPr>
        <w:t>募集注册的文件；</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2</w:t>
      </w:r>
      <w:r>
        <w:rPr>
          <w:color w:val="000000"/>
          <w:sz w:val="24"/>
          <w:szCs w:val="24"/>
        </w:rPr>
        <w:t>、《上投摩根尚睿混合型基金中基金</w:t>
      </w:r>
      <w:r>
        <w:rPr>
          <w:color w:val="000000"/>
          <w:sz w:val="24"/>
          <w:szCs w:val="24"/>
        </w:rPr>
        <w:t>(FOF)</w:t>
      </w:r>
      <w:r>
        <w:rPr>
          <w:color w:val="000000"/>
          <w:sz w:val="24"/>
          <w:szCs w:val="24"/>
        </w:rPr>
        <w:t>基金合同》；</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3</w:t>
      </w:r>
      <w:r>
        <w:rPr>
          <w:color w:val="000000"/>
          <w:sz w:val="24"/>
          <w:szCs w:val="24"/>
        </w:rPr>
        <w:t>、《上投摩根尚睿混合型基金中基金</w:t>
      </w:r>
      <w:r>
        <w:rPr>
          <w:color w:val="000000"/>
          <w:sz w:val="24"/>
          <w:szCs w:val="24"/>
        </w:rPr>
        <w:t>(FOF)</w:t>
      </w:r>
      <w:r>
        <w:rPr>
          <w:color w:val="000000"/>
          <w:sz w:val="24"/>
          <w:szCs w:val="24"/>
        </w:rPr>
        <w:t>托管协议》；</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4</w:t>
      </w:r>
      <w:r>
        <w:rPr>
          <w:color w:val="000000"/>
          <w:sz w:val="24"/>
          <w:szCs w:val="24"/>
        </w:rPr>
        <w:t>、《上投摩根开放式基金业务规则》；</w:t>
      </w:r>
      <w:r>
        <w:rPr>
          <w:color w:val="000000"/>
          <w:sz w:val="24"/>
          <w:szCs w:val="24"/>
        </w:rPr>
        <w:t xml:space="preserve"> </w:t>
      </w:r>
    </w:p>
    <w:p w:rsidR="00407D71" w:rsidRDefault="00F223E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15306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15306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bookmarkStart w:id="0" w:name="_GoBack"/>
      <w:bookmarkEnd w:id="0"/>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7B" w:rsidRDefault="0006777B" w:rsidP="00876D65">
      <w:r>
        <w:separator/>
      </w:r>
    </w:p>
  </w:endnote>
  <w:endnote w:type="continuationSeparator" w:id="0">
    <w:p w:rsidR="0006777B" w:rsidRDefault="0006777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5306B">
      <w:rPr>
        <w:noProof/>
        <w:kern w:val="0"/>
        <w:szCs w:val="21"/>
      </w:rPr>
      <w:t>15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5306B">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7B" w:rsidRDefault="0006777B" w:rsidP="00876D65">
      <w:r>
        <w:separator/>
      </w:r>
    </w:p>
  </w:footnote>
  <w:footnote w:type="continuationSeparator" w:id="0">
    <w:p w:rsidR="0006777B" w:rsidRDefault="0006777B"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上投摩根尚睿混合型基金中基金</w:t>
    </w:r>
    <w:r w:rsidRPr="003E676C">
      <w:rPr>
        <w:sz w:val="24"/>
        <w:szCs w:val="24"/>
      </w:rPr>
      <w:t>(FOF)2020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306B"/>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07D71"/>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3EE"/>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BC98E"/>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4E21-8699-44AB-80DC-77F070F1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15</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583</cp:revision>
  <dcterms:created xsi:type="dcterms:W3CDTF">2012-10-16T06:07:00Z</dcterms:created>
  <dcterms:modified xsi:type="dcterms:W3CDTF">2021-01-18T06:36:00Z</dcterms:modified>
</cp:coreProperties>
</file>