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上投摩根尚睿混合型基金中基金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基金管理人：上投摩根基金管理有限公司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72CE1" w:rsidRDefault="00A95B3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72CE1" w:rsidRDefault="00A95B33">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72CE1" w:rsidRDefault="00A95B3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72CE1" w:rsidRDefault="00A95B3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72CE1" w:rsidRDefault="00A95B3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上投摩根尚睿混合</w:t>
            </w:r>
            <w:r w:rsidRPr="00414345">
              <w:rPr>
                <w:color w:val="000000"/>
                <w:kern w:val="0"/>
                <w:sz w:val="24"/>
                <w:szCs w:val="24"/>
              </w:rPr>
              <w:t>(FOF)</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006042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006042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36,837,177.74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通过优选基金，并结合严格的风险控制，实现基金资产的长期稳健增值。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F72CE1" w:rsidRDefault="00A95B33">
            <w:pPr>
              <w:adjustRightInd w:val="0"/>
              <w:spacing w:before="29" w:line="288" w:lineRule="auto"/>
              <w:ind w:left="17"/>
              <w:jc w:val="left"/>
              <w:rPr>
                <w:color w:val="000000"/>
                <w:sz w:val="24"/>
                <w:szCs w:val="24"/>
              </w:rPr>
            </w:pPr>
            <w:r>
              <w:rPr>
                <w:color w:val="000000"/>
                <w:kern w:val="0"/>
                <w:sz w:val="24"/>
                <w:szCs w:val="24"/>
              </w:rPr>
              <w:t>1</w:t>
            </w:r>
            <w:r>
              <w:rPr>
                <w:color w:val="000000"/>
                <w:kern w:val="0"/>
                <w:sz w:val="24"/>
                <w:szCs w:val="24"/>
              </w:rPr>
              <w:t>、资产配置策略</w:t>
            </w:r>
          </w:p>
          <w:p w:rsidR="00F72CE1" w:rsidRDefault="00A95B33">
            <w:pPr>
              <w:adjustRightInd w:val="0"/>
              <w:spacing w:before="29" w:line="288" w:lineRule="auto"/>
              <w:ind w:left="17"/>
              <w:jc w:val="left"/>
              <w:rPr>
                <w:color w:val="000000"/>
                <w:sz w:val="24"/>
                <w:szCs w:val="24"/>
              </w:rPr>
            </w:pPr>
            <w:r>
              <w:rPr>
                <w:color w:val="000000"/>
                <w:kern w:val="0"/>
                <w:sz w:val="24"/>
                <w:szCs w:val="24"/>
              </w:rPr>
              <w:t>在大类资产配置上，结合产品定位、风险收益特征以及管理人的长期资本市场观点确定基金的资产配置方案。</w:t>
            </w:r>
          </w:p>
          <w:p w:rsidR="00F72CE1" w:rsidRDefault="00A95B33">
            <w:pPr>
              <w:adjustRightInd w:val="0"/>
              <w:spacing w:before="29" w:line="288" w:lineRule="auto"/>
              <w:ind w:left="17"/>
              <w:jc w:val="left"/>
              <w:rPr>
                <w:color w:val="000000"/>
                <w:sz w:val="24"/>
                <w:szCs w:val="24"/>
              </w:rPr>
            </w:pPr>
            <w:r>
              <w:rPr>
                <w:color w:val="000000"/>
                <w:kern w:val="0"/>
                <w:sz w:val="24"/>
                <w:szCs w:val="24"/>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大类资产的长期战略配置比例。</w:t>
            </w:r>
          </w:p>
          <w:p w:rsidR="00F72CE1" w:rsidRDefault="00A95B33">
            <w:pPr>
              <w:adjustRightInd w:val="0"/>
              <w:spacing w:before="29" w:line="288" w:lineRule="auto"/>
              <w:ind w:left="17"/>
              <w:jc w:val="left"/>
              <w:rPr>
                <w:color w:val="000000"/>
                <w:sz w:val="24"/>
                <w:szCs w:val="24"/>
              </w:rPr>
            </w:pPr>
            <w:r>
              <w:rPr>
                <w:color w:val="000000"/>
                <w:kern w:val="0"/>
                <w:sz w:val="24"/>
                <w:szCs w:val="24"/>
              </w:rPr>
              <w:t>密切关注市场风险的变化以及各资产类别的风险收益</w:t>
            </w:r>
            <w:r>
              <w:rPr>
                <w:color w:val="000000"/>
                <w:kern w:val="0"/>
                <w:sz w:val="24"/>
                <w:szCs w:val="24"/>
              </w:rPr>
              <w:lastRenderedPageBreak/>
              <w:t>的相对变化趋势，适度调整中长期战略配置比例。当资本市场发生重大变化且管理人认为将影响各类资产的预期时，根据实际情况调整资产配置比例。</w:t>
            </w:r>
          </w:p>
          <w:p w:rsidR="00F72CE1" w:rsidRDefault="00A95B33">
            <w:pPr>
              <w:adjustRightInd w:val="0"/>
              <w:spacing w:before="29" w:line="288" w:lineRule="auto"/>
              <w:ind w:left="17"/>
              <w:jc w:val="left"/>
              <w:rPr>
                <w:color w:val="000000"/>
                <w:sz w:val="24"/>
                <w:szCs w:val="24"/>
              </w:rPr>
            </w:pPr>
            <w:r>
              <w:rPr>
                <w:color w:val="000000"/>
                <w:kern w:val="0"/>
                <w:sz w:val="24"/>
                <w:szCs w:val="24"/>
              </w:rPr>
              <w:t>2</w:t>
            </w:r>
            <w:r>
              <w:rPr>
                <w:color w:val="000000"/>
                <w:kern w:val="0"/>
                <w:sz w:val="24"/>
                <w:szCs w:val="24"/>
              </w:rPr>
              <w:t>、主动管理型基金投资策略</w:t>
            </w:r>
          </w:p>
          <w:p w:rsidR="00F72CE1" w:rsidRDefault="00A95B33">
            <w:pPr>
              <w:adjustRightInd w:val="0"/>
              <w:spacing w:before="29" w:line="288" w:lineRule="auto"/>
              <w:ind w:left="17"/>
              <w:jc w:val="left"/>
              <w:rPr>
                <w:color w:val="000000"/>
                <w:sz w:val="24"/>
                <w:szCs w:val="24"/>
              </w:rPr>
            </w:pPr>
            <w:r>
              <w:rPr>
                <w:color w:val="000000"/>
                <w:kern w:val="0"/>
                <w:sz w:val="24"/>
                <w:szCs w:val="24"/>
              </w:rPr>
              <w:t>综合运用定量分析和定性分析的方式，通过层层筛选，优选能持续创造超额收益的基金构建投资组合。</w:t>
            </w:r>
          </w:p>
          <w:p w:rsidR="00F72CE1" w:rsidRDefault="00A95B33">
            <w:pPr>
              <w:adjustRightInd w:val="0"/>
              <w:spacing w:before="29" w:line="288" w:lineRule="auto"/>
              <w:ind w:left="17"/>
              <w:jc w:val="left"/>
              <w:rPr>
                <w:color w:val="000000"/>
                <w:sz w:val="24"/>
                <w:szCs w:val="24"/>
              </w:rPr>
            </w:pPr>
            <w:r>
              <w:rPr>
                <w:color w:val="000000"/>
                <w:kern w:val="0"/>
                <w:sz w:val="24"/>
                <w:szCs w:val="24"/>
              </w:rPr>
              <w:t>首先，通过初步的定量指标筛选出历史业绩表现良好、规模适中、流动性较好的基金。在初步筛选的基础上，进一步通过尽职调查在基金管理公司层面进行考察，形成基金筛选基础池。</w:t>
            </w:r>
          </w:p>
          <w:p w:rsidR="00F72CE1" w:rsidRDefault="00A95B33">
            <w:pPr>
              <w:adjustRightInd w:val="0"/>
              <w:spacing w:before="29" w:line="288" w:lineRule="auto"/>
              <w:ind w:left="17"/>
              <w:jc w:val="left"/>
              <w:rPr>
                <w:color w:val="000000"/>
                <w:sz w:val="24"/>
                <w:szCs w:val="24"/>
              </w:rPr>
            </w:pPr>
            <w:r>
              <w:rPr>
                <w:color w:val="000000"/>
                <w:kern w:val="0"/>
                <w:sz w:val="24"/>
                <w:szCs w:val="24"/>
              </w:rPr>
              <w:t>其次，结合尽职调查结果以及公开数据，对基金经理进行深度访谈，筛选后将不同投资风格</w:t>
            </w:r>
            <w:r>
              <w:rPr>
                <w:color w:val="000000"/>
                <w:kern w:val="0"/>
                <w:sz w:val="24"/>
                <w:szCs w:val="24"/>
              </w:rPr>
              <w:t>/</w:t>
            </w:r>
            <w:r>
              <w:rPr>
                <w:color w:val="000000"/>
                <w:kern w:val="0"/>
                <w:sz w:val="24"/>
                <w:szCs w:val="24"/>
              </w:rPr>
              <w:t>策略的代表性基金列入未来基金构建投资组合的核心池。</w:t>
            </w:r>
          </w:p>
          <w:p w:rsidR="00F72CE1" w:rsidRDefault="00A95B33">
            <w:pPr>
              <w:adjustRightInd w:val="0"/>
              <w:spacing w:before="29" w:line="288" w:lineRule="auto"/>
              <w:ind w:left="17"/>
              <w:jc w:val="left"/>
              <w:rPr>
                <w:color w:val="000000"/>
                <w:sz w:val="24"/>
                <w:szCs w:val="24"/>
              </w:rPr>
            </w:pPr>
            <w:r>
              <w:rPr>
                <w:color w:val="000000"/>
                <w:kern w:val="0"/>
                <w:sz w:val="24"/>
                <w:szCs w:val="24"/>
              </w:rPr>
              <w:t>本基金目前将主要投资于本基金管理人旗下的公募基金，并根据定量及定性分析策略优选标的基金。未来本基金管理人本着审慎尽职的原则，可将投资范围逐步扩展至其他管理人旗下的公募基金。</w:t>
            </w:r>
          </w:p>
          <w:p w:rsidR="00F72CE1" w:rsidRDefault="00A95B33">
            <w:pPr>
              <w:adjustRightInd w:val="0"/>
              <w:spacing w:before="29" w:line="288" w:lineRule="auto"/>
              <w:ind w:left="17"/>
              <w:jc w:val="left"/>
              <w:rPr>
                <w:color w:val="000000"/>
                <w:sz w:val="24"/>
                <w:szCs w:val="24"/>
              </w:rPr>
            </w:pPr>
            <w:r>
              <w:rPr>
                <w:color w:val="000000"/>
                <w:kern w:val="0"/>
                <w:sz w:val="24"/>
                <w:szCs w:val="24"/>
              </w:rPr>
              <w:t>3</w:t>
            </w:r>
            <w:r>
              <w:rPr>
                <w:color w:val="000000"/>
                <w:kern w:val="0"/>
                <w:sz w:val="24"/>
                <w:szCs w:val="24"/>
              </w:rPr>
              <w:t>、指数基金投资策略</w:t>
            </w:r>
          </w:p>
          <w:p w:rsidR="00F72CE1" w:rsidRDefault="00A95B33">
            <w:pPr>
              <w:adjustRightInd w:val="0"/>
              <w:spacing w:before="29" w:line="288" w:lineRule="auto"/>
              <w:ind w:left="17"/>
              <w:jc w:val="left"/>
              <w:rPr>
                <w:color w:val="000000"/>
                <w:sz w:val="24"/>
                <w:szCs w:val="24"/>
              </w:rPr>
            </w:pPr>
            <w:r>
              <w:rPr>
                <w:color w:val="000000"/>
                <w:kern w:val="0"/>
                <w:sz w:val="24"/>
                <w:szCs w:val="24"/>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rsidR="00F72CE1" w:rsidRDefault="00A95B33">
            <w:pPr>
              <w:adjustRightInd w:val="0"/>
              <w:spacing w:before="29" w:line="288" w:lineRule="auto"/>
              <w:ind w:left="17"/>
              <w:jc w:val="left"/>
              <w:rPr>
                <w:color w:val="000000"/>
                <w:sz w:val="24"/>
                <w:szCs w:val="24"/>
              </w:rPr>
            </w:pPr>
            <w:r>
              <w:rPr>
                <w:color w:val="000000"/>
                <w:kern w:val="0"/>
                <w:sz w:val="24"/>
                <w:szCs w:val="24"/>
              </w:rPr>
              <w:t>4</w:t>
            </w:r>
            <w:r>
              <w:rPr>
                <w:color w:val="000000"/>
                <w:kern w:val="0"/>
                <w:sz w:val="24"/>
                <w:szCs w:val="24"/>
              </w:rPr>
              <w:t>、债券投资策略</w:t>
            </w:r>
          </w:p>
          <w:p w:rsidR="00F72CE1" w:rsidRDefault="00A95B33">
            <w:pPr>
              <w:adjustRightInd w:val="0"/>
              <w:spacing w:before="29" w:line="288" w:lineRule="auto"/>
              <w:ind w:left="17"/>
              <w:jc w:val="left"/>
              <w:rPr>
                <w:color w:val="000000"/>
                <w:sz w:val="24"/>
                <w:szCs w:val="24"/>
              </w:rPr>
            </w:pPr>
            <w:r>
              <w:rPr>
                <w:color w:val="000000"/>
                <w:kern w:val="0"/>
                <w:sz w:val="24"/>
                <w:szCs w:val="24"/>
              </w:rPr>
              <w:t>结合不同债券品种的到期收益率、流动性、市场规模等情况，并根据对债券收益率曲线形态、息差变化的预测，对债券组合进行动态调整。</w:t>
            </w:r>
          </w:p>
          <w:p w:rsidR="00F72CE1" w:rsidRDefault="00A95B33">
            <w:pPr>
              <w:adjustRightInd w:val="0"/>
              <w:spacing w:before="29" w:line="288" w:lineRule="auto"/>
              <w:ind w:left="17"/>
              <w:jc w:val="left"/>
              <w:rPr>
                <w:color w:val="000000"/>
                <w:sz w:val="24"/>
                <w:szCs w:val="24"/>
              </w:rPr>
            </w:pPr>
            <w:r>
              <w:rPr>
                <w:color w:val="000000"/>
                <w:kern w:val="0"/>
                <w:sz w:val="24"/>
                <w:szCs w:val="24"/>
              </w:rPr>
              <w:t>5</w:t>
            </w:r>
            <w:r>
              <w:rPr>
                <w:color w:val="000000"/>
                <w:kern w:val="0"/>
                <w:sz w:val="24"/>
                <w:szCs w:val="24"/>
              </w:rPr>
              <w:t>、中小企业私募债投资策略</w:t>
            </w:r>
          </w:p>
          <w:p w:rsidR="00F72CE1" w:rsidRDefault="00A95B33">
            <w:pPr>
              <w:adjustRightInd w:val="0"/>
              <w:spacing w:before="29" w:line="288" w:lineRule="auto"/>
              <w:ind w:left="17"/>
              <w:jc w:val="left"/>
              <w:rPr>
                <w:color w:val="000000"/>
                <w:sz w:val="24"/>
                <w:szCs w:val="24"/>
              </w:rPr>
            </w:pPr>
            <w:r>
              <w:rPr>
                <w:color w:val="000000"/>
                <w:kern w:val="0"/>
                <w:sz w:val="24"/>
                <w:szCs w:val="24"/>
              </w:rPr>
              <w:t>本基金对中小企业私募债的投资主要从自上而下判断景气周期和自下而上精选标的两个角度出发，结合信用分析和信用评估进行。</w:t>
            </w:r>
          </w:p>
          <w:p w:rsidR="00F72CE1" w:rsidRDefault="00A95B33">
            <w:pPr>
              <w:adjustRightInd w:val="0"/>
              <w:spacing w:before="29" w:line="288" w:lineRule="auto"/>
              <w:ind w:left="17"/>
              <w:jc w:val="left"/>
              <w:rPr>
                <w:color w:val="000000"/>
                <w:sz w:val="24"/>
                <w:szCs w:val="24"/>
              </w:rPr>
            </w:pPr>
            <w:r>
              <w:rPr>
                <w:color w:val="000000"/>
                <w:kern w:val="0"/>
                <w:sz w:val="24"/>
                <w:szCs w:val="24"/>
              </w:rPr>
              <w:t>6</w:t>
            </w:r>
            <w:r>
              <w:rPr>
                <w:color w:val="000000"/>
                <w:kern w:val="0"/>
                <w:sz w:val="24"/>
                <w:szCs w:val="24"/>
              </w:rPr>
              <w:t>、证券公司短期公司债投资策略</w:t>
            </w:r>
          </w:p>
          <w:p w:rsidR="00F72CE1" w:rsidRDefault="00A95B33">
            <w:pPr>
              <w:adjustRightInd w:val="0"/>
              <w:spacing w:before="29" w:line="288" w:lineRule="auto"/>
              <w:ind w:left="17"/>
              <w:jc w:val="left"/>
              <w:rPr>
                <w:color w:val="000000"/>
                <w:sz w:val="24"/>
                <w:szCs w:val="24"/>
              </w:rPr>
            </w:pPr>
            <w:r>
              <w:rPr>
                <w:color w:val="000000"/>
                <w:kern w:val="0"/>
                <w:sz w:val="24"/>
                <w:szCs w:val="24"/>
              </w:rPr>
              <w:t>主要从分析证券行业整体情况、证券公司基本面情况入手，分析证券公司短期公司债券的违约风险及合理的利差水平，对其进行独立、客观的价值评估。</w:t>
            </w:r>
          </w:p>
          <w:p w:rsidR="00F72CE1" w:rsidRDefault="00A95B33">
            <w:pPr>
              <w:adjustRightInd w:val="0"/>
              <w:spacing w:before="29" w:line="288" w:lineRule="auto"/>
              <w:ind w:left="17"/>
              <w:jc w:val="left"/>
              <w:rPr>
                <w:color w:val="000000"/>
                <w:sz w:val="24"/>
                <w:szCs w:val="24"/>
              </w:rPr>
            </w:pPr>
            <w:r>
              <w:rPr>
                <w:color w:val="000000"/>
                <w:kern w:val="0"/>
                <w:sz w:val="24"/>
                <w:szCs w:val="24"/>
              </w:rPr>
              <w:lastRenderedPageBreak/>
              <w:t>7</w:t>
            </w:r>
            <w:r>
              <w:rPr>
                <w:color w:val="000000"/>
                <w:kern w:val="0"/>
                <w:sz w:val="24"/>
                <w:szCs w:val="24"/>
              </w:rPr>
              <w:t>、资产支持证券投资策略</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综合考虑市场利率、发行条款、支持资产的构成及质量等因素，对资产支持证券的风险与收益状况进行评估，确定资产合理配置比例。</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本基金的业绩比较基准为：中证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F72CE1" w:rsidRDefault="00A95B33">
            <w:pPr>
              <w:adjustRightInd w:val="0"/>
              <w:spacing w:before="29" w:line="288" w:lineRule="auto"/>
              <w:ind w:left="17"/>
              <w:jc w:val="left"/>
              <w:rPr>
                <w:color w:val="000000"/>
                <w:sz w:val="24"/>
                <w:szCs w:val="24"/>
              </w:rPr>
            </w:pPr>
            <w:r>
              <w:rPr>
                <w:color w:val="000000"/>
                <w:kern w:val="0"/>
                <w:sz w:val="24"/>
                <w:szCs w:val="24"/>
              </w:rPr>
              <w:t>本基金属于混合型基金中基金，预期风险和收益水平低于股票型基金，高于债券型和货币市场基金，属于较高风险收益水平的基金产品。</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w:t>
            </w:r>
            <w:r w:rsidRPr="00414345">
              <w:rPr>
                <w:color w:val="000000"/>
                <w:kern w:val="0"/>
                <w:sz w:val="24"/>
                <w:szCs w:val="24"/>
              </w:rPr>
              <w:t>2017</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上投摩根基金管理有限公司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95B33" w:rsidRPr="00414345" w:rsidTr="00A95B3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A95B33" w:rsidRPr="00414345" w:rsidTr="00A95B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1,810,856.10</w:t>
            </w:r>
          </w:p>
        </w:tc>
      </w:tr>
      <w:tr w:rsidR="00A95B33" w:rsidRPr="00414345" w:rsidTr="00A95B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2,774,704.12</w:t>
            </w:r>
          </w:p>
        </w:tc>
      </w:tr>
      <w:tr w:rsidR="00A95B33" w:rsidRPr="00414345" w:rsidTr="00A95B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0.0754</w:t>
            </w:r>
          </w:p>
        </w:tc>
      </w:tr>
      <w:tr w:rsidR="00A95B33" w:rsidRPr="00414345" w:rsidTr="00A95B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49,272,760.30</w:t>
            </w:r>
          </w:p>
        </w:tc>
      </w:tr>
      <w:tr w:rsidR="00A95B33" w:rsidRPr="00414345" w:rsidTr="00A95B3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1.3376</w:t>
            </w:r>
          </w:p>
        </w:tc>
      </w:tr>
    </w:tbl>
    <w:p w:rsidR="00F72CE1" w:rsidRDefault="00A95B33">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72CE1">
        <w:trPr>
          <w:jc w:val="center"/>
        </w:trPr>
        <w:tc>
          <w:tcPr>
            <w:tcW w:w="1701" w:type="dxa"/>
            <w:vAlign w:val="center"/>
          </w:tcPr>
          <w:p w:rsidR="00F72CE1" w:rsidRDefault="00A95B33">
            <w:pPr>
              <w:jc w:val="left"/>
            </w:pPr>
            <w:r>
              <w:rPr>
                <w:color w:val="000000"/>
                <w:sz w:val="24"/>
                <w:szCs w:val="24"/>
              </w:rPr>
              <w:t>过去三个月</w:t>
            </w:r>
          </w:p>
        </w:tc>
        <w:tc>
          <w:tcPr>
            <w:tcW w:w="1045" w:type="dxa"/>
            <w:vAlign w:val="center"/>
          </w:tcPr>
          <w:p w:rsidR="00F72CE1" w:rsidRDefault="00A95B33">
            <w:pPr>
              <w:jc w:val="center"/>
            </w:pPr>
            <w:r>
              <w:rPr>
                <w:color w:val="000000"/>
                <w:sz w:val="24"/>
                <w:szCs w:val="24"/>
              </w:rPr>
              <w:t>5.63%</w:t>
            </w:r>
          </w:p>
        </w:tc>
        <w:tc>
          <w:tcPr>
            <w:tcW w:w="1344" w:type="dxa"/>
            <w:vAlign w:val="center"/>
          </w:tcPr>
          <w:p w:rsidR="00F72CE1" w:rsidRDefault="00A95B33">
            <w:pPr>
              <w:jc w:val="center"/>
            </w:pPr>
            <w:r>
              <w:rPr>
                <w:color w:val="000000"/>
                <w:sz w:val="24"/>
                <w:szCs w:val="24"/>
              </w:rPr>
              <w:t>1.01%</w:t>
            </w:r>
          </w:p>
        </w:tc>
        <w:tc>
          <w:tcPr>
            <w:tcW w:w="1194" w:type="dxa"/>
            <w:vAlign w:val="center"/>
          </w:tcPr>
          <w:p w:rsidR="00F72CE1" w:rsidRDefault="00A95B33">
            <w:pPr>
              <w:jc w:val="center"/>
            </w:pPr>
            <w:r>
              <w:rPr>
                <w:color w:val="000000"/>
                <w:sz w:val="24"/>
                <w:szCs w:val="24"/>
              </w:rPr>
              <w:t>5.19%</w:t>
            </w:r>
          </w:p>
        </w:tc>
        <w:tc>
          <w:tcPr>
            <w:tcW w:w="1492" w:type="dxa"/>
            <w:vAlign w:val="center"/>
          </w:tcPr>
          <w:p w:rsidR="00F72CE1" w:rsidRDefault="00A95B33">
            <w:pPr>
              <w:jc w:val="center"/>
            </w:pPr>
            <w:r>
              <w:rPr>
                <w:color w:val="000000"/>
                <w:sz w:val="24"/>
                <w:szCs w:val="24"/>
              </w:rPr>
              <w:t>0.96%</w:t>
            </w:r>
          </w:p>
        </w:tc>
        <w:tc>
          <w:tcPr>
            <w:tcW w:w="1194" w:type="dxa"/>
            <w:vAlign w:val="center"/>
          </w:tcPr>
          <w:p w:rsidR="00F72CE1" w:rsidRDefault="00A95B33">
            <w:pPr>
              <w:jc w:val="center"/>
            </w:pPr>
            <w:r>
              <w:rPr>
                <w:color w:val="000000"/>
                <w:sz w:val="24"/>
                <w:szCs w:val="24"/>
              </w:rPr>
              <w:t>0.44%</w:t>
            </w:r>
          </w:p>
        </w:tc>
        <w:tc>
          <w:tcPr>
            <w:tcW w:w="898" w:type="dxa"/>
            <w:vAlign w:val="center"/>
          </w:tcPr>
          <w:p w:rsidR="00F72CE1" w:rsidRDefault="00A95B33">
            <w:pPr>
              <w:jc w:val="center"/>
            </w:pPr>
            <w:r>
              <w:rPr>
                <w:color w:val="000000"/>
                <w:sz w:val="24"/>
                <w:szCs w:val="24"/>
              </w:rPr>
              <w:t>0.05%</w:t>
            </w:r>
          </w:p>
        </w:tc>
      </w:tr>
      <w:tr w:rsidR="00F72CE1">
        <w:trPr>
          <w:jc w:val="center"/>
        </w:trPr>
        <w:tc>
          <w:tcPr>
            <w:tcW w:w="1701" w:type="dxa"/>
            <w:vAlign w:val="center"/>
          </w:tcPr>
          <w:p w:rsidR="00F72CE1" w:rsidRDefault="00A95B33">
            <w:pPr>
              <w:jc w:val="left"/>
            </w:pPr>
            <w:r>
              <w:rPr>
                <w:color w:val="000000"/>
                <w:sz w:val="24"/>
                <w:szCs w:val="24"/>
              </w:rPr>
              <w:t>过去六个月</w:t>
            </w:r>
          </w:p>
        </w:tc>
        <w:tc>
          <w:tcPr>
            <w:tcW w:w="1045" w:type="dxa"/>
            <w:vAlign w:val="center"/>
          </w:tcPr>
          <w:p w:rsidR="00F72CE1" w:rsidRDefault="00A95B33">
            <w:pPr>
              <w:jc w:val="center"/>
            </w:pPr>
            <w:r>
              <w:rPr>
                <w:color w:val="000000"/>
                <w:sz w:val="24"/>
                <w:szCs w:val="24"/>
              </w:rPr>
              <w:t>16.76%</w:t>
            </w:r>
          </w:p>
        </w:tc>
        <w:tc>
          <w:tcPr>
            <w:tcW w:w="1344" w:type="dxa"/>
            <w:vAlign w:val="center"/>
          </w:tcPr>
          <w:p w:rsidR="00F72CE1" w:rsidRDefault="00A95B33">
            <w:pPr>
              <w:jc w:val="center"/>
            </w:pPr>
            <w:r>
              <w:rPr>
                <w:color w:val="000000"/>
                <w:sz w:val="24"/>
                <w:szCs w:val="24"/>
              </w:rPr>
              <w:t>0.83%</w:t>
            </w:r>
          </w:p>
        </w:tc>
        <w:tc>
          <w:tcPr>
            <w:tcW w:w="1194" w:type="dxa"/>
            <w:vAlign w:val="center"/>
          </w:tcPr>
          <w:p w:rsidR="00F72CE1" w:rsidRDefault="00A95B33">
            <w:pPr>
              <w:jc w:val="center"/>
            </w:pPr>
            <w:r>
              <w:rPr>
                <w:color w:val="000000"/>
                <w:sz w:val="24"/>
                <w:szCs w:val="24"/>
              </w:rPr>
              <w:t>14.11%</w:t>
            </w:r>
          </w:p>
        </w:tc>
        <w:tc>
          <w:tcPr>
            <w:tcW w:w="1492" w:type="dxa"/>
            <w:vAlign w:val="center"/>
          </w:tcPr>
          <w:p w:rsidR="00F72CE1" w:rsidRDefault="00A95B33">
            <w:pPr>
              <w:jc w:val="center"/>
            </w:pPr>
            <w:r>
              <w:rPr>
                <w:color w:val="000000"/>
                <w:sz w:val="24"/>
                <w:szCs w:val="24"/>
              </w:rPr>
              <w:t>0.79%</w:t>
            </w:r>
          </w:p>
        </w:tc>
        <w:tc>
          <w:tcPr>
            <w:tcW w:w="1194" w:type="dxa"/>
            <w:vAlign w:val="center"/>
          </w:tcPr>
          <w:p w:rsidR="00F72CE1" w:rsidRDefault="00A95B33">
            <w:pPr>
              <w:jc w:val="center"/>
            </w:pPr>
            <w:r>
              <w:rPr>
                <w:color w:val="000000"/>
                <w:sz w:val="24"/>
                <w:szCs w:val="24"/>
              </w:rPr>
              <w:t>2.65%</w:t>
            </w:r>
          </w:p>
        </w:tc>
        <w:tc>
          <w:tcPr>
            <w:tcW w:w="898" w:type="dxa"/>
            <w:vAlign w:val="center"/>
          </w:tcPr>
          <w:p w:rsidR="00F72CE1" w:rsidRDefault="00A95B33">
            <w:pPr>
              <w:jc w:val="center"/>
            </w:pPr>
            <w:r>
              <w:rPr>
                <w:color w:val="000000"/>
                <w:sz w:val="24"/>
                <w:szCs w:val="24"/>
              </w:rPr>
              <w:t>0.04%</w:t>
            </w:r>
          </w:p>
        </w:tc>
      </w:tr>
      <w:tr w:rsidR="00F72CE1">
        <w:trPr>
          <w:jc w:val="center"/>
        </w:trPr>
        <w:tc>
          <w:tcPr>
            <w:tcW w:w="1701" w:type="dxa"/>
            <w:vAlign w:val="center"/>
          </w:tcPr>
          <w:p w:rsidR="00F72CE1" w:rsidRDefault="00A95B33">
            <w:pPr>
              <w:jc w:val="left"/>
            </w:pPr>
            <w:r>
              <w:rPr>
                <w:color w:val="000000"/>
                <w:sz w:val="24"/>
                <w:szCs w:val="24"/>
              </w:rPr>
              <w:t>过去一年</w:t>
            </w:r>
          </w:p>
        </w:tc>
        <w:tc>
          <w:tcPr>
            <w:tcW w:w="1045" w:type="dxa"/>
            <w:vAlign w:val="center"/>
          </w:tcPr>
          <w:p w:rsidR="00F72CE1" w:rsidRDefault="00A95B33">
            <w:pPr>
              <w:jc w:val="center"/>
            </w:pPr>
            <w:r>
              <w:rPr>
                <w:color w:val="000000"/>
                <w:sz w:val="24"/>
                <w:szCs w:val="24"/>
              </w:rPr>
              <w:t>19.66%</w:t>
            </w:r>
          </w:p>
        </w:tc>
        <w:tc>
          <w:tcPr>
            <w:tcW w:w="1344" w:type="dxa"/>
            <w:vAlign w:val="center"/>
          </w:tcPr>
          <w:p w:rsidR="00F72CE1" w:rsidRDefault="00A95B33">
            <w:pPr>
              <w:jc w:val="center"/>
            </w:pPr>
            <w:r>
              <w:rPr>
                <w:color w:val="000000"/>
                <w:sz w:val="24"/>
                <w:szCs w:val="24"/>
              </w:rPr>
              <w:t>0.97%</w:t>
            </w:r>
          </w:p>
        </w:tc>
        <w:tc>
          <w:tcPr>
            <w:tcW w:w="1194" w:type="dxa"/>
            <w:vAlign w:val="center"/>
          </w:tcPr>
          <w:p w:rsidR="00F72CE1" w:rsidRDefault="00A95B33">
            <w:pPr>
              <w:jc w:val="center"/>
            </w:pPr>
            <w:r>
              <w:rPr>
                <w:color w:val="000000"/>
                <w:sz w:val="24"/>
                <w:szCs w:val="24"/>
              </w:rPr>
              <w:t>14.09%</w:t>
            </w:r>
          </w:p>
        </w:tc>
        <w:tc>
          <w:tcPr>
            <w:tcW w:w="1492" w:type="dxa"/>
            <w:vAlign w:val="center"/>
          </w:tcPr>
          <w:p w:rsidR="00F72CE1" w:rsidRDefault="00A95B33">
            <w:pPr>
              <w:jc w:val="center"/>
            </w:pPr>
            <w:r>
              <w:rPr>
                <w:color w:val="000000"/>
                <w:sz w:val="24"/>
                <w:szCs w:val="24"/>
              </w:rPr>
              <w:t>0.84%</w:t>
            </w:r>
          </w:p>
        </w:tc>
        <w:tc>
          <w:tcPr>
            <w:tcW w:w="1194" w:type="dxa"/>
            <w:vAlign w:val="center"/>
          </w:tcPr>
          <w:p w:rsidR="00F72CE1" w:rsidRDefault="00A95B33">
            <w:pPr>
              <w:jc w:val="center"/>
            </w:pPr>
            <w:r>
              <w:rPr>
                <w:color w:val="000000"/>
                <w:sz w:val="24"/>
                <w:szCs w:val="24"/>
              </w:rPr>
              <w:t>5.57%</w:t>
            </w:r>
          </w:p>
        </w:tc>
        <w:tc>
          <w:tcPr>
            <w:tcW w:w="898" w:type="dxa"/>
            <w:vAlign w:val="center"/>
          </w:tcPr>
          <w:p w:rsidR="00F72CE1" w:rsidRDefault="00A95B33">
            <w:pPr>
              <w:jc w:val="center"/>
            </w:pPr>
            <w:r>
              <w:rPr>
                <w:color w:val="000000"/>
                <w:sz w:val="24"/>
                <w:szCs w:val="24"/>
              </w:rPr>
              <w:t>0.13%</w:t>
            </w:r>
          </w:p>
        </w:tc>
      </w:tr>
      <w:tr w:rsidR="00F72CE1">
        <w:trPr>
          <w:jc w:val="center"/>
        </w:trPr>
        <w:tc>
          <w:tcPr>
            <w:tcW w:w="1701" w:type="dxa"/>
            <w:vAlign w:val="center"/>
          </w:tcPr>
          <w:p w:rsidR="00F72CE1" w:rsidRDefault="00A95B33">
            <w:pPr>
              <w:jc w:val="left"/>
            </w:pPr>
            <w:r>
              <w:rPr>
                <w:color w:val="000000"/>
                <w:sz w:val="24"/>
                <w:szCs w:val="24"/>
              </w:rPr>
              <w:t>过去三年</w:t>
            </w:r>
          </w:p>
        </w:tc>
        <w:tc>
          <w:tcPr>
            <w:tcW w:w="1045" w:type="dxa"/>
            <w:vAlign w:val="center"/>
          </w:tcPr>
          <w:p w:rsidR="00F72CE1" w:rsidRDefault="00A95B33">
            <w:pPr>
              <w:jc w:val="center"/>
            </w:pPr>
            <w:r>
              <w:rPr>
                <w:color w:val="000000"/>
                <w:sz w:val="24"/>
                <w:szCs w:val="24"/>
              </w:rPr>
              <w:t>-</w:t>
            </w:r>
          </w:p>
        </w:tc>
        <w:tc>
          <w:tcPr>
            <w:tcW w:w="1344" w:type="dxa"/>
            <w:vAlign w:val="center"/>
          </w:tcPr>
          <w:p w:rsidR="00F72CE1" w:rsidRDefault="00A95B33">
            <w:pPr>
              <w:jc w:val="center"/>
            </w:pPr>
            <w:r>
              <w:rPr>
                <w:color w:val="000000"/>
                <w:sz w:val="24"/>
                <w:szCs w:val="24"/>
              </w:rPr>
              <w:t>-</w:t>
            </w:r>
          </w:p>
        </w:tc>
        <w:tc>
          <w:tcPr>
            <w:tcW w:w="1194" w:type="dxa"/>
            <w:vAlign w:val="center"/>
          </w:tcPr>
          <w:p w:rsidR="00F72CE1" w:rsidRDefault="00A95B33">
            <w:pPr>
              <w:jc w:val="center"/>
            </w:pPr>
            <w:r>
              <w:rPr>
                <w:color w:val="000000"/>
                <w:sz w:val="24"/>
                <w:szCs w:val="24"/>
              </w:rPr>
              <w:t>-</w:t>
            </w:r>
          </w:p>
        </w:tc>
        <w:tc>
          <w:tcPr>
            <w:tcW w:w="1492" w:type="dxa"/>
            <w:vAlign w:val="center"/>
          </w:tcPr>
          <w:p w:rsidR="00F72CE1" w:rsidRDefault="00A95B33">
            <w:pPr>
              <w:jc w:val="center"/>
            </w:pPr>
            <w:r>
              <w:rPr>
                <w:color w:val="000000"/>
                <w:sz w:val="24"/>
                <w:szCs w:val="24"/>
              </w:rPr>
              <w:t>-</w:t>
            </w:r>
          </w:p>
        </w:tc>
        <w:tc>
          <w:tcPr>
            <w:tcW w:w="1194" w:type="dxa"/>
            <w:vAlign w:val="center"/>
          </w:tcPr>
          <w:p w:rsidR="00F72CE1" w:rsidRDefault="00A95B33">
            <w:pPr>
              <w:jc w:val="center"/>
            </w:pPr>
            <w:r>
              <w:rPr>
                <w:color w:val="000000"/>
                <w:sz w:val="24"/>
                <w:szCs w:val="24"/>
              </w:rPr>
              <w:t>-</w:t>
            </w:r>
          </w:p>
        </w:tc>
        <w:tc>
          <w:tcPr>
            <w:tcW w:w="898" w:type="dxa"/>
            <w:vAlign w:val="center"/>
          </w:tcPr>
          <w:p w:rsidR="00F72CE1" w:rsidRDefault="00A95B33">
            <w:pPr>
              <w:jc w:val="center"/>
            </w:pPr>
            <w:r>
              <w:rPr>
                <w:color w:val="000000"/>
                <w:sz w:val="24"/>
                <w:szCs w:val="24"/>
              </w:rPr>
              <w:t>-</w:t>
            </w:r>
          </w:p>
        </w:tc>
      </w:tr>
      <w:tr w:rsidR="00F72CE1">
        <w:trPr>
          <w:jc w:val="center"/>
        </w:trPr>
        <w:tc>
          <w:tcPr>
            <w:tcW w:w="1701" w:type="dxa"/>
            <w:vAlign w:val="center"/>
          </w:tcPr>
          <w:p w:rsidR="00F72CE1" w:rsidRDefault="00A95B33">
            <w:pPr>
              <w:jc w:val="left"/>
            </w:pPr>
            <w:r>
              <w:rPr>
                <w:color w:val="000000"/>
                <w:sz w:val="24"/>
                <w:szCs w:val="24"/>
              </w:rPr>
              <w:t>过去五年</w:t>
            </w:r>
          </w:p>
        </w:tc>
        <w:tc>
          <w:tcPr>
            <w:tcW w:w="1045" w:type="dxa"/>
            <w:vAlign w:val="center"/>
          </w:tcPr>
          <w:p w:rsidR="00F72CE1" w:rsidRDefault="00A95B33">
            <w:pPr>
              <w:jc w:val="center"/>
            </w:pPr>
            <w:r>
              <w:rPr>
                <w:color w:val="000000"/>
                <w:sz w:val="24"/>
                <w:szCs w:val="24"/>
              </w:rPr>
              <w:t>-</w:t>
            </w:r>
          </w:p>
        </w:tc>
        <w:tc>
          <w:tcPr>
            <w:tcW w:w="1344" w:type="dxa"/>
            <w:vAlign w:val="center"/>
          </w:tcPr>
          <w:p w:rsidR="00F72CE1" w:rsidRDefault="00A95B33">
            <w:pPr>
              <w:jc w:val="center"/>
            </w:pPr>
            <w:r>
              <w:rPr>
                <w:color w:val="000000"/>
                <w:sz w:val="24"/>
                <w:szCs w:val="24"/>
              </w:rPr>
              <w:t>-</w:t>
            </w:r>
          </w:p>
        </w:tc>
        <w:tc>
          <w:tcPr>
            <w:tcW w:w="1194" w:type="dxa"/>
            <w:vAlign w:val="center"/>
          </w:tcPr>
          <w:p w:rsidR="00F72CE1" w:rsidRDefault="00A95B33">
            <w:pPr>
              <w:jc w:val="center"/>
            </w:pPr>
            <w:r>
              <w:rPr>
                <w:color w:val="000000"/>
                <w:sz w:val="24"/>
                <w:szCs w:val="24"/>
              </w:rPr>
              <w:t>-</w:t>
            </w:r>
          </w:p>
        </w:tc>
        <w:tc>
          <w:tcPr>
            <w:tcW w:w="1492" w:type="dxa"/>
            <w:vAlign w:val="center"/>
          </w:tcPr>
          <w:p w:rsidR="00F72CE1" w:rsidRDefault="00A95B33">
            <w:pPr>
              <w:jc w:val="center"/>
            </w:pPr>
            <w:r>
              <w:rPr>
                <w:color w:val="000000"/>
                <w:sz w:val="24"/>
                <w:szCs w:val="24"/>
              </w:rPr>
              <w:t>-</w:t>
            </w:r>
          </w:p>
        </w:tc>
        <w:tc>
          <w:tcPr>
            <w:tcW w:w="1194" w:type="dxa"/>
            <w:vAlign w:val="center"/>
          </w:tcPr>
          <w:p w:rsidR="00F72CE1" w:rsidRDefault="00A95B33">
            <w:pPr>
              <w:jc w:val="center"/>
            </w:pPr>
            <w:r>
              <w:rPr>
                <w:color w:val="000000"/>
                <w:sz w:val="24"/>
                <w:szCs w:val="24"/>
              </w:rPr>
              <w:t>-</w:t>
            </w:r>
          </w:p>
        </w:tc>
        <w:tc>
          <w:tcPr>
            <w:tcW w:w="898" w:type="dxa"/>
            <w:vAlign w:val="center"/>
          </w:tcPr>
          <w:p w:rsidR="00F72CE1" w:rsidRDefault="00A95B33">
            <w:pPr>
              <w:jc w:val="center"/>
            </w:pPr>
            <w:r>
              <w:rPr>
                <w:color w:val="000000"/>
                <w:sz w:val="24"/>
                <w:szCs w:val="24"/>
              </w:rPr>
              <w:t>-</w:t>
            </w:r>
          </w:p>
        </w:tc>
      </w:tr>
      <w:tr w:rsidR="00F72CE1">
        <w:trPr>
          <w:jc w:val="center"/>
        </w:trPr>
        <w:tc>
          <w:tcPr>
            <w:tcW w:w="1701" w:type="dxa"/>
            <w:vAlign w:val="center"/>
          </w:tcPr>
          <w:p w:rsidR="00F72CE1" w:rsidRDefault="00A95B33">
            <w:pPr>
              <w:jc w:val="left"/>
            </w:pPr>
            <w:r>
              <w:rPr>
                <w:color w:val="000000"/>
                <w:sz w:val="24"/>
                <w:szCs w:val="24"/>
              </w:rPr>
              <w:t>自基金合同生效起至今</w:t>
            </w:r>
          </w:p>
        </w:tc>
        <w:tc>
          <w:tcPr>
            <w:tcW w:w="1045" w:type="dxa"/>
            <w:vAlign w:val="center"/>
          </w:tcPr>
          <w:p w:rsidR="00F72CE1" w:rsidRDefault="00A95B33">
            <w:pPr>
              <w:jc w:val="center"/>
            </w:pPr>
            <w:r>
              <w:rPr>
                <w:color w:val="000000"/>
                <w:sz w:val="24"/>
                <w:szCs w:val="24"/>
              </w:rPr>
              <w:t>33.76%</w:t>
            </w:r>
          </w:p>
        </w:tc>
        <w:tc>
          <w:tcPr>
            <w:tcW w:w="1344" w:type="dxa"/>
            <w:vAlign w:val="center"/>
          </w:tcPr>
          <w:p w:rsidR="00F72CE1" w:rsidRDefault="00A95B33">
            <w:pPr>
              <w:jc w:val="center"/>
            </w:pPr>
            <w:r>
              <w:rPr>
                <w:color w:val="000000"/>
                <w:sz w:val="24"/>
                <w:szCs w:val="24"/>
              </w:rPr>
              <w:t>0.75%</w:t>
            </w:r>
          </w:p>
        </w:tc>
        <w:tc>
          <w:tcPr>
            <w:tcW w:w="1194" w:type="dxa"/>
            <w:vAlign w:val="center"/>
          </w:tcPr>
          <w:p w:rsidR="00F72CE1" w:rsidRDefault="00A95B33">
            <w:pPr>
              <w:jc w:val="center"/>
            </w:pPr>
            <w:r>
              <w:rPr>
                <w:color w:val="000000"/>
                <w:sz w:val="24"/>
                <w:szCs w:val="24"/>
              </w:rPr>
              <w:t>23.43%</w:t>
            </w:r>
          </w:p>
        </w:tc>
        <w:tc>
          <w:tcPr>
            <w:tcW w:w="1492" w:type="dxa"/>
            <w:vAlign w:val="center"/>
          </w:tcPr>
          <w:p w:rsidR="00F72CE1" w:rsidRDefault="00A95B33">
            <w:pPr>
              <w:jc w:val="center"/>
            </w:pPr>
            <w:r>
              <w:rPr>
                <w:color w:val="000000"/>
                <w:sz w:val="24"/>
                <w:szCs w:val="24"/>
              </w:rPr>
              <w:t>0.85%</w:t>
            </w:r>
          </w:p>
        </w:tc>
        <w:tc>
          <w:tcPr>
            <w:tcW w:w="1194" w:type="dxa"/>
            <w:vAlign w:val="center"/>
          </w:tcPr>
          <w:p w:rsidR="00F72CE1" w:rsidRDefault="00A95B33">
            <w:pPr>
              <w:jc w:val="center"/>
            </w:pPr>
            <w:r>
              <w:rPr>
                <w:color w:val="000000"/>
                <w:sz w:val="24"/>
                <w:szCs w:val="24"/>
              </w:rPr>
              <w:t>10.33%</w:t>
            </w:r>
          </w:p>
        </w:tc>
        <w:tc>
          <w:tcPr>
            <w:tcW w:w="898" w:type="dxa"/>
            <w:vAlign w:val="center"/>
          </w:tcPr>
          <w:p w:rsidR="00F72CE1" w:rsidRDefault="00A95B33">
            <w:pPr>
              <w:jc w:val="center"/>
            </w:pPr>
            <w:r>
              <w:rPr>
                <w:color w:val="000000"/>
                <w:sz w:val="24"/>
                <w:szCs w:val="24"/>
              </w:rPr>
              <w:t>-0.10%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上投摩根尚睿混合型基金中基金</w:t>
      </w:r>
      <w:r w:rsidRPr="00414345">
        <w:rPr>
          <w:color w:val="000000"/>
          <w:sz w:val="24"/>
          <w:szCs w:val="24"/>
        </w:rPr>
        <w:t>(FOF)</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701EE165" wp14:editId="6BB9C99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F72CE1" w:rsidRDefault="00A95B33">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15</w:t>
      </w:r>
      <w:r>
        <w:rPr>
          <w:color w:val="000000"/>
          <w:sz w:val="24"/>
          <w:szCs w:val="24"/>
        </w:rPr>
        <w:t>日，图示时间段为</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15</w:t>
      </w:r>
      <w:r>
        <w:rPr>
          <w:color w:val="000000"/>
          <w:sz w:val="24"/>
          <w:szCs w:val="24"/>
        </w:rPr>
        <w:t>日至</w:t>
      </w:r>
      <w:r>
        <w:rPr>
          <w:color w:val="000000"/>
          <w:sz w:val="24"/>
          <w:szCs w:val="24"/>
        </w:rPr>
        <w:t>2020</w:t>
      </w:r>
      <w:r>
        <w:rPr>
          <w:color w:val="000000"/>
          <w:sz w:val="24"/>
          <w:szCs w:val="24"/>
        </w:rPr>
        <w:t>年</w:t>
      </w:r>
      <w:r>
        <w:rPr>
          <w:color w:val="000000"/>
          <w:sz w:val="24"/>
          <w:szCs w:val="24"/>
        </w:rPr>
        <w:t>9</w:t>
      </w:r>
      <w:r>
        <w:rPr>
          <w:color w:val="000000"/>
          <w:sz w:val="24"/>
          <w:szCs w:val="24"/>
        </w:rPr>
        <w:t>月</w:t>
      </w:r>
      <w:r>
        <w:rPr>
          <w:color w:val="000000"/>
          <w:sz w:val="24"/>
          <w:szCs w:val="24"/>
        </w:rPr>
        <w:t>30</w:t>
      </w:r>
      <w:r>
        <w:rPr>
          <w:color w:val="000000"/>
          <w:sz w:val="24"/>
          <w:szCs w:val="24"/>
        </w:rPr>
        <w:t>日。</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本基金建仓期自</w:t>
      </w:r>
      <w:r w:rsidRPr="00414345">
        <w:rPr>
          <w:color w:val="000000"/>
          <w:sz w:val="24"/>
          <w:szCs w:val="24"/>
        </w:rPr>
        <w:t>2018</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15</w:t>
      </w:r>
      <w:r w:rsidRPr="00414345">
        <w:rPr>
          <w:color w:val="000000"/>
          <w:sz w:val="24"/>
          <w:szCs w:val="24"/>
        </w:rPr>
        <w:t>日至</w:t>
      </w:r>
      <w:r w:rsidRPr="00414345">
        <w:rPr>
          <w:color w:val="000000"/>
          <w:sz w:val="24"/>
          <w:szCs w:val="24"/>
        </w:rPr>
        <w:t>2019</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14</w:t>
      </w:r>
      <w:r w:rsidRPr="00414345">
        <w:rPr>
          <w:color w:val="000000"/>
          <w:sz w:val="24"/>
          <w:szCs w:val="24"/>
        </w:rPr>
        <w:t>日，建仓期结束时资产配置比例符合本基金基金合同规定。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627E2D" w:rsidRPr="00414345" w:rsidRDefault="00627E2D" w:rsidP="00C15CAC">
      <w:pPr>
        <w:autoSpaceDE w:val="0"/>
        <w:autoSpaceDN w:val="0"/>
        <w:adjustRightInd w:val="0"/>
        <w:spacing w:before="29" w:line="288" w:lineRule="auto"/>
        <w:jc w:val="left"/>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72CE1">
        <w:trPr>
          <w:jc w:val="center"/>
        </w:trPr>
        <w:tc>
          <w:tcPr>
            <w:tcW w:w="846" w:type="dxa"/>
            <w:vAlign w:val="center"/>
          </w:tcPr>
          <w:p w:rsidR="00F72CE1" w:rsidRDefault="00A95B33">
            <w:pPr>
              <w:jc w:val="center"/>
            </w:pPr>
            <w:r>
              <w:rPr>
                <w:color w:val="000000"/>
                <w:sz w:val="24"/>
                <w:szCs w:val="24"/>
              </w:rPr>
              <w:t>刘凌云</w:t>
            </w:r>
          </w:p>
        </w:tc>
        <w:tc>
          <w:tcPr>
            <w:tcW w:w="845" w:type="dxa"/>
            <w:vAlign w:val="center"/>
          </w:tcPr>
          <w:p w:rsidR="00F72CE1" w:rsidRDefault="00A95B33">
            <w:pPr>
              <w:jc w:val="center"/>
            </w:pPr>
            <w:r>
              <w:rPr>
                <w:color w:val="000000"/>
                <w:sz w:val="24"/>
                <w:szCs w:val="24"/>
              </w:rPr>
              <w:t>本基金基金经理、组合基金投资部总监</w:t>
            </w:r>
          </w:p>
        </w:tc>
        <w:tc>
          <w:tcPr>
            <w:tcW w:w="1549" w:type="dxa"/>
            <w:vAlign w:val="center"/>
          </w:tcPr>
          <w:p w:rsidR="00F72CE1" w:rsidRDefault="00A95B33">
            <w:pPr>
              <w:jc w:val="center"/>
            </w:pPr>
            <w:r>
              <w:rPr>
                <w:color w:val="000000"/>
                <w:sz w:val="24"/>
                <w:szCs w:val="24"/>
              </w:rPr>
              <w:t>2018-08-15</w:t>
            </w:r>
          </w:p>
        </w:tc>
        <w:tc>
          <w:tcPr>
            <w:tcW w:w="1548" w:type="dxa"/>
            <w:vAlign w:val="center"/>
          </w:tcPr>
          <w:p w:rsidR="00F72CE1" w:rsidRDefault="00A95B33">
            <w:pPr>
              <w:jc w:val="center"/>
            </w:pPr>
            <w:r>
              <w:rPr>
                <w:color w:val="000000"/>
                <w:sz w:val="24"/>
                <w:szCs w:val="24"/>
              </w:rPr>
              <w:t>-</w:t>
            </w:r>
          </w:p>
        </w:tc>
        <w:tc>
          <w:tcPr>
            <w:tcW w:w="1407" w:type="dxa"/>
            <w:vAlign w:val="center"/>
          </w:tcPr>
          <w:p w:rsidR="00F72CE1" w:rsidRDefault="00A95B33">
            <w:pPr>
              <w:jc w:val="center"/>
            </w:pPr>
            <w:r>
              <w:rPr>
                <w:color w:val="000000"/>
                <w:sz w:val="24"/>
                <w:szCs w:val="24"/>
              </w:rPr>
              <w:t>12</w:t>
            </w:r>
            <w:r>
              <w:rPr>
                <w:color w:val="000000"/>
                <w:sz w:val="24"/>
                <w:szCs w:val="24"/>
              </w:rPr>
              <w:t>年</w:t>
            </w:r>
          </w:p>
        </w:tc>
        <w:tc>
          <w:tcPr>
            <w:tcW w:w="2673" w:type="dxa"/>
            <w:vAlign w:val="center"/>
          </w:tcPr>
          <w:p w:rsidR="00F72CE1" w:rsidRDefault="00A95B33">
            <w:r>
              <w:rPr>
                <w:color w:val="000000"/>
                <w:sz w:val="24"/>
                <w:szCs w:val="24"/>
              </w:rPr>
              <w:t>刘凌云女士，上海社会科学院经济学博士。自</w:t>
            </w:r>
            <w:r>
              <w:rPr>
                <w:color w:val="000000"/>
                <w:sz w:val="24"/>
                <w:szCs w:val="24"/>
              </w:rPr>
              <w:t>2008</w:t>
            </w:r>
            <w:r>
              <w:rPr>
                <w:color w:val="000000"/>
                <w:sz w:val="24"/>
                <w:szCs w:val="24"/>
              </w:rPr>
              <w:t>年</w:t>
            </w:r>
            <w:r>
              <w:rPr>
                <w:color w:val="000000"/>
                <w:sz w:val="24"/>
                <w:szCs w:val="24"/>
              </w:rPr>
              <w:t>6</w:t>
            </w:r>
            <w:r>
              <w:rPr>
                <w:color w:val="000000"/>
                <w:sz w:val="24"/>
                <w:szCs w:val="24"/>
              </w:rPr>
              <w:t>月至</w:t>
            </w:r>
            <w:r>
              <w:rPr>
                <w:color w:val="000000"/>
                <w:sz w:val="24"/>
                <w:szCs w:val="24"/>
              </w:rPr>
              <w:t>2009</w:t>
            </w:r>
            <w:r>
              <w:rPr>
                <w:color w:val="000000"/>
                <w:sz w:val="24"/>
                <w:szCs w:val="24"/>
              </w:rPr>
              <w:t>年</w:t>
            </w:r>
            <w:r>
              <w:rPr>
                <w:color w:val="000000"/>
                <w:sz w:val="24"/>
                <w:szCs w:val="24"/>
              </w:rPr>
              <w:t>7</w:t>
            </w:r>
            <w:r>
              <w:rPr>
                <w:color w:val="000000"/>
                <w:sz w:val="24"/>
                <w:szCs w:val="24"/>
              </w:rPr>
              <w:t>月，在中海基金管理有限公司担任产品研发经理，负责策略及产品设计；自</w:t>
            </w:r>
            <w:r>
              <w:rPr>
                <w:color w:val="000000"/>
                <w:sz w:val="24"/>
                <w:szCs w:val="24"/>
              </w:rPr>
              <w:t>2009</w:t>
            </w:r>
            <w:r>
              <w:rPr>
                <w:color w:val="000000"/>
                <w:sz w:val="24"/>
                <w:szCs w:val="24"/>
              </w:rPr>
              <w:t>年</w:t>
            </w:r>
            <w:r>
              <w:rPr>
                <w:color w:val="000000"/>
                <w:sz w:val="24"/>
                <w:szCs w:val="24"/>
              </w:rPr>
              <w:t>7</w:t>
            </w:r>
            <w:r>
              <w:rPr>
                <w:color w:val="000000"/>
                <w:sz w:val="24"/>
                <w:szCs w:val="24"/>
              </w:rPr>
              <w:t>月起加入上投摩根基金管理有限公司，历任产品经理、高级投资组合经理、客户投资组合总监，现任组合基金投资部总监兼基金经理；自</w:t>
            </w:r>
            <w:r>
              <w:rPr>
                <w:color w:val="000000"/>
                <w:sz w:val="24"/>
                <w:szCs w:val="24"/>
              </w:rPr>
              <w:t>2018</w:t>
            </w:r>
            <w:r>
              <w:rPr>
                <w:color w:val="000000"/>
                <w:sz w:val="24"/>
                <w:szCs w:val="24"/>
              </w:rPr>
              <w:t>年</w:t>
            </w:r>
            <w:r>
              <w:rPr>
                <w:color w:val="000000"/>
                <w:sz w:val="24"/>
                <w:szCs w:val="24"/>
              </w:rPr>
              <w:t>8</w:t>
            </w:r>
            <w:r>
              <w:rPr>
                <w:color w:val="000000"/>
                <w:sz w:val="24"/>
                <w:szCs w:val="24"/>
              </w:rPr>
              <w:t>月起担任上投摩根尚睿混合型基金中基金（</w:t>
            </w:r>
            <w:r>
              <w:rPr>
                <w:color w:val="000000"/>
                <w:sz w:val="24"/>
                <w:szCs w:val="24"/>
              </w:rPr>
              <w:t>FOF</w:t>
            </w:r>
            <w:r>
              <w:rPr>
                <w:color w:val="000000"/>
                <w:sz w:val="24"/>
                <w:szCs w:val="24"/>
              </w:rPr>
              <w:t>）基金经理。</w:t>
            </w:r>
          </w:p>
        </w:tc>
      </w:tr>
      <w:tr w:rsidR="00F72CE1">
        <w:trPr>
          <w:jc w:val="center"/>
        </w:trPr>
        <w:tc>
          <w:tcPr>
            <w:tcW w:w="846" w:type="dxa"/>
            <w:vAlign w:val="center"/>
          </w:tcPr>
          <w:p w:rsidR="00F72CE1" w:rsidRDefault="00A95B33">
            <w:pPr>
              <w:jc w:val="center"/>
            </w:pPr>
            <w:r>
              <w:rPr>
                <w:color w:val="000000"/>
                <w:sz w:val="24"/>
                <w:szCs w:val="24"/>
              </w:rPr>
              <w:t>孟鸣</w:t>
            </w:r>
          </w:p>
        </w:tc>
        <w:tc>
          <w:tcPr>
            <w:tcW w:w="845" w:type="dxa"/>
            <w:vAlign w:val="center"/>
          </w:tcPr>
          <w:p w:rsidR="00F72CE1" w:rsidRDefault="00A95B33">
            <w:pPr>
              <w:jc w:val="center"/>
            </w:pPr>
            <w:r>
              <w:rPr>
                <w:color w:val="000000"/>
                <w:sz w:val="24"/>
                <w:szCs w:val="24"/>
              </w:rPr>
              <w:t>本基金基金经理</w:t>
            </w:r>
          </w:p>
        </w:tc>
        <w:tc>
          <w:tcPr>
            <w:tcW w:w="1549" w:type="dxa"/>
            <w:vAlign w:val="center"/>
          </w:tcPr>
          <w:p w:rsidR="00F72CE1" w:rsidRDefault="00A95B33">
            <w:pPr>
              <w:jc w:val="center"/>
            </w:pPr>
            <w:r>
              <w:rPr>
                <w:color w:val="000000"/>
                <w:sz w:val="24"/>
                <w:szCs w:val="24"/>
              </w:rPr>
              <w:t>2018-08-15</w:t>
            </w:r>
          </w:p>
        </w:tc>
        <w:tc>
          <w:tcPr>
            <w:tcW w:w="1548" w:type="dxa"/>
            <w:vAlign w:val="center"/>
          </w:tcPr>
          <w:p w:rsidR="00F72CE1" w:rsidRDefault="00A95B33">
            <w:pPr>
              <w:jc w:val="center"/>
            </w:pPr>
            <w:r>
              <w:rPr>
                <w:color w:val="000000"/>
                <w:sz w:val="24"/>
                <w:szCs w:val="24"/>
              </w:rPr>
              <w:t>-</w:t>
            </w:r>
          </w:p>
        </w:tc>
        <w:tc>
          <w:tcPr>
            <w:tcW w:w="1407" w:type="dxa"/>
            <w:vAlign w:val="center"/>
          </w:tcPr>
          <w:p w:rsidR="00F72CE1" w:rsidRDefault="00A95B33">
            <w:pPr>
              <w:jc w:val="center"/>
            </w:pPr>
            <w:r>
              <w:rPr>
                <w:color w:val="000000"/>
                <w:sz w:val="24"/>
                <w:szCs w:val="24"/>
              </w:rPr>
              <w:t>14</w:t>
            </w:r>
            <w:r>
              <w:rPr>
                <w:color w:val="000000"/>
                <w:sz w:val="24"/>
                <w:szCs w:val="24"/>
              </w:rPr>
              <w:t>年</w:t>
            </w:r>
          </w:p>
        </w:tc>
        <w:tc>
          <w:tcPr>
            <w:tcW w:w="2673" w:type="dxa"/>
            <w:vAlign w:val="center"/>
          </w:tcPr>
          <w:p w:rsidR="00F72CE1" w:rsidRDefault="00A95B33">
            <w:r>
              <w:rPr>
                <w:color w:val="000000"/>
                <w:sz w:val="24"/>
                <w:szCs w:val="24"/>
              </w:rPr>
              <w:t>孟鸣先生，上海外国语大学日本文化经济本科。自</w:t>
            </w:r>
            <w:r>
              <w:rPr>
                <w:color w:val="000000"/>
                <w:sz w:val="24"/>
                <w:szCs w:val="24"/>
              </w:rPr>
              <w:t>2001</w:t>
            </w:r>
            <w:r>
              <w:rPr>
                <w:color w:val="000000"/>
                <w:sz w:val="24"/>
                <w:szCs w:val="24"/>
              </w:rPr>
              <w:t>年</w:t>
            </w:r>
            <w:r>
              <w:rPr>
                <w:color w:val="000000"/>
                <w:sz w:val="24"/>
                <w:szCs w:val="24"/>
              </w:rPr>
              <w:t>6</w:t>
            </w:r>
            <w:r>
              <w:rPr>
                <w:color w:val="000000"/>
                <w:sz w:val="24"/>
                <w:szCs w:val="24"/>
              </w:rPr>
              <w:t>月至</w:t>
            </w:r>
            <w:r>
              <w:rPr>
                <w:color w:val="000000"/>
                <w:sz w:val="24"/>
                <w:szCs w:val="24"/>
              </w:rPr>
              <w:t>2003</w:t>
            </w:r>
            <w:r>
              <w:rPr>
                <w:color w:val="000000"/>
                <w:sz w:val="24"/>
                <w:szCs w:val="24"/>
              </w:rPr>
              <w:t>年</w:t>
            </w:r>
            <w:r>
              <w:rPr>
                <w:color w:val="000000"/>
                <w:sz w:val="24"/>
                <w:szCs w:val="24"/>
              </w:rPr>
              <w:t>7</w:t>
            </w:r>
            <w:r>
              <w:rPr>
                <w:color w:val="000000"/>
                <w:sz w:val="24"/>
                <w:szCs w:val="24"/>
              </w:rPr>
              <w:t>月，在三菱</w:t>
            </w:r>
            <w:r>
              <w:rPr>
                <w:color w:val="000000"/>
                <w:sz w:val="24"/>
                <w:szCs w:val="24"/>
              </w:rPr>
              <w:t>UFJ</w:t>
            </w:r>
            <w:r>
              <w:rPr>
                <w:color w:val="000000"/>
                <w:sz w:val="24"/>
                <w:szCs w:val="24"/>
              </w:rPr>
              <w:t>银行担任职员；自</w:t>
            </w:r>
            <w:r>
              <w:rPr>
                <w:color w:val="000000"/>
                <w:sz w:val="24"/>
                <w:szCs w:val="24"/>
              </w:rPr>
              <w:t>2003</w:t>
            </w:r>
            <w:r>
              <w:rPr>
                <w:color w:val="000000"/>
                <w:sz w:val="24"/>
                <w:szCs w:val="24"/>
              </w:rPr>
              <w:t>年</w:t>
            </w:r>
            <w:r>
              <w:rPr>
                <w:color w:val="000000"/>
                <w:sz w:val="24"/>
                <w:szCs w:val="24"/>
              </w:rPr>
              <w:t>8</w:t>
            </w:r>
            <w:r>
              <w:rPr>
                <w:color w:val="000000"/>
                <w:sz w:val="24"/>
                <w:szCs w:val="24"/>
              </w:rPr>
              <w:t>月至</w:t>
            </w:r>
            <w:r>
              <w:rPr>
                <w:color w:val="000000"/>
                <w:sz w:val="24"/>
                <w:szCs w:val="24"/>
              </w:rPr>
              <w:t>2004</w:t>
            </w:r>
            <w:r>
              <w:rPr>
                <w:color w:val="000000"/>
                <w:sz w:val="24"/>
                <w:szCs w:val="24"/>
              </w:rPr>
              <w:t>年</w:t>
            </w:r>
            <w:r>
              <w:rPr>
                <w:color w:val="000000"/>
                <w:sz w:val="24"/>
                <w:szCs w:val="24"/>
              </w:rPr>
              <w:t>10</w:t>
            </w:r>
            <w:r>
              <w:rPr>
                <w:color w:val="000000"/>
                <w:sz w:val="24"/>
                <w:szCs w:val="24"/>
              </w:rPr>
              <w:t>月，在麦肯光明传播集团担任客户经理；自</w:t>
            </w:r>
            <w:r>
              <w:rPr>
                <w:color w:val="000000"/>
                <w:sz w:val="24"/>
                <w:szCs w:val="24"/>
              </w:rPr>
              <w:t>2004</w:t>
            </w:r>
            <w:r>
              <w:rPr>
                <w:color w:val="000000"/>
                <w:sz w:val="24"/>
                <w:szCs w:val="24"/>
              </w:rPr>
              <w:t>年</w:t>
            </w:r>
            <w:r>
              <w:rPr>
                <w:color w:val="000000"/>
                <w:sz w:val="24"/>
                <w:szCs w:val="24"/>
              </w:rPr>
              <w:t>10</w:t>
            </w:r>
            <w:r>
              <w:rPr>
                <w:color w:val="000000"/>
                <w:sz w:val="24"/>
                <w:szCs w:val="24"/>
              </w:rPr>
              <w:t>月加入埃森哲，</w:t>
            </w:r>
            <w:r>
              <w:rPr>
                <w:color w:val="000000"/>
                <w:sz w:val="24"/>
                <w:szCs w:val="24"/>
              </w:rPr>
              <w:t>2004</w:t>
            </w:r>
            <w:r>
              <w:rPr>
                <w:color w:val="000000"/>
                <w:sz w:val="24"/>
                <w:szCs w:val="24"/>
              </w:rPr>
              <w:t>年</w:t>
            </w:r>
            <w:r>
              <w:rPr>
                <w:color w:val="000000"/>
                <w:sz w:val="24"/>
                <w:szCs w:val="24"/>
              </w:rPr>
              <w:t>10</w:t>
            </w:r>
            <w:r>
              <w:rPr>
                <w:color w:val="000000"/>
                <w:sz w:val="24"/>
                <w:szCs w:val="24"/>
              </w:rPr>
              <w:t>月至</w:t>
            </w:r>
            <w:r>
              <w:rPr>
                <w:color w:val="000000"/>
                <w:sz w:val="24"/>
                <w:szCs w:val="24"/>
              </w:rPr>
              <w:t>2006</w:t>
            </w:r>
            <w:r>
              <w:rPr>
                <w:color w:val="000000"/>
                <w:sz w:val="24"/>
                <w:szCs w:val="24"/>
              </w:rPr>
              <w:t>年</w:t>
            </w:r>
            <w:r>
              <w:rPr>
                <w:color w:val="000000"/>
                <w:sz w:val="24"/>
                <w:szCs w:val="24"/>
              </w:rPr>
              <w:t>8</w:t>
            </w:r>
            <w:r>
              <w:rPr>
                <w:color w:val="000000"/>
                <w:sz w:val="24"/>
                <w:szCs w:val="24"/>
              </w:rPr>
              <w:t>月，由埃森哲派出为美国证券托管清算机构服务，担任金融信息咨询部研究组长；自</w:t>
            </w:r>
            <w:r>
              <w:rPr>
                <w:color w:val="000000"/>
                <w:sz w:val="24"/>
                <w:szCs w:val="24"/>
              </w:rPr>
              <w:t>2006</w:t>
            </w:r>
            <w:r>
              <w:rPr>
                <w:color w:val="000000"/>
                <w:sz w:val="24"/>
                <w:szCs w:val="24"/>
              </w:rPr>
              <w:t>年</w:t>
            </w:r>
            <w:r>
              <w:rPr>
                <w:color w:val="000000"/>
                <w:sz w:val="24"/>
                <w:szCs w:val="24"/>
              </w:rPr>
              <w:t>9</w:t>
            </w:r>
            <w:r>
              <w:rPr>
                <w:color w:val="000000"/>
                <w:sz w:val="24"/>
                <w:szCs w:val="24"/>
              </w:rPr>
              <w:t>月到</w:t>
            </w:r>
            <w:r>
              <w:rPr>
                <w:color w:val="000000"/>
                <w:sz w:val="24"/>
                <w:szCs w:val="24"/>
              </w:rPr>
              <w:t>2015</w:t>
            </w:r>
            <w:r>
              <w:rPr>
                <w:color w:val="000000"/>
                <w:sz w:val="24"/>
                <w:szCs w:val="24"/>
              </w:rPr>
              <w:t>年</w:t>
            </w:r>
            <w:r>
              <w:rPr>
                <w:color w:val="000000"/>
                <w:sz w:val="24"/>
                <w:szCs w:val="24"/>
              </w:rPr>
              <w:t>1</w:t>
            </w:r>
            <w:r>
              <w:rPr>
                <w:color w:val="000000"/>
                <w:sz w:val="24"/>
                <w:szCs w:val="24"/>
              </w:rPr>
              <w:t>月，服务于</w:t>
            </w:r>
            <w:r>
              <w:rPr>
                <w:color w:val="000000"/>
                <w:sz w:val="24"/>
                <w:szCs w:val="24"/>
              </w:rPr>
              <w:lastRenderedPageBreak/>
              <w:t>德意志银行股票研究团队，担任证券研究部部门负责人，其间由于合同关系变更，</w:t>
            </w:r>
            <w:r>
              <w:rPr>
                <w:color w:val="000000"/>
                <w:sz w:val="24"/>
                <w:szCs w:val="24"/>
              </w:rPr>
              <w:t>2013</w:t>
            </w:r>
            <w:r>
              <w:rPr>
                <w:color w:val="000000"/>
                <w:sz w:val="24"/>
                <w:szCs w:val="24"/>
              </w:rPr>
              <w:t>年</w:t>
            </w:r>
            <w:r>
              <w:rPr>
                <w:color w:val="000000"/>
                <w:sz w:val="24"/>
                <w:szCs w:val="24"/>
              </w:rPr>
              <w:t>11</w:t>
            </w:r>
            <w:r>
              <w:rPr>
                <w:color w:val="000000"/>
                <w:sz w:val="24"/>
                <w:szCs w:val="24"/>
              </w:rPr>
              <w:t>月至</w:t>
            </w:r>
            <w:r>
              <w:rPr>
                <w:color w:val="000000"/>
                <w:sz w:val="24"/>
                <w:szCs w:val="24"/>
              </w:rPr>
              <w:t>2015</w:t>
            </w:r>
            <w:r>
              <w:rPr>
                <w:color w:val="000000"/>
                <w:sz w:val="24"/>
                <w:szCs w:val="24"/>
              </w:rPr>
              <w:t>年</w:t>
            </w:r>
            <w:r>
              <w:rPr>
                <w:color w:val="000000"/>
                <w:sz w:val="24"/>
                <w:szCs w:val="24"/>
              </w:rPr>
              <w:t>1</w:t>
            </w:r>
            <w:r>
              <w:rPr>
                <w:color w:val="000000"/>
                <w:sz w:val="24"/>
                <w:szCs w:val="24"/>
              </w:rPr>
              <w:t>月受雇于易唯思商务咨询；自</w:t>
            </w:r>
            <w:r>
              <w:rPr>
                <w:color w:val="000000"/>
                <w:sz w:val="24"/>
                <w:szCs w:val="24"/>
              </w:rPr>
              <w:t>2015</w:t>
            </w:r>
            <w:r>
              <w:rPr>
                <w:color w:val="000000"/>
                <w:sz w:val="24"/>
                <w:szCs w:val="24"/>
              </w:rPr>
              <w:t>年</w:t>
            </w:r>
            <w:r>
              <w:rPr>
                <w:color w:val="000000"/>
                <w:sz w:val="24"/>
                <w:szCs w:val="24"/>
              </w:rPr>
              <w:t>1</w:t>
            </w:r>
            <w:r>
              <w:rPr>
                <w:color w:val="000000"/>
                <w:sz w:val="24"/>
                <w:szCs w:val="24"/>
              </w:rPr>
              <w:t>月起加入上投摩根基金管理有限公司，历任公司高级投资组合经理、资深投资组合经理、基金经理；自</w:t>
            </w:r>
            <w:r>
              <w:rPr>
                <w:color w:val="000000"/>
                <w:sz w:val="24"/>
                <w:szCs w:val="24"/>
              </w:rPr>
              <w:t>2018</w:t>
            </w:r>
            <w:r>
              <w:rPr>
                <w:color w:val="000000"/>
                <w:sz w:val="24"/>
                <w:szCs w:val="24"/>
              </w:rPr>
              <w:t>年</w:t>
            </w:r>
            <w:r>
              <w:rPr>
                <w:color w:val="000000"/>
                <w:sz w:val="24"/>
                <w:szCs w:val="24"/>
              </w:rPr>
              <w:t>8</w:t>
            </w:r>
            <w:r>
              <w:rPr>
                <w:color w:val="000000"/>
                <w:sz w:val="24"/>
                <w:szCs w:val="24"/>
              </w:rPr>
              <w:t>月起担任上投摩根尚睿混合型基金中基金（</w:t>
            </w:r>
            <w:r>
              <w:rPr>
                <w:color w:val="000000"/>
                <w:sz w:val="24"/>
                <w:szCs w:val="24"/>
              </w:rPr>
              <w:t>FOF</w:t>
            </w:r>
            <w:r>
              <w:rPr>
                <w:color w:val="000000"/>
                <w:sz w:val="24"/>
                <w:szCs w:val="24"/>
              </w:rPr>
              <w:t>）基金经理。</w:t>
            </w:r>
          </w:p>
        </w:tc>
      </w:tr>
    </w:tbl>
    <w:p w:rsidR="00F72CE1" w:rsidRDefault="00A95B33">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 xml:space="preserve">1. </w:t>
      </w:r>
      <w:r>
        <w:rPr>
          <w:color w:val="000000"/>
          <w:sz w:val="24"/>
          <w:szCs w:val="24"/>
        </w:rPr>
        <w:t>任职日期和离任日期均指根据公司决定确定的聘任日期和解聘日期。</w:t>
      </w:r>
    </w:p>
    <w:p w:rsidR="00F72CE1" w:rsidRDefault="00A95B33">
      <w:pPr>
        <w:autoSpaceDE w:val="0"/>
        <w:autoSpaceDN w:val="0"/>
        <w:adjustRightInd w:val="0"/>
        <w:spacing w:before="29" w:line="288" w:lineRule="auto"/>
        <w:jc w:val="left"/>
        <w:rPr>
          <w:color w:val="000000"/>
          <w:sz w:val="24"/>
          <w:szCs w:val="24"/>
        </w:rPr>
      </w:pPr>
      <w:r>
        <w:rPr>
          <w:color w:val="000000"/>
          <w:sz w:val="24"/>
          <w:szCs w:val="24"/>
        </w:rPr>
        <w:t xml:space="preserve">2. </w:t>
      </w:r>
      <w:r>
        <w:rPr>
          <w:color w:val="000000"/>
          <w:sz w:val="24"/>
          <w:szCs w:val="24"/>
        </w:rPr>
        <w:t>孟鸣先生、刘凌云女士为本基金首任基金经理，其任职日期为本基金基金合同生效之日；</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3. </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在本报告期内，基金管理人不存在损害基金份额持有人利益的行为，勤勉尽责地为基金份额持有人谋求利益。基金管理人遵守了《证券投资基金法》及其他有关法律法规、《上投摩根尚睿混合型基金中基金</w:t>
      </w:r>
      <w:r w:rsidRPr="00414345">
        <w:rPr>
          <w:color w:val="000000"/>
          <w:sz w:val="24"/>
          <w:szCs w:val="24"/>
        </w:rPr>
        <w:t>(FOF)</w:t>
      </w:r>
      <w:r w:rsidRPr="00414345">
        <w:rPr>
          <w:color w:val="000000"/>
          <w:sz w:val="24"/>
          <w:szCs w:val="24"/>
        </w:rPr>
        <w:t>基金合同》的规定。基金经理对个股和投资组合的比例遵循了投资决策委员会的授权限制，基金投资比例符合基金合同和法律法规的要求。</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72CE1" w:rsidRDefault="00A95B33">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72CE1" w:rsidRDefault="00A95B33">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w:t>
      </w:r>
      <w:r w:rsidRPr="00414345">
        <w:rPr>
          <w:color w:val="000000"/>
          <w:sz w:val="24"/>
          <w:szCs w:val="24"/>
        </w:rPr>
        <w:lastRenderedPageBreak/>
        <w:t>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F72CE1" w:rsidRDefault="00A95B33">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72CE1" w:rsidRDefault="00A95B33">
      <w:pPr>
        <w:spacing w:before="29" w:line="288" w:lineRule="auto"/>
        <w:ind w:firstLineChars="200" w:firstLine="480"/>
        <w:rPr>
          <w:color w:val="000000"/>
          <w:sz w:val="24"/>
          <w:szCs w:val="24"/>
        </w:rPr>
      </w:pPr>
      <w:r>
        <w:rPr>
          <w:color w:val="000000"/>
          <w:sz w:val="24"/>
          <w:szCs w:val="24"/>
        </w:rPr>
        <w:t>目前新冠疫情对市场的影响边际逐步降低，在经历了二季度的修复行情后，</w:t>
      </w:r>
      <w:r>
        <w:rPr>
          <w:color w:val="000000"/>
          <w:sz w:val="24"/>
          <w:szCs w:val="24"/>
        </w:rPr>
        <w:t>A</w:t>
      </w:r>
      <w:r>
        <w:rPr>
          <w:color w:val="000000"/>
          <w:sz w:val="24"/>
          <w:szCs w:val="24"/>
        </w:rPr>
        <w:t>股在三季度前期滞涨的低估值蓝筹的引领下出现了加速修复，上证综指（</w:t>
      </w:r>
      <w:r>
        <w:rPr>
          <w:color w:val="000000"/>
          <w:sz w:val="24"/>
          <w:szCs w:val="24"/>
        </w:rPr>
        <w:t>+7.8%</w:t>
      </w:r>
      <w:r>
        <w:rPr>
          <w:color w:val="000000"/>
          <w:sz w:val="24"/>
          <w:szCs w:val="24"/>
        </w:rPr>
        <w:t>）表现优于创业板指（</w:t>
      </w:r>
      <w:r>
        <w:rPr>
          <w:color w:val="000000"/>
          <w:sz w:val="24"/>
          <w:szCs w:val="24"/>
        </w:rPr>
        <w:t>+5.6%</w:t>
      </w:r>
      <w:r>
        <w:rPr>
          <w:color w:val="000000"/>
          <w:sz w:val="24"/>
          <w:szCs w:val="24"/>
        </w:rPr>
        <w:t>），表现突出的板块包含休闲服务、国防军工、电气设备及券商。美股也延续了二季度的反弹，由于疫情影响不大，并且受益于流动性，科技股带领纳斯达克指数还创出了历史新高。债券市场上，由于国债利率并未出现明显的下降，且宽松预期有所降温，债券类资产在二季度表现平平。</w:t>
      </w:r>
    </w:p>
    <w:p w:rsidR="00F72CE1" w:rsidRDefault="00A95B33">
      <w:pPr>
        <w:spacing w:before="29" w:line="288" w:lineRule="auto"/>
        <w:ind w:firstLineChars="200" w:firstLine="480"/>
        <w:rPr>
          <w:color w:val="000000"/>
          <w:sz w:val="24"/>
          <w:szCs w:val="24"/>
        </w:rPr>
      </w:pPr>
      <w:r>
        <w:rPr>
          <w:color w:val="000000"/>
          <w:sz w:val="24"/>
          <w:szCs w:val="24"/>
        </w:rPr>
        <w:t>在三季度中，由于国内最先控制疫情，本基金对</w:t>
      </w:r>
      <w:r>
        <w:rPr>
          <w:color w:val="000000"/>
          <w:sz w:val="24"/>
          <w:szCs w:val="24"/>
        </w:rPr>
        <w:t>A</w:t>
      </w:r>
      <w:r>
        <w:rPr>
          <w:color w:val="000000"/>
          <w:sz w:val="24"/>
          <w:szCs w:val="24"/>
        </w:rPr>
        <w:t>股进行了超配，并采取了更为均衡的配置方法，兼顾了科技、医药和金融板块，并且在</w:t>
      </w:r>
      <w:r>
        <w:rPr>
          <w:color w:val="000000"/>
          <w:sz w:val="24"/>
          <w:szCs w:val="24"/>
        </w:rPr>
        <w:t>A</w:t>
      </w:r>
      <w:r>
        <w:rPr>
          <w:color w:val="000000"/>
          <w:sz w:val="24"/>
          <w:szCs w:val="24"/>
        </w:rPr>
        <w:t>股低估值蓝筹引领的上涨中进一步提升了收益。海外部分继续保持了对美股和港股的相对低配，出于对海外尚未明显控制疫情的担忧，并未增加海外配置的头寸。黄金的配置考虑前期涨幅较大，适当降低了配置比例。</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随着国内经济逐步恢复，企业盈利景气度逐步修复，盈利的改善将成为推动权益市场上行的重要力量，利率下行空间有限，货币政策回归常态，相对于债券市场而言，股票在资产配置中相对占优。板块而言，上半年成长风格板块占优，科技成长板块依然是我们长期看好的投资机会。低估值及周期板块今年表现落后，参考历史或许在四季度存在修复性的投资机会，对四季度的</w:t>
      </w:r>
      <w:r w:rsidRPr="00414345">
        <w:rPr>
          <w:color w:val="000000"/>
          <w:sz w:val="24"/>
          <w:szCs w:val="24"/>
        </w:rPr>
        <w:t>A</w:t>
      </w:r>
      <w:r w:rsidRPr="00414345">
        <w:rPr>
          <w:color w:val="000000"/>
          <w:sz w:val="24"/>
          <w:szCs w:val="24"/>
        </w:rPr>
        <w:t>股总体表现相对乐观，同时需要注意海外市场波动对国内</w:t>
      </w:r>
      <w:r w:rsidRPr="00414345">
        <w:rPr>
          <w:color w:val="000000"/>
          <w:sz w:val="24"/>
          <w:szCs w:val="24"/>
        </w:rPr>
        <w:t>A</w:t>
      </w:r>
      <w:r w:rsidRPr="00414345">
        <w:rPr>
          <w:color w:val="000000"/>
          <w:sz w:val="24"/>
          <w:szCs w:val="24"/>
        </w:rPr>
        <w:t>股的潜在影响。未来影响海外比较大的不确定性因素包括美国总统大选和美联储的财政政策。总的来说，本基金配置在未来总体依然会保持相对均衡，优化资产类别和区域的组合，保持投资策略的多元性，阶段性超配乐观的资产，继续努力控制下行风险，争取为投资者提供较好的风险调整后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本报告期尚睿</w:t>
      </w:r>
      <w:r w:rsidRPr="00414345">
        <w:rPr>
          <w:color w:val="000000"/>
          <w:sz w:val="24"/>
          <w:szCs w:val="24"/>
        </w:rPr>
        <w:t>FOF</w:t>
      </w:r>
      <w:r w:rsidRPr="00414345">
        <w:rPr>
          <w:color w:val="000000"/>
          <w:sz w:val="24"/>
          <w:szCs w:val="24"/>
        </w:rPr>
        <w:t>份额净值增长率为</w:t>
      </w:r>
      <w:r w:rsidRPr="00414345">
        <w:rPr>
          <w:color w:val="000000"/>
          <w:sz w:val="24"/>
          <w:szCs w:val="24"/>
        </w:rPr>
        <w:t>:5.63%</w:t>
      </w:r>
      <w:r w:rsidRPr="00414345">
        <w:rPr>
          <w:color w:val="000000"/>
          <w:sz w:val="24"/>
          <w:szCs w:val="24"/>
        </w:rPr>
        <w:t>，同期业绩比较基准收益率为</w:t>
      </w:r>
      <w:r w:rsidRPr="00414345">
        <w:rPr>
          <w:color w:val="000000"/>
          <w:sz w:val="24"/>
          <w:szCs w:val="24"/>
        </w:rPr>
        <w:t>:5.19%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无。</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43,400,802.16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86.68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1,998,000.00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1,998,000.00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4,480,905.70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8.95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189,339.39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0.38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50,069,047.25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72CE1">
        <w:trPr>
          <w:jc w:val="center"/>
        </w:trPr>
        <w:tc>
          <w:tcPr>
            <w:tcW w:w="850" w:type="dxa"/>
            <w:vAlign w:val="center"/>
          </w:tcPr>
          <w:p w:rsidR="00F72CE1" w:rsidRDefault="00A95B33">
            <w:pPr>
              <w:jc w:val="center"/>
            </w:pPr>
            <w:r>
              <w:rPr>
                <w:color w:val="000000"/>
                <w:sz w:val="24"/>
                <w:szCs w:val="24"/>
              </w:rPr>
              <w:t>1</w:t>
            </w:r>
          </w:p>
        </w:tc>
        <w:tc>
          <w:tcPr>
            <w:tcW w:w="1475" w:type="dxa"/>
            <w:vAlign w:val="center"/>
          </w:tcPr>
          <w:p w:rsidR="00F72CE1" w:rsidRDefault="00A95B33">
            <w:pPr>
              <w:jc w:val="center"/>
            </w:pPr>
            <w:r>
              <w:rPr>
                <w:color w:val="000000"/>
                <w:sz w:val="24"/>
                <w:szCs w:val="24"/>
              </w:rPr>
              <w:t>019627</w:t>
            </w:r>
          </w:p>
        </w:tc>
        <w:tc>
          <w:tcPr>
            <w:tcW w:w="1769" w:type="dxa"/>
            <w:vAlign w:val="center"/>
          </w:tcPr>
          <w:p w:rsidR="00F72CE1" w:rsidRDefault="00A95B33">
            <w:pPr>
              <w:jc w:val="center"/>
            </w:pPr>
            <w:r>
              <w:rPr>
                <w:color w:val="000000"/>
                <w:sz w:val="24"/>
                <w:szCs w:val="24"/>
              </w:rPr>
              <w:t>20</w:t>
            </w:r>
            <w:r>
              <w:rPr>
                <w:color w:val="000000"/>
                <w:sz w:val="24"/>
                <w:szCs w:val="24"/>
              </w:rPr>
              <w:t>国债</w:t>
            </w:r>
            <w:r>
              <w:rPr>
                <w:color w:val="000000"/>
                <w:sz w:val="24"/>
                <w:szCs w:val="24"/>
              </w:rPr>
              <w:t>01</w:t>
            </w:r>
          </w:p>
        </w:tc>
        <w:tc>
          <w:tcPr>
            <w:tcW w:w="1387" w:type="dxa"/>
            <w:vAlign w:val="center"/>
          </w:tcPr>
          <w:p w:rsidR="00F72CE1" w:rsidRDefault="00A95B33">
            <w:pPr>
              <w:jc w:val="right"/>
            </w:pPr>
            <w:r>
              <w:rPr>
                <w:color w:val="000000"/>
                <w:sz w:val="24"/>
                <w:szCs w:val="24"/>
              </w:rPr>
              <w:t>20,000</w:t>
            </w:r>
          </w:p>
        </w:tc>
        <w:tc>
          <w:tcPr>
            <w:tcW w:w="2150" w:type="dxa"/>
            <w:vAlign w:val="center"/>
          </w:tcPr>
          <w:p w:rsidR="00F72CE1" w:rsidRDefault="00A95B33">
            <w:pPr>
              <w:jc w:val="right"/>
            </w:pPr>
            <w:r>
              <w:rPr>
                <w:color w:val="000000"/>
                <w:sz w:val="24"/>
                <w:szCs w:val="24"/>
              </w:rPr>
              <w:t>1,998,000.00</w:t>
            </w:r>
          </w:p>
        </w:tc>
        <w:tc>
          <w:tcPr>
            <w:tcW w:w="1237" w:type="dxa"/>
            <w:vAlign w:val="center"/>
          </w:tcPr>
          <w:p w:rsidR="00F72CE1" w:rsidRDefault="00A95B33">
            <w:pPr>
              <w:jc w:val="right"/>
            </w:pPr>
            <w:r>
              <w:rPr>
                <w:color w:val="000000"/>
                <w:sz w:val="24"/>
                <w:szCs w:val="24"/>
              </w:rPr>
              <w:t>4.05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5.11.1</w:t>
      </w:r>
      <w:r w:rsidRPr="00BE5388">
        <w:rPr>
          <w:bCs/>
          <w:color w:val="000000"/>
          <w:kern w:val="0"/>
          <w:sz w:val="24"/>
          <w:szCs w:val="24"/>
        </w:rPr>
        <w:t>报告期内本基金投资的前十名证券的发行主体本期没有出现被监管部门立案调查，或在报告编制日前一年内受到公开谴责、处罚的情形。</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13,547.54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35,554.53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0.02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33,190.98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107,046.32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189,339.39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因四舍五入原因</w:t>
      </w:r>
      <w:r w:rsidRPr="00414345">
        <w:rPr>
          <w:color w:val="000000"/>
          <w:sz w:val="24"/>
          <w:szCs w:val="24"/>
        </w:rPr>
        <w:t>,</w:t>
      </w:r>
      <w:r w:rsidRPr="00414345">
        <w:rPr>
          <w:color w:val="000000"/>
          <w:sz w:val="24"/>
          <w:szCs w:val="24"/>
        </w:rPr>
        <w:t>投资组合报告中分项之和与合计可能存在尾差。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7"/>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rsidTr="00CD14C0">
        <w:tc>
          <w:tcPr>
            <w:tcW w:w="452"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w:t>
            </w:r>
            <w:r w:rsidRPr="00575270">
              <w:rPr>
                <w:rFonts w:ascii="Times New Roman" w:hAnsi="Times New Roman" w:cs="Times New Roman"/>
              </w:rPr>
              <w:lastRenderedPageBreak/>
              <w:t>基金</w:t>
            </w:r>
          </w:p>
        </w:tc>
      </w:tr>
      <w:tr w:rsidR="00F72CE1">
        <w:tc>
          <w:tcPr>
            <w:tcW w:w="835" w:type="dxa"/>
            <w:vAlign w:val="center"/>
          </w:tcPr>
          <w:p w:rsidR="00F72CE1" w:rsidRDefault="00A95B33">
            <w:pPr>
              <w:jc w:val="center"/>
            </w:pPr>
            <w:r>
              <w:rPr>
                <w:sz w:val="24"/>
                <w:szCs w:val="24"/>
              </w:rPr>
              <w:lastRenderedPageBreak/>
              <w:t>1</w:t>
            </w:r>
          </w:p>
        </w:tc>
        <w:tc>
          <w:tcPr>
            <w:tcW w:w="1159" w:type="dxa"/>
            <w:vAlign w:val="center"/>
          </w:tcPr>
          <w:p w:rsidR="00F72CE1" w:rsidRDefault="00A95B33">
            <w:pPr>
              <w:jc w:val="center"/>
            </w:pPr>
            <w:r>
              <w:rPr>
                <w:sz w:val="24"/>
                <w:szCs w:val="24"/>
              </w:rPr>
              <w:t>377010</w:t>
            </w:r>
          </w:p>
        </w:tc>
        <w:tc>
          <w:tcPr>
            <w:tcW w:w="1161" w:type="dxa"/>
            <w:vAlign w:val="center"/>
          </w:tcPr>
          <w:p w:rsidR="00F72CE1" w:rsidRDefault="00A95B33">
            <w:pPr>
              <w:jc w:val="center"/>
            </w:pPr>
            <w:r>
              <w:rPr>
                <w:sz w:val="24"/>
                <w:szCs w:val="24"/>
              </w:rPr>
              <w:t>上投摩根阿尔法混合</w:t>
            </w:r>
          </w:p>
        </w:tc>
        <w:tc>
          <w:tcPr>
            <w:tcW w:w="1161" w:type="dxa"/>
            <w:vAlign w:val="center"/>
          </w:tcPr>
          <w:p w:rsidR="00F72CE1" w:rsidRDefault="00A95B33">
            <w:pPr>
              <w:jc w:val="center"/>
            </w:pPr>
            <w:r>
              <w:rPr>
                <w:sz w:val="24"/>
                <w:szCs w:val="24"/>
              </w:rPr>
              <w:t>契约型开放式</w:t>
            </w:r>
          </w:p>
        </w:tc>
        <w:tc>
          <w:tcPr>
            <w:tcW w:w="1159" w:type="dxa"/>
            <w:vAlign w:val="center"/>
          </w:tcPr>
          <w:p w:rsidR="00F72CE1" w:rsidRDefault="00A95B33">
            <w:pPr>
              <w:jc w:val="center"/>
            </w:pPr>
            <w:r>
              <w:rPr>
                <w:sz w:val="24"/>
                <w:szCs w:val="24"/>
              </w:rPr>
              <w:t>1,128,256.44</w:t>
            </w:r>
          </w:p>
        </w:tc>
        <w:tc>
          <w:tcPr>
            <w:tcW w:w="1305" w:type="dxa"/>
            <w:vAlign w:val="center"/>
          </w:tcPr>
          <w:p w:rsidR="00F72CE1" w:rsidRDefault="00A95B33">
            <w:pPr>
              <w:jc w:val="center"/>
            </w:pPr>
            <w:r>
              <w:rPr>
                <w:sz w:val="24"/>
                <w:szCs w:val="24"/>
              </w:rPr>
              <w:t>5,476,895.24</w:t>
            </w:r>
          </w:p>
        </w:tc>
        <w:tc>
          <w:tcPr>
            <w:tcW w:w="1161" w:type="dxa"/>
            <w:vAlign w:val="center"/>
          </w:tcPr>
          <w:p w:rsidR="00F72CE1" w:rsidRDefault="00A95B33">
            <w:pPr>
              <w:jc w:val="center"/>
            </w:pPr>
            <w:r>
              <w:rPr>
                <w:sz w:val="24"/>
                <w:szCs w:val="24"/>
              </w:rPr>
              <w:t>11.12%</w:t>
            </w:r>
          </w:p>
        </w:tc>
        <w:tc>
          <w:tcPr>
            <w:tcW w:w="1301" w:type="dxa"/>
            <w:vAlign w:val="center"/>
          </w:tcPr>
          <w:p w:rsidR="00F72CE1" w:rsidRDefault="00A95B33">
            <w:pPr>
              <w:jc w:val="center"/>
            </w:pPr>
            <w:r>
              <w:rPr>
                <w:sz w:val="24"/>
                <w:szCs w:val="24"/>
              </w:rPr>
              <w:t>是</w:t>
            </w:r>
          </w:p>
        </w:tc>
      </w:tr>
      <w:tr w:rsidR="00F72CE1">
        <w:tc>
          <w:tcPr>
            <w:tcW w:w="835" w:type="dxa"/>
            <w:vAlign w:val="center"/>
          </w:tcPr>
          <w:p w:rsidR="00F72CE1" w:rsidRDefault="00A95B33">
            <w:pPr>
              <w:jc w:val="center"/>
            </w:pPr>
            <w:r>
              <w:rPr>
                <w:sz w:val="24"/>
                <w:szCs w:val="24"/>
              </w:rPr>
              <w:t>2</w:t>
            </w:r>
          </w:p>
        </w:tc>
        <w:tc>
          <w:tcPr>
            <w:tcW w:w="1159" w:type="dxa"/>
            <w:vAlign w:val="center"/>
          </w:tcPr>
          <w:p w:rsidR="00F72CE1" w:rsidRDefault="00A95B33">
            <w:pPr>
              <w:jc w:val="center"/>
            </w:pPr>
            <w:r>
              <w:rPr>
                <w:sz w:val="24"/>
                <w:szCs w:val="24"/>
              </w:rPr>
              <w:t>004738</w:t>
            </w:r>
          </w:p>
        </w:tc>
        <w:tc>
          <w:tcPr>
            <w:tcW w:w="1161" w:type="dxa"/>
            <w:vAlign w:val="center"/>
          </w:tcPr>
          <w:p w:rsidR="00F72CE1" w:rsidRDefault="00A95B33">
            <w:pPr>
              <w:jc w:val="center"/>
            </w:pPr>
            <w:r>
              <w:rPr>
                <w:sz w:val="24"/>
                <w:szCs w:val="24"/>
              </w:rPr>
              <w:t>上投摩根安隆回报混合</w:t>
            </w:r>
            <w:r>
              <w:rPr>
                <w:sz w:val="24"/>
                <w:szCs w:val="24"/>
              </w:rPr>
              <w:t>A</w:t>
            </w:r>
          </w:p>
        </w:tc>
        <w:tc>
          <w:tcPr>
            <w:tcW w:w="1161" w:type="dxa"/>
            <w:vAlign w:val="center"/>
          </w:tcPr>
          <w:p w:rsidR="00F72CE1" w:rsidRDefault="00A95B33">
            <w:pPr>
              <w:jc w:val="center"/>
            </w:pPr>
            <w:r>
              <w:rPr>
                <w:sz w:val="24"/>
                <w:szCs w:val="24"/>
              </w:rPr>
              <w:t>契约型开放式</w:t>
            </w:r>
          </w:p>
        </w:tc>
        <w:tc>
          <w:tcPr>
            <w:tcW w:w="1159" w:type="dxa"/>
            <w:vAlign w:val="center"/>
          </w:tcPr>
          <w:p w:rsidR="00F72CE1" w:rsidRDefault="00A95B33">
            <w:pPr>
              <w:jc w:val="center"/>
            </w:pPr>
            <w:r>
              <w:rPr>
                <w:sz w:val="24"/>
                <w:szCs w:val="24"/>
              </w:rPr>
              <w:t>4,380,746.51</w:t>
            </w:r>
          </w:p>
        </w:tc>
        <w:tc>
          <w:tcPr>
            <w:tcW w:w="1305" w:type="dxa"/>
            <w:vAlign w:val="center"/>
          </w:tcPr>
          <w:p w:rsidR="00F72CE1" w:rsidRDefault="00A95B33">
            <w:pPr>
              <w:jc w:val="center"/>
            </w:pPr>
            <w:r>
              <w:rPr>
                <w:sz w:val="24"/>
                <w:szCs w:val="24"/>
              </w:rPr>
              <w:t>5,425,116.48</w:t>
            </w:r>
          </w:p>
        </w:tc>
        <w:tc>
          <w:tcPr>
            <w:tcW w:w="1161" w:type="dxa"/>
            <w:vAlign w:val="center"/>
          </w:tcPr>
          <w:p w:rsidR="00F72CE1" w:rsidRDefault="00A95B33">
            <w:pPr>
              <w:jc w:val="center"/>
            </w:pPr>
            <w:r>
              <w:rPr>
                <w:sz w:val="24"/>
                <w:szCs w:val="24"/>
              </w:rPr>
              <w:t>11.01%</w:t>
            </w:r>
          </w:p>
        </w:tc>
        <w:tc>
          <w:tcPr>
            <w:tcW w:w="1301" w:type="dxa"/>
            <w:vAlign w:val="center"/>
          </w:tcPr>
          <w:p w:rsidR="00F72CE1" w:rsidRDefault="00A95B33">
            <w:pPr>
              <w:jc w:val="center"/>
            </w:pPr>
            <w:r>
              <w:rPr>
                <w:sz w:val="24"/>
                <w:szCs w:val="24"/>
              </w:rPr>
              <w:t>是</w:t>
            </w:r>
          </w:p>
        </w:tc>
      </w:tr>
      <w:tr w:rsidR="00F72CE1">
        <w:tc>
          <w:tcPr>
            <w:tcW w:w="835" w:type="dxa"/>
            <w:vAlign w:val="center"/>
          </w:tcPr>
          <w:p w:rsidR="00F72CE1" w:rsidRDefault="00A95B33">
            <w:pPr>
              <w:jc w:val="center"/>
            </w:pPr>
            <w:r>
              <w:rPr>
                <w:sz w:val="24"/>
                <w:szCs w:val="24"/>
              </w:rPr>
              <w:t>3</w:t>
            </w:r>
          </w:p>
        </w:tc>
        <w:tc>
          <w:tcPr>
            <w:tcW w:w="1159" w:type="dxa"/>
            <w:vAlign w:val="center"/>
          </w:tcPr>
          <w:p w:rsidR="00F72CE1" w:rsidRDefault="00A95B33">
            <w:pPr>
              <w:jc w:val="center"/>
            </w:pPr>
            <w:r>
              <w:rPr>
                <w:sz w:val="24"/>
                <w:szCs w:val="24"/>
              </w:rPr>
              <w:t>377240</w:t>
            </w:r>
          </w:p>
        </w:tc>
        <w:tc>
          <w:tcPr>
            <w:tcW w:w="1161" w:type="dxa"/>
            <w:vAlign w:val="center"/>
          </w:tcPr>
          <w:p w:rsidR="00F72CE1" w:rsidRDefault="00A95B33">
            <w:pPr>
              <w:jc w:val="center"/>
            </w:pPr>
            <w:r>
              <w:rPr>
                <w:sz w:val="24"/>
                <w:szCs w:val="24"/>
              </w:rPr>
              <w:t>上投摩根新兴动力混合</w:t>
            </w:r>
            <w:r>
              <w:rPr>
                <w:sz w:val="24"/>
                <w:szCs w:val="24"/>
              </w:rPr>
              <w:t>A</w:t>
            </w:r>
          </w:p>
        </w:tc>
        <w:tc>
          <w:tcPr>
            <w:tcW w:w="1161" w:type="dxa"/>
            <w:vAlign w:val="center"/>
          </w:tcPr>
          <w:p w:rsidR="00F72CE1" w:rsidRDefault="00A95B33">
            <w:pPr>
              <w:jc w:val="center"/>
            </w:pPr>
            <w:r>
              <w:rPr>
                <w:sz w:val="24"/>
                <w:szCs w:val="24"/>
              </w:rPr>
              <w:t>契约型开放式</w:t>
            </w:r>
          </w:p>
        </w:tc>
        <w:tc>
          <w:tcPr>
            <w:tcW w:w="1159" w:type="dxa"/>
            <w:vAlign w:val="center"/>
          </w:tcPr>
          <w:p w:rsidR="00F72CE1" w:rsidRDefault="00A95B33">
            <w:pPr>
              <w:jc w:val="center"/>
            </w:pPr>
            <w:r>
              <w:rPr>
                <w:sz w:val="24"/>
                <w:szCs w:val="24"/>
              </w:rPr>
              <w:t>956,985.56</w:t>
            </w:r>
          </w:p>
        </w:tc>
        <w:tc>
          <w:tcPr>
            <w:tcW w:w="1305" w:type="dxa"/>
            <w:vAlign w:val="center"/>
          </w:tcPr>
          <w:p w:rsidR="00F72CE1" w:rsidRDefault="00A95B33">
            <w:pPr>
              <w:jc w:val="center"/>
            </w:pPr>
            <w:r>
              <w:rPr>
                <w:sz w:val="24"/>
                <w:szCs w:val="24"/>
              </w:rPr>
              <w:t>4,769,616.03</w:t>
            </w:r>
          </w:p>
        </w:tc>
        <w:tc>
          <w:tcPr>
            <w:tcW w:w="1161" w:type="dxa"/>
            <w:vAlign w:val="center"/>
          </w:tcPr>
          <w:p w:rsidR="00F72CE1" w:rsidRDefault="00A95B33">
            <w:pPr>
              <w:jc w:val="center"/>
            </w:pPr>
            <w:r>
              <w:rPr>
                <w:sz w:val="24"/>
                <w:szCs w:val="24"/>
              </w:rPr>
              <w:t>9.68%</w:t>
            </w:r>
          </w:p>
        </w:tc>
        <w:tc>
          <w:tcPr>
            <w:tcW w:w="1301" w:type="dxa"/>
            <w:vAlign w:val="center"/>
          </w:tcPr>
          <w:p w:rsidR="00F72CE1" w:rsidRDefault="00A95B33">
            <w:pPr>
              <w:jc w:val="center"/>
            </w:pPr>
            <w:r>
              <w:rPr>
                <w:sz w:val="24"/>
                <w:szCs w:val="24"/>
              </w:rPr>
              <w:t>是</w:t>
            </w:r>
          </w:p>
        </w:tc>
      </w:tr>
      <w:tr w:rsidR="00F72CE1">
        <w:tc>
          <w:tcPr>
            <w:tcW w:w="835" w:type="dxa"/>
            <w:vAlign w:val="center"/>
          </w:tcPr>
          <w:p w:rsidR="00F72CE1" w:rsidRDefault="00A95B33">
            <w:pPr>
              <w:jc w:val="center"/>
            </w:pPr>
            <w:r>
              <w:rPr>
                <w:sz w:val="24"/>
                <w:szCs w:val="24"/>
              </w:rPr>
              <w:t>4</w:t>
            </w:r>
          </w:p>
        </w:tc>
        <w:tc>
          <w:tcPr>
            <w:tcW w:w="1159" w:type="dxa"/>
            <w:vAlign w:val="center"/>
          </w:tcPr>
          <w:p w:rsidR="00F72CE1" w:rsidRDefault="00A95B33">
            <w:pPr>
              <w:jc w:val="center"/>
            </w:pPr>
            <w:r>
              <w:rPr>
                <w:sz w:val="24"/>
                <w:szCs w:val="24"/>
              </w:rPr>
              <w:t>512800</w:t>
            </w:r>
          </w:p>
        </w:tc>
        <w:tc>
          <w:tcPr>
            <w:tcW w:w="1161" w:type="dxa"/>
            <w:vAlign w:val="center"/>
          </w:tcPr>
          <w:p w:rsidR="00F72CE1" w:rsidRDefault="00A95B33">
            <w:pPr>
              <w:jc w:val="center"/>
            </w:pPr>
            <w:r>
              <w:rPr>
                <w:sz w:val="24"/>
                <w:szCs w:val="24"/>
              </w:rPr>
              <w:t>华宝中证银行</w:t>
            </w:r>
            <w:r>
              <w:rPr>
                <w:sz w:val="24"/>
                <w:szCs w:val="24"/>
              </w:rPr>
              <w:t>ETF</w:t>
            </w:r>
          </w:p>
        </w:tc>
        <w:tc>
          <w:tcPr>
            <w:tcW w:w="1161" w:type="dxa"/>
            <w:vAlign w:val="center"/>
          </w:tcPr>
          <w:p w:rsidR="00F72CE1" w:rsidRDefault="00A95B33">
            <w:pPr>
              <w:jc w:val="center"/>
            </w:pPr>
            <w:r>
              <w:rPr>
                <w:sz w:val="24"/>
                <w:szCs w:val="24"/>
              </w:rPr>
              <w:t>契约型开放式</w:t>
            </w:r>
          </w:p>
        </w:tc>
        <w:tc>
          <w:tcPr>
            <w:tcW w:w="1159" w:type="dxa"/>
            <w:vAlign w:val="center"/>
          </w:tcPr>
          <w:p w:rsidR="00F72CE1" w:rsidRDefault="00A95B33">
            <w:pPr>
              <w:jc w:val="center"/>
            </w:pPr>
            <w:r>
              <w:rPr>
                <w:sz w:val="24"/>
                <w:szCs w:val="24"/>
              </w:rPr>
              <w:t>2,566,100.00</w:t>
            </w:r>
          </w:p>
        </w:tc>
        <w:tc>
          <w:tcPr>
            <w:tcW w:w="1305" w:type="dxa"/>
            <w:vAlign w:val="center"/>
          </w:tcPr>
          <w:p w:rsidR="00F72CE1" w:rsidRDefault="00A95B33">
            <w:pPr>
              <w:jc w:val="center"/>
            </w:pPr>
            <w:r>
              <w:rPr>
                <w:sz w:val="24"/>
                <w:szCs w:val="24"/>
              </w:rPr>
              <w:t>2,671,310.10</w:t>
            </w:r>
          </w:p>
        </w:tc>
        <w:tc>
          <w:tcPr>
            <w:tcW w:w="1161" w:type="dxa"/>
            <w:vAlign w:val="center"/>
          </w:tcPr>
          <w:p w:rsidR="00F72CE1" w:rsidRDefault="00A95B33">
            <w:pPr>
              <w:jc w:val="center"/>
            </w:pPr>
            <w:r>
              <w:rPr>
                <w:sz w:val="24"/>
                <w:szCs w:val="24"/>
              </w:rPr>
              <w:t>5.42%</w:t>
            </w:r>
          </w:p>
        </w:tc>
        <w:tc>
          <w:tcPr>
            <w:tcW w:w="1301" w:type="dxa"/>
            <w:vAlign w:val="center"/>
          </w:tcPr>
          <w:p w:rsidR="00F72CE1" w:rsidRDefault="00A95B33">
            <w:pPr>
              <w:jc w:val="center"/>
            </w:pPr>
            <w:r>
              <w:rPr>
                <w:sz w:val="24"/>
                <w:szCs w:val="24"/>
              </w:rPr>
              <w:t>否</w:t>
            </w:r>
          </w:p>
        </w:tc>
      </w:tr>
      <w:tr w:rsidR="00F72CE1">
        <w:tc>
          <w:tcPr>
            <w:tcW w:w="835" w:type="dxa"/>
            <w:vAlign w:val="center"/>
          </w:tcPr>
          <w:p w:rsidR="00F72CE1" w:rsidRDefault="00A95B33">
            <w:pPr>
              <w:jc w:val="center"/>
            </w:pPr>
            <w:r>
              <w:rPr>
                <w:sz w:val="24"/>
                <w:szCs w:val="24"/>
              </w:rPr>
              <w:t>5</w:t>
            </w:r>
          </w:p>
        </w:tc>
        <w:tc>
          <w:tcPr>
            <w:tcW w:w="1159" w:type="dxa"/>
            <w:vAlign w:val="center"/>
          </w:tcPr>
          <w:p w:rsidR="00F72CE1" w:rsidRDefault="00A95B33">
            <w:pPr>
              <w:jc w:val="center"/>
            </w:pPr>
            <w:r>
              <w:rPr>
                <w:sz w:val="24"/>
                <w:szCs w:val="24"/>
              </w:rPr>
              <w:t>001766</w:t>
            </w:r>
          </w:p>
        </w:tc>
        <w:tc>
          <w:tcPr>
            <w:tcW w:w="1161" w:type="dxa"/>
            <w:vAlign w:val="center"/>
          </w:tcPr>
          <w:p w:rsidR="00F72CE1" w:rsidRDefault="00A95B33">
            <w:pPr>
              <w:jc w:val="center"/>
            </w:pPr>
            <w:r>
              <w:rPr>
                <w:sz w:val="24"/>
                <w:szCs w:val="24"/>
              </w:rPr>
              <w:t>上投摩根医疗健康股票</w:t>
            </w:r>
          </w:p>
        </w:tc>
        <w:tc>
          <w:tcPr>
            <w:tcW w:w="1161" w:type="dxa"/>
            <w:vAlign w:val="center"/>
          </w:tcPr>
          <w:p w:rsidR="00F72CE1" w:rsidRDefault="00A95B33">
            <w:pPr>
              <w:jc w:val="center"/>
            </w:pPr>
            <w:r>
              <w:rPr>
                <w:sz w:val="24"/>
                <w:szCs w:val="24"/>
              </w:rPr>
              <w:t>契约型开放式</w:t>
            </w:r>
          </w:p>
        </w:tc>
        <w:tc>
          <w:tcPr>
            <w:tcW w:w="1159" w:type="dxa"/>
            <w:vAlign w:val="center"/>
          </w:tcPr>
          <w:p w:rsidR="00F72CE1" w:rsidRDefault="00A95B33">
            <w:pPr>
              <w:jc w:val="center"/>
            </w:pPr>
            <w:r>
              <w:rPr>
                <w:sz w:val="24"/>
                <w:szCs w:val="24"/>
              </w:rPr>
              <w:t>1,074,244.66</w:t>
            </w:r>
          </w:p>
        </w:tc>
        <w:tc>
          <w:tcPr>
            <w:tcW w:w="1305" w:type="dxa"/>
            <w:vAlign w:val="center"/>
          </w:tcPr>
          <w:p w:rsidR="00F72CE1" w:rsidRDefault="00A95B33">
            <w:pPr>
              <w:jc w:val="center"/>
            </w:pPr>
            <w:r>
              <w:rPr>
                <w:sz w:val="24"/>
                <w:szCs w:val="24"/>
              </w:rPr>
              <w:t>2,444,980.85</w:t>
            </w:r>
          </w:p>
        </w:tc>
        <w:tc>
          <w:tcPr>
            <w:tcW w:w="1161" w:type="dxa"/>
            <w:vAlign w:val="center"/>
          </w:tcPr>
          <w:p w:rsidR="00F72CE1" w:rsidRDefault="00A95B33">
            <w:pPr>
              <w:jc w:val="center"/>
            </w:pPr>
            <w:r>
              <w:rPr>
                <w:sz w:val="24"/>
                <w:szCs w:val="24"/>
              </w:rPr>
              <w:t>4.96%</w:t>
            </w:r>
          </w:p>
        </w:tc>
        <w:tc>
          <w:tcPr>
            <w:tcW w:w="1301" w:type="dxa"/>
            <w:vAlign w:val="center"/>
          </w:tcPr>
          <w:p w:rsidR="00F72CE1" w:rsidRDefault="00A95B33">
            <w:pPr>
              <w:jc w:val="center"/>
            </w:pPr>
            <w:r>
              <w:rPr>
                <w:sz w:val="24"/>
                <w:szCs w:val="24"/>
              </w:rPr>
              <w:t>是</w:t>
            </w:r>
          </w:p>
        </w:tc>
      </w:tr>
      <w:tr w:rsidR="00F72CE1">
        <w:tc>
          <w:tcPr>
            <w:tcW w:w="835" w:type="dxa"/>
            <w:vAlign w:val="center"/>
          </w:tcPr>
          <w:p w:rsidR="00F72CE1" w:rsidRDefault="00A95B33">
            <w:pPr>
              <w:jc w:val="center"/>
            </w:pPr>
            <w:r>
              <w:rPr>
                <w:sz w:val="24"/>
                <w:szCs w:val="24"/>
              </w:rPr>
              <w:t>6</w:t>
            </w:r>
          </w:p>
        </w:tc>
        <w:tc>
          <w:tcPr>
            <w:tcW w:w="1159" w:type="dxa"/>
            <w:vAlign w:val="center"/>
          </w:tcPr>
          <w:p w:rsidR="00F72CE1" w:rsidRDefault="00A95B33">
            <w:pPr>
              <w:jc w:val="center"/>
            </w:pPr>
            <w:r>
              <w:rPr>
                <w:sz w:val="24"/>
                <w:szCs w:val="24"/>
              </w:rPr>
              <w:t>511260</w:t>
            </w:r>
          </w:p>
        </w:tc>
        <w:tc>
          <w:tcPr>
            <w:tcW w:w="1161" w:type="dxa"/>
            <w:vAlign w:val="center"/>
          </w:tcPr>
          <w:p w:rsidR="00F72CE1" w:rsidRDefault="00A95B33">
            <w:pPr>
              <w:jc w:val="center"/>
            </w:pPr>
            <w:r>
              <w:rPr>
                <w:sz w:val="24"/>
                <w:szCs w:val="24"/>
              </w:rPr>
              <w:t>上证</w:t>
            </w:r>
            <w:r>
              <w:rPr>
                <w:sz w:val="24"/>
                <w:szCs w:val="24"/>
              </w:rPr>
              <w:t>10</w:t>
            </w:r>
            <w:r>
              <w:rPr>
                <w:sz w:val="24"/>
                <w:szCs w:val="24"/>
              </w:rPr>
              <w:t>年期国债</w:t>
            </w:r>
            <w:r>
              <w:rPr>
                <w:sz w:val="24"/>
                <w:szCs w:val="24"/>
              </w:rPr>
              <w:t>ETF</w:t>
            </w:r>
          </w:p>
        </w:tc>
        <w:tc>
          <w:tcPr>
            <w:tcW w:w="1161" w:type="dxa"/>
            <w:vAlign w:val="center"/>
          </w:tcPr>
          <w:p w:rsidR="00F72CE1" w:rsidRDefault="00A95B33">
            <w:pPr>
              <w:jc w:val="center"/>
            </w:pPr>
            <w:r>
              <w:rPr>
                <w:sz w:val="24"/>
                <w:szCs w:val="24"/>
              </w:rPr>
              <w:t>契约型开放式</w:t>
            </w:r>
          </w:p>
        </w:tc>
        <w:tc>
          <w:tcPr>
            <w:tcW w:w="1159" w:type="dxa"/>
            <w:vAlign w:val="center"/>
          </w:tcPr>
          <w:p w:rsidR="00F72CE1" w:rsidRDefault="00A95B33">
            <w:pPr>
              <w:jc w:val="center"/>
            </w:pPr>
            <w:r>
              <w:rPr>
                <w:sz w:val="24"/>
                <w:szCs w:val="24"/>
              </w:rPr>
              <w:t>20,000.00</w:t>
            </w:r>
          </w:p>
        </w:tc>
        <w:tc>
          <w:tcPr>
            <w:tcW w:w="1305" w:type="dxa"/>
            <w:vAlign w:val="center"/>
          </w:tcPr>
          <w:p w:rsidR="00F72CE1" w:rsidRDefault="00A95B33">
            <w:pPr>
              <w:jc w:val="center"/>
            </w:pPr>
            <w:r>
              <w:rPr>
                <w:sz w:val="24"/>
                <w:szCs w:val="24"/>
              </w:rPr>
              <w:t>2,203,760.00</w:t>
            </w:r>
          </w:p>
        </w:tc>
        <w:tc>
          <w:tcPr>
            <w:tcW w:w="1161" w:type="dxa"/>
            <w:vAlign w:val="center"/>
          </w:tcPr>
          <w:p w:rsidR="00F72CE1" w:rsidRDefault="00A95B33">
            <w:pPr>
              <w:jc w:val="center"/>
            </w:pPr>
            <w:r>
              <w:rPr>
                <w:sz w:val="24"/>
                <w:szCs w:val="24"/>
              </w:rPr>
              <w:t>4.47%</w:t>
            </w:r>
          </w:p>
        </w:tc>
        <w:tc>
          <w:tcPr>
            <w:tcW w:w="1301" w:type="dxa"/>
            <w:vAlign w:val="center"/>
          </w:tcPr>
          <w:p w:rsidR="00F72CE1" w:rsidRDefault="00A95B33">
            <w:pPr>
              <w:jc w:val="center"/>
            </w:pPr>
            <w:r>
              <w:rPr>
                <w:sz w:val="24"/>
                <w:szCs w:val="24"/>
              </w:rPr>
              <w:t>否</w:t>
            </w:r>
          </w:p>
        </w:tc>
      </w:tr>
      <w:tr w:rsidR="00F72CE1">
        <w:tc>
          <w:tcPr>
            <w:tcW w:w="835" w:type="dxa"/>
            <w:vAlign w:val="center"/>
          </w:tcPr>
          <w:p w:rsidR="00F72CE1" w:rsidRDefault="00A95B33">
            <w:pPr>
              <w:jc w:val="center"/>
            </w:pPr>
            <w:r>
              <w:rPr>
                <w:sz w:val="24"/>
                <w:szCs w:val="24"/>
              </w:rPr>
              <w:t>7</w:t>
            </w:r>
          </w:p>
        </w:tc>
        <w:tc>
          <w:tcPr>
            <w:tcW w:w="1159" w:type="dxa"/>
            <w:vAlign w:val="center"/>
          </w:tcPr>
          <w:p w:rsidR="00F72CE1" w:rsidRDefault="00A95B33">
            <w:pPr>
              <w:jc w:val="center"/>
            </w:pPr>
            <w:r>
              <w:rPr>
                <w:sz w:val="24"/>
                <w:szCs w:val="24"/>
              </w:rPr>
              <w:t>512880</w:t>
            </w:r>
          </w:p>
        </w:tc>
        <w:tc>
          <w:tcPr>
            <w:tcW w:w="1161" w:type="dxa"/>
            <w:vAlign w:val="center"/>
          </w:tcPr>
          <w:p w:rsidR="00F72CE1" w:rsidRDefault="00A95B33">
            <w:pPr>
              <w:jc w:val="center"/>
            </w:pPr>
            <w:r>
              <w:rPr>
                <w:sz w:val="24"/>
                <w:szCs w:val="24"/>
              </w:rPr>
              <w:t>国泰中证全指证券公司</w:t>
            </w:r>
            <w:r>
              <w:rPr>
                <w:sz w:val="24"/>
                <w:szCs w:val="24"/>
              </w:rPr>
              <w:t>ETF</w:t>
            </w:r>
          </w:p>
        </w:tc>
        <w:tc>
          <w:tcPr>
            <w:tcW w:w="1161" w:type="dxa"/>
            <w:vAlign w:val="center"/>
          </w:tcPr>
          <w:p w:rsidR="00F72CE1" w:rsidRDefault="00A95B33">
            <w:pPr>
              <w:jc w:val="center"/>
            </w:pPr>
            <w:r>
              <w:rPr>
                <w:sz w:val="24"/>
                <w:szCs w:val="24"/>
              </w:rPr>
              <w:t>契约型开放式</w:t>
            </w:r>
          </w:p>
        </w:tc>
        <w:tc>
          <w:tcPr>
            <w:tcW w:w="1159" w:type="dxa"/>
            <w:vAlign w:val="center"/>
          </w:tcPr>
          <w:p w:rsidR="00F72CE1" w:rsidRDefault="00A95B33">
            <w:pPr>
              <w:jc w:val="center"/>
            </w:pPr>
            <w:r>
              <w:rPr>
                <w:sz w:val="24"/>
                <w:szCs w:val="24"/>
              </w:rPr>
              <w:t>1,750,000.00</w:t>
            </w:r>
          </w:p>
        </w:tc>
        <w:tc>
          <w:tcPr>
            <w:tcW w:w="1305" w:type="dxa"/>
            <w:vAlign w:val="center"/>
          </w:tcPr>
          <w:p w:rsidR="00F72CE1" w:rsidRDefault="00A95B33">
            <w:pPr>
              <w:jc w:val="center"/>
            </w:pPr>
            <w:r>
              <w:rPr>
                <w:sz w:val="24"/>
                <w:szCs w:val="24"/>
              </w:rPr>
              <w:t>2,114,000.00</w:t>
            </w:r>
          </w:p>
        </w:tc>
        <w:tc>
          <w:tcPr>
            <w:tcW w:w="1161" w:type="dxa"/>
            <w:vAlign w:val="center"/>
          </w:tcPr>
          <w:p w:rsidR="00F72CE1" w:rsidRDefault="00A95B33">
            <w:pPr>
              <w:jc w:val="center"/>
            </w:pPr>
            <w:r>
              <w:rPr>
                <w:sz w:val="24"/>
                <w:szCs w:val="24"/>
              </w:rPr>
              <w:t>4.29%</w:t>
            </w:r>
          </w:p>
        </w:tc>
        <w:tc>
          <w:tcPr>
            <w:tcW w:w="1301" w:type="dxa"/>
            <w:vAlign w:val="center"/>
          </w:tcPr>
          <w:p w:rsidR="00F72CE1" w:rsidRDefault="00A95B33">
            <w:pPr>
              <w:jc w:val="center"/>
            </w:pPr>
            <w:r>
              <w:rPr>
                <w:sz w:val="24"/>
                <w:szCs w:val="24"/>
              </w:rPr>
              <w:t>否</w:t>
            </w:r>
          </w:p>
        </w:tc>
      </w:tr>
      <w:tr w:rsidR="00F72CE1">
        <w:tc>
          <w:tcPr>
            <w:tcW w:w="835" w:type="dxa"/>
            <w:vAlign w:val="center"/>
          </w:tcPr>
          <w:p w:rsidR="00F72CE1" w:rsidRDefault="00A95B33">
            <w:pPr>
              <w:jc w:val="center"/>
            </w:pPr>
            <w:r>
              <w:rPr>
                <w:sz w:val="24"/>
                <w:szCs w:val="24"/>
              </w:rPr>
              <w:t>8</w:t>
            </w:r>
          </w:p>
        </w:tc>
        <w:tc>
          <w:tcPr>
            <w:tcW w:w="1159" w:type="dxa"/>
            <w:vAlign w:val="center"/>
          </w:tcPr>
          <w:p w:rsidR="00F72CE1" w:rsidRDefault="00A95B33">
            <w:pPr>
              <w:jc w:val="center"/>
            </w:pPr>
            <w:r>
              <w:rPr>
                <w:sz w:val="24"/>
                <w:szCs w:val="24"/>
              </w:rPr>
              <w:t>512660</w:t>
            </w:r>
          </w:p>
        </w:tc>
        <w:tc>
          <w:tcPr>
            <w:tcW w:w="1161" w:type="dxa"/>
            <w:vAlign w:val="center"/>
          </w:tcPr>
          <w:p w:rsidR="00F72CE1" w:rsidRDefault="00A95B33">
            <w:pPr>
              <w:jc w:val="center"/>
            </w:pPr>
            <w:r>
              <w:rPr>
                <w:sz w:val="24"/>
                <w:szCs w:val="24"/>
              </w:rPr>
              <w:t>国泰中证军工</w:t>
            </w:r>
            <w:r>
              <w:rPr>
                <w:sz w:val="24"/>
                <w:szCs w:val="24"/>
              </w:rPr>
              <w:t>ETF</w:t>
            </w:r>
          </w:p>
        </w:tc>
        <w:tc>
          <w:tcPr>
            <w:tcW w:w="1161" w:type="dxa"/>
            <w:vAlign w:val="center"/>
          </w:tcPr>
          <w:p w:rsidR="00F72CE1" w:rsidRDefault="00A95B33">
            <w:pPr>
              <w:jc w:val="center"/>
            </w:pPr>
            <w:r>
              <w:rPr>
                <w:sz w:val="24"/>
                <w:szCs w:val="24"/>
              </w:rPr>
              <w:t>契约型开放式</w:t>
            </w:r>
          </w:p>
        </w:tc>
        <w:tc>
          <w:tcPr>
            <w:tcW w:w="1159" w:type="dxa"/>
            <w:vAlign w:val="center"/>
          </w:tcPr>
          <w:p w:rsidR="00F72CE1" w:rsidRDefault="00A95B33">
            <w:pPr>
              <w:jc w:val="center"/>
            </w:pPr>
            <w:r>
              <w:rPr>
                <w:sz w:val="24"/>
                <w:szCs w:val="24"/>
              </w:rPr>
              <w:t>1,834,900.00</w:t>
            </w:r>
          </w:p>
        </w:tc>
        <w:tc>
          <w:tcPr>
            <w:tcW w:w="1305" w:type="dxa"/>
            <w:vAlign w:val="center"/>
          </w:tcPr>
          <w:p w:rsidR="00F72CE1" w:rsidRDefault="00A95B33">
            <w:pPr>
              <w:jc w:val="center"/>
            </w:pPr>
            <w:r>
              <w:rPr>
                <w:sz w:val="24"/>
                <w:szCs w:val="24"/>
              </w:rPr>
              <w:t>2,000,041.00</w:t>
            </w:r>
          </w:p>
        </w:tc>
        <w:tc>
          <w:tcPr>
            <w:tcW w:w="1161" w:type="dxa"/>
            <w:vAlign w:val="center"/>
          </w:tcPr>
          <w:p w:rsidR="00F72CE1" w:rsidRDefault="00A95B33">
            <w:pPr>
              <w:jc w:val="center"/>
            </w:pPr>
            <w:r>
              <w:rPr>
                <w:sz w:val="24"/>
                <w:szCs w:val="24"/>
              </w:rPr>
              <w:t>4.06%</w:t>
            </w:r>
          </w:p>
        </w:tc>
        <w:tc>
          <w:tcPr>
            <w:tcW w:w="1301" w:type="dxa"/>
            <w:vAlign w:val="center"/>
          </w:tcPr>
          <w:p w:rsidR="00F72CE1" w:rsidRDefault="00A95B33">
            <w:pPr>
              <w:jc w:val="center"/>
            </w:pPr>
            <w:r>
              <w:rPr>
                <w:sz w:val="24"/>
                <w:szCs w:val="24"/>
              </w:rPr>
              <w:t>否</w:t>
            </w:r>
          </w:p>
        </w:tc>
      </w:tr>
      <w:tr w:rsidR="00F72CE1">
        <w:tc>
          <w:tcPr>
            <w:tcW w:w="835" w:type="dxa"/>
            <w:vAlign w:val="center"/>
          </w:tcPr>
          <w:p w:rsidR="00F72CE1" w:rsidRDefault="00A95B33">
            <w:pPr>
              <w:jc w:val="center"/>
            </w:pPr>
            <w:r>
              <w:rPr>
                <w:sz w:val="24"/>
                <w:szCs w:val="24"/>
              </w:rPr>
              <w:t>9</w:t>
            </w:r>
          </w:p>
        </w:tc>
        <w:tc>
          <w:tcPr>
            <w:tcW w:w="1159" w:type="dxa"/>
            <w:vAlign w:val="center"/>
          </w:tcPr>
          <w:p w:rsidR="00F72CE1" w:rsidRDefault="00A95B33">
            <w:pPr>
              <w:jc w:val="center"/>
            </w:pPr>
            <w:r>
              <w:rPr>
                <w:sz w:val="24"/>
                <w:szCs w:val="24"/>
              </w:rPr>
              <w:t>512070</w:t>
            </w:r>
          </w:p>
        </w:tc>
        <w:tc>
          <w:tcPr>
            <w:tcW w:w="1161" w:type="dxa"/>
            <w:vAlign w:val="center"/>
          </w:tcPr>
          <w:p w:rsidR="00F72CE1" w:rsidRDefault="00A95B33">
            <w:pPr>
              <w:jc w:val="center"/>
            </w:pPr>
            <w:r>
              <w:rPr>
                <w:sz w:val="24"/>
                <w:szCs w:val="24"/>
              </w:rPr>
              <w:t>易方达沪深</w:t>
            </w:r>
            <w:r>
              <w:rPr>
                <w:sz w:val="24"/>
                <w:szCs w:val="24"/>
              </w:rPr>
              <w:t>300</w:t>
            </w:r>
            <w:r>
              <w:rPr>
                <w:sz w:val="24"/>
                <w:szCs w:val="24"/>
              </w:rPr>
              <w:t>非银</w:t>
            </w:r>
            <w:r>
              <w:rPr>
                <w:sz w:val="24"/>
                <w:szCs w:val="24"/>
              </w:rPr>
              <w:t>ETF</w:t>
            </w:r>
          </w:p>
        </w:tc>
        <w:tc>
          <w:tcPr>
            <w:tcW w:w="1161" w:type="dxa"/>
            <w:vAlign w:val="center"/>
          </w:tcPr>
          <w:p w:rsidR="00F72CE1" w:rsidRDefault="00A95B33">
            <w:pPr>
              <w:jc w:val="center"/>
            </w:pPr>
            <w:r>
              <w:rPr>
                <w:sz w:val="24"/>
                <w:szCs w:val="24"/>
              </w:rPr>
              <w:t>契约型开放式</w:t>
            </w:r>
          </w:p>
        </w:tc>
        <w:tc>
          <w:tcPr>
            <w:tcW w:w="1159" w:type="dxa"/>
            <w:vAlign w:val="center"/>
          </w:tcPr>
          <w:p w:rsidR="00F72CE1" w:rsidRDefault="00A95B33">
            <w:pPr>
              <w:jc w:val="center"/>
            </w:pPr>
            <w:r>
              <w:rPr>
                <w:sz w:val="24"/>
                <w:szCs w:val="24"/>
              </w:rPr>
              <w:t>794,800.00</w:t>
            </w:r>
          </w:p>
        </w:tc>
        <w:tc>
          <w:tcPr>
            <w:tcW w:w="1305" w:type="dxa"/>
            <w:vAlign w:val="center"/>
          </w:tcPr>
          <w:p w:rsidR="00F72CE1" w:rsidRDefault="00A95B33">
            <w:pPr>
              <w:jc w:val="center"/>
            </w:pPr>
            <w:r>
              <w:rPr>
                <w:sz w:val="24"/>
                <w:szCs w:val="24"/>
              </w:rPr>
              <w:t>1,987,000.00</w:t>
            </w:r>
          </w:p>
        </w:tc>
        <w:tc>
          <w:tcPr>
            <w:tcW w:w="1161" w:type="dxa"/>
            <w:vAlign w:val="center"/>
          </w:tcPr>
          <w:p w:rsidR="00F72CE1" w:rsidRDefault="00A95B33">
            <w:pPr>
              <w:jc w:val="center"/>
            </w:pPr>
            <w:r>
              <w:rPr>
                <w:sz w:val="24"/>
                <w:szCs w:val="24"/>
              </w:rPr>
              <w:t>4.03%</w:t>
            </w:r>
          </w:p>
        </w:tc>
        <w:tc>
          <w:tcPr>
            <w:tcW w:w="1301" w:type="dxa"/>
            <w:vAlign w:val="center"/>
          </w:tcPr>
          <w:p w:rsidR="00F72CE1" w:rsidRDefault="00A95B33">
            <w:pPr>
              <w:jc w:val="center"/>
            </w:pPr>
            <w:r>
              <w:rPr>
                <w:sz w:val="24"/>
                <w:szCs w:val="24"/>
              </w:rPr>
              <w:t>否</w:t>
            </w:r>
          </w:p>
        </w:tc>
      </w:tr>
      <w:tr w:rsidR="00F72CE1">
        <w:tc>
          <w:tcPr>
            <w:tcW w:w="835" w:type="dxa"/>
            <w:vAlign w:val="center"/>
          </w:tcPr>
          <w:p w:rsidR="00F72CE1" w:rsidRDefault="00A95B33">
            <w:pPr>
              <w:jc w:val="center"/>
            </w:pPr>
            <w:r>
              <w:rPr>
                <w:sz w:val="24"/>
                <w:szCs w:val="24"/>
              </w:rPr>
              <w:t>10</w:t>
            </w:r>
          </w:p>
        </w:tc>
        <w:tc>
          <w:tcPr>
            <w:tcW w:w="1159" w:type="dxa"/>
            <w:vAlign w:val="center"/>
          </w:tcPr>
          <w:p w:rsidR="00F72CE1" w:rsidRDefault="00A95B33">
            <w:pPr>
              <w:jc w:val="center"/>
            </w:pPr>
            <w:r>
              <w:rPr>
                <w:sz w:val="24"/>
                <w:szCs w:val="24"/>
              </w:rPr>
              <w:t>518880</w:t>
            </w:r>
          </w:p>
        </w:tc>
        <w:tc>
          <w:tcPr>
            <w:tcW w:w="1161" w:type="dxa"/>
            <w:vAlign w:val="center"/>
          </w:tcPr>
          <w:p w:rsidR="00F72CE1" w:rsidRDefault="00A95B33">
            <w:pPr>
              <w:jc w:val="center"/>
            </w:pPr>
            <w:r>
              <w:rPr>
                <w:sz w:val="24"/>
                <w:szCs w:val="24"/>
              </w:rPr>
              <w:t>黄金</w:t>
            </w:r>
            <w:r>
              <w:rPr>
                <w:sz w:val="24"/>
                <w:szCs w:val="24"/>
              </w:rPr>
              <w:t>ETF</w:t>
            </w:r>
          </w:p>
        </w:tc>
        <w:tc>
          <w:tcPr>
            <w:tcW w:w="1161" w:type="dxa"/>
            <w:vAlign w:val="center"/>
          </w:tcPr>
          <w:p w:rsidR="00F72CE1" w:rsidRDefault="00A95B33">
            <w:pPr>
              <w:jc w:val="center"/>
            </w:pPr>
            <w:r>
              <w:rPr>
                <w:sz w:val="24"/>
                <w:szCs w:val="24"/>
              </w:rPr>
              <w:t>契约型开放式</w:t>
            </w:r>
          </w:p>
        </w:tc>
        <w:tc>
          <w:tcPr>
            <w:tcW w:w="1159" w:type="dxa"/>
            <w:vAlign w:val="center"/>
          </w:tcPr>
          <w:p w:rsidR="00F72CE1" w:rsidRDefault="00A95B33">
            <w:pPr>
              <w:jc w:val="center"/>
            </w:pPr>
            <w:r>
              <w:rPr>
                <w:sz w:val="24"/>
                <w:szCs w:val="24"/>
              </w:rPr>
              <w:t>490,000.00</w:t>
            </w:r>
          </w:p>
        </w:tc>
        <w:tc>
          <w:tcPr>
            <w:tcW w:w="1305" w:type="dxa"/>
            <w:vAlign w:val="center"/>
          </w:tcPr>
          <w:p w:rsidR="00F72CE1" w:rsidRDefault="00A95B33">
            <w:pPr>
              <w:jc w:val="center"/>
            </w:pPr>
            <w:r>
              <w:rPr>
                <w:sz w:val="24"/>
                <w:szCs w:val="24"/>
              </w:rPr>
              <w:t>1,947,260.00</w:t>
            </w:r>
          </w:p>
        </w:tc>
        <w:tc>
          <w:tcPr>
            <w:tcW w:w="1161" w:type="dxa"/>
            <w:vAlign w:val="center"/>
          </w:tcPr>
          <w:p w:rsidR="00F72CE1" w:rsidRDefault="00A95B33">
            <w:pPr>
              <w:jc w:val="center"/>
            </w:pPr>
            <w:r>
              <w:rPr>
                <w:sz w:val="24"/>
                <w:szCs w:val="24"/>
              </w:rPr>
              <w:t>3.95%</w:t>
            </w:r>
          </w:p>
        </w:tc>
        <w:tc>
          <w:tcPr>
            <w:tcW w:w="1301" w:type="dxa"/>
            <w:vAlign w:val="center"/>
          </w:tcPr>
          <w:p w:rsidR="00F72CE1" w:rsidRDefault="00A95B33">
            <w:pPr>
              <w:jc w:val="center"/>
            </w:pPr>
            <w:r>
              <w:rPr>
                <w:sz w:val="24"/>
                <w:szCs w:val="24"/>
              </w:rPr>
              <w:t>否</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7"/>
        <w:tblW w:w="0" w:type="auto"/>
        <w:tblLayout w:type="fixed"/>
        <w:tblLook w:val="04A0" w:firstRow="1" w:lastRow="0" w:firstColumn="1" w:lastColumn="0" w:noHBand="0" w:noVBand="1"/>
      </w:tblPr>
      <w:tblGrid>
        <w:gridCol w:w="3012"/>
        <w:gridCol w:w="3012"/>
        <w:gridCol w:w="3012"/>
      </w:tblGrid>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本期费用</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其中：交易及持有基金管理人以及管理人关联方所管理基金产生的费用</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w:t>
            </w:r>
            <w:r w:rsidRPr="00575270">
              <w:rPr>
                <w:sz w:val="24"/>
                <w:szCs w:val="24"/>
              </w:rPr>
              <w:lastRenderedPageBreak/>
              <w:t>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lastRenderedPageBreak/>
              <w:t>4,286.15</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4,286.15</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lastRenderedPageBreak/>
              <w:t>当期持有基金产生的应支付销售服务费（元）</w:t>
            </w:r>
          </w:p>
        </w:tc>
        <w:tc>
          <w:tcPr>
            <w:tcW w:w="3012" w:type="dxa"/>
            <w:vAlign w:val="center"/>
          </w:tcPr>
          <w:p w:rsidR="001F3E2A" w:rsidRPr="00575270" w:rsidRDefault="00B70540" w:rsidP="0011537B">
            <w:pPr>
              <w:adjustRightInd w:val="0"/>
              <w:snapToGrid w:val="0"/>
              <w:spacing w:beforeLines="50" w:before="156" w:line="276" w:lineRule="auto"/>
              <w:jc w:val="right"/>
              <w:rPr>
                <w:rFonts w:eastAsiaTheme="minorEastAsia"/>
                <w:color w:val="000000" w:themeColor="text1"/>
                <w:sz w:val="24"/>
                <w:szCs w:val="24"/>
              </w:rPr>
            </w:pPr>
            <w:r>
              <w:rPr>
                <w:rFonts w:eastAsiaTheme="minorEastAsia" w:hint="eastAsia"/>
                <w:color w:val="000000" w:themeColor="text1"/>
                <w:sz w:val="24"/>
                <w:szCs w:val="24"/>
              </w:rPr>
              <w:t>95.33</w:t>
            </w:r>
            <w:bookmarkStart w:id="0" w:name="_GoBack"/>
            <w:bookmarkEnd w:id="0"/>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96,484.16</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71,035.71</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17,665.31</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12,083.92</w:t>
            </w:r>
          </w:p>
        </w:tc>
      </w:tr>
      <w:tr w:rsidR="00F72CE1">
        <w:tc>
          <w:tcPr>
            <w:tcW w:w="3012" w:type="dxa"/>
            <w:vAlign w:val="center"/>
          </w:tcPr>
          <w:p w:rsidR="00F72CE1" w:rsidRDefault="00A95B33">
            <w:pPr>
              <w:jc w:val="left"/>
            </w:pPr>
            <w:r>
              <w:rPr>
                <w:rFonts w:eastAsiaTheme="minorEastAsia"/>
                <w:color w:val="000000" w:themeColor="text1"/>
                <w:sz w:val="24"/>
                <w:szCs w:val="24"/>
              </w:rPr>
              <w:t>当期交易基金产生的交易费（元）</w:t>
            </w:r>
          </w:p>
        </w:tc>
        <w:tc>
          <w:tcPr>
            <w:tcW w:w="3012" w:type="dxa"/>
            <w:vAlign w:val="center"/>
          </w:tcPr>
          <w:p w:rsidR="00F72CE1" w:rsidRDefault="00A95B33">
            <w:pPr>
              <w:jc w:val="right"/>
            </w:pPr>
            <w:r>
              <w:rPr>
                <w:rFonts w:eastAsiaTheme="minorEastAsia"/>
                <w:color w:val="000000" w:themeColor="text1"/>
                <w:sz w:val="24"/>
                <w:szCs w:val="24"/>
              </w:rPr>
              <w:t>2,267.15</w:t>
            </w:r>
          </w:p>
        </w:tc>
        <w:tc>
          <w:tcPr>
            <w:tcW w:w="3012" w:type="dxa"/>
            <w:vAlign w:val="center"/>
          </w:tcPr>
          <w:p w:rsidR="00F72CE1" w:rsidRDefault="00A95B33">
            <w:pPr>
              <w:jc w:val="right"/>
            </w:pPr>
            <w:r>
              <w:rPr>
                <w:rFonts w:eastAsiaTheme="minorEastAsia"/>
                <w:color w:val="000000" w:themeColor="text1"/>
                <w:sz w:val="24"/>
                <w:szCs w:val="24"/>
              </w:rPr>
              <w:t>0.00</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39,156,100.56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7,325,596.22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9,644,519.04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36,837,177.74</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Pr="00A95B33" w:rsidRDefault="00ED2620" w:rsidP="00A95B33">
      <w:pPr>
        <w:autoSpaceDE w:val="0"/>
        <w:autoSpaceDN w:val="0"/>
        <w:adjustRightInd w:val="0"/>
        <w:spacing w:before="29" w:line="288" w:lineRule="auto"/>
        <w:ind w:left="15" w:right="960"/>
        <w:rPr>
          <w:rFonts w:eastAsiaTheme="minorEastAsia"/>
          <w:color w:val="000000"/>
          <w:kern w:val="0"/>
          <w:sz w:val="24"/>
        </w:rPr>
      </w:pPr>
      <w:r w:rsidRPr="00ED2620">
        <w:rPr>
          <w:rFonts w:eastAsiaTheme="minorEastAsia"/>
          <w:color w:val="000000"/>
          <w:sz w:val="24"/>
        </w:rPr>
        <w:t>无。</w:t>
      </w:r>
    </w:p>
    <w:p w:rsidR="005B09FA" w:rsidRPr="00414345" w:rsidRDefault="005B09FA" w:rsidP="00C15CAC">
      <w:pPr>
        <w:autoSpaceDE w:val="0"/>
        <w:autoSpaceDN w:val="0"/>
        <w:adjustRightInd w:val="0"/>
        <w:spacing w:before="29" w:line="288" w:lineRule="auto"/>
        <w:jc w:val="left"/>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72CE1" w:rsidRDefault="00A95B3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、中国证监会准予上投摩根尚睿混合型基金中基金</w:t>
      </w:r>
      <w:r>
        <w:rPr>
          <w:color w:val="000000"/>
          <w:sz w:val="24"/>
          <w:szCs w:val="24"/>
        </w:rPr>
        <w:t>(FOF)</w:t>
      </w:r>
      <w:r>
        <w:rPr>
          <w:color w:val="000000"/>
          <w:sz w:val="24"/>
          <w:szCs w:val="24"/>
        </w:rPr>
        <w:t>募集注册的文件；</w:t>
      </w:r>
      <w:r>
        <w:rPr>
          <w:color w:val="000000"/>
          <w:sz w:val="24"/>
          <w:szCs w:val="24"/>
        </w:rPr>
        <w:t xml:space="preserve"> </w:t>
      </w:r>
    </w:p>
    <w:p w:rsidR="00F72CE1" w:rsidRDefault="00A95B33">
      <w:pPr>
        <w:spacing w:before="29" w:line="288" w:lineRule="auto"/>
        <w:ind w:firstLineChars="200" w:firstLine="480"/>
        <w:rPr>
          <w:color w:val="000000"/>
          <w:sz w:val="24"/>
          <w:szCs w:val="24"/>
        </w:rPr>
      </w:pPr>
      <w:r>
        <w:rPr>
          <w:color w:val="000000"/>
          <w:sz w:val="24"/>
          <w:szCs w:val="24"/>
        </w:rPr>
        <w:t>2</w:t>
      </w:r>
      <w:r>
        <w:rPr>
          <w:color w:val="000000"/>
          <w:sz w:val="24"/>
          <w:szCs w:val="24"/>
        </w:rPr>
        <w:t>、《上投摩根尚睿混合型基金中基金</w:t>
      </w:r>
      <w:r>
        <w:rPr>
          <w:color w:val="000000"/>
          <w:sz w:val="24"/>
          <w:szCs w:val="24"/>
        </w:rPr>
        <w:t>(FOF)</w:t>
      </w:r>
      <w:r>
        <w:rPr>
          <w:color w:val="000000"/>
          <w:sz w:val="24"/>
          <w:szCs w:val="24"/>
        </w:rPr>
        <w:t>基金合同》；</w:t>
      </w:r>
      <w:r>
        <w:rPr>
          <w:color w:val="000000"/>
          <w:sz w:val="24"/>
          <w:szCs w:val="24"/>
        </w:rPr>
        <w:t xml:space="preserve"> </w:t>
      </w:r>
    </w:p>
    <w:p w:rsidR="00F72CE1" w:rsidRDefault="00A95B33">
      <w:pPr>
        <w:spacing w:before="29" w:line="288" w:lineRule="auto"/>
        <w:ind w:firstLineChars="200" w:firstLine="480"/>
        <w:rPr>
          <w:color w:val="000000"/>
          <w:sz w:val="24"/>
          <w:szCs w:val="24"/>
        </w:rPr>
      </w:pPr>
      <w:r>
        <w:rPr>
          <w:color w:val="000000"/>
          <w:sz w:val="24"/>
          <w:szCs w:val="24"/>
        </w:rPr>
        <w:lastRenderedPageBreak/>
        <w:t>3</w:t>
      </w:r>
      <w:r>
        <w:rPr>
          <w:color w:val="000000"/>
          <w:sz w:val="24"/>
          <w:szCs w:val="24"/>
        </w:rPr>
        <w:t>、《上投摩根尚睿混合型基金中基金</w:t>
      </w:r>
      <w:r>
        <w:rPr>
          <w:color w:val="000000"/>
          <w:sz w:val="24"/>
          <w:szCs w:val="24"/>
        </w:rPr>
        <w:t>(FOF)</w:t>
      </w:r>
      <w:r>
        <w:rPr>
          <w:color w:val="000000"/>
          <w:sz w:val="24"/>
          <w:szCs w:val="24"/>
        </w:rPr>
        <w:t>托管协议》；</w:t>
      </w:r>
      <w:r>
        <w:rPr>
          <w:color w:val="000000"/>
          <w:sz w:val="24"/>
          <w:szCs w:val="24"/>
        </w:rPr>
        <w:t xml:space="preserve"> </w:t>
      </w:r>
    </w:p>
    <w:p w:rsidR="00F72CE1" w:rsidRDefault="00A95B33">
      <w:pPr>
        <w:spacing w:before="29" w:line="288" w:lineRule="auto"/>
        <w:ind w:firstLineChars="200" w:firstLine="480"/>
        <w:rPr>
          <w:color w:val="000000"/>
          <w:sz w:val="24"/>
          <w:szCs w:val="24"/>
        </w:rPr>
      </w:pPr>
      <w:r>
        <w:rPr>
          <w:color w:val="000000"/>
          <w:sz w:val="24"/>
          <w:szCs w:val="24"/>
        </w:rPr>
        <w:t>4</w:t>
      </w:r>
      <w:r>
        <w:rPr>
          <w:color w:val="000000"/>
          <w:sz w:val="24"/>
          <w:szCs w:val="24"/>
        </w:rPr>
        <w:t>、《上投摩根开放式基金业务规则》；</w:t>
      </w:r>
      <w:r>
        <w:rPr>
          <w:color w:val="000000"/>
          <w:sz w:val="24"/>
          <w:szCs w:val="24"/>
        </w:rPr>
        <w:t xml:space="preserve"> </w:t>
      </w:r>
    </w:p>
    <w:p w:rsidR="00F72CE1" w:rsidRDefault="00A95B33">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6</w:t>
      </w:r>
      <w:r w:rsidRPr="00414345">
        <w:rPr>
          <w:color w:val="000000"/>
          <w:sz w:val="24"/>
          <w:szCs w:val="24"/>
        </w:rPr>
        <w:t>、基金托管人业务资格批件和营业执照。</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基金管理人或基金托管人处。</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AE" w:rsidRDefault="00D817AE" w:rsidP="00876D65">
      <w:r>
        <w:separator/>
      </w:r>
    </w:p>
  </w:endnote>
  <w:endnote w:type="continuationSeparator" w:id="0">
    <w:p w:rsidR="00D817AE" w:rsidRDefault="00D817A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B70540">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B70540">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AE" w:rsidRDefault="00D817AE" w:rsidP="00876D65">
      <w:r>
        <w:separator/>
      </w:r>
    </w:p>
  </w:footnote>
  <w:footnote w:type="continuationSeparator" w:id="0">
    <w:p w:rsidR="00D817AE" w:rsidRDefault="00D817A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上投摩根尚睿混合型基金中基金</w:t>
    </w:r>
    <w:r w:rsidRPr="003E676C">
      <w:rPr>
        <w:sz w:val="24"/>
        <w:szCs w:val="24"/>
      </w:rPr>
      <w:t>(FOF)2020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5B33"/>
    <w:rsid w:val="00A96A94"/>
    <w:rsid w:val="00AA3A38"/>
    <w:rsid w:val="00AA4F94"/>
    <w:rsid w:val="00AA6513"/>
    <w:rsid w:val="00AB047E"/>
    <w:rsid w:val="00AB4DB6"/>
    <w:rsid w:val="00AB6E79"/>
    <w:rsid w:val="00AC063D"/>
    <w:rsid w:val="00AC592E"/>
    <w:rsid w:val="00AC5FC0"/>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0540"/>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17AE"/>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2CE1"/>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07DFE-D45C-4EE8-8BA8-482ECA3E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14</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582</cp:revision>
  <dcterms:created xsi:type="dcterms:W3CDTF">2012-10-16T06:07:00Z</dcterms:created>
  <dcterms:modified xsi:type="dcterms:W3CDTF">2020-10-26T09:10:00Z</dcterms:modified>
</cp:coreProperties>
</file>