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bookmarkStart w:id="0" w:name="_GoBack"/>
      <w:bookmarkEnd w:id="0"/>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二〇二〇年一月二十日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FA4ECC" w:rsidRDefault="0090044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2020</w:t>
      </w:r>
      <w:r>
        <w:rPr>
          <w:color w:val="000000"/>
          <w:sz w:val="24"/>
          <w:szCs w:val="24"/>
        </w:rPr>
        <w:t>年</w:t>
      </w:r>
      <w:r>
        <w:rPr>
          <w:color w:val="000000"/>
          <w:sz w:val="24"/>
          <w:szCs w:val="24"/>
        </w:rPr>
        <w:t>1</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28,347,171.00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FA4ECC" w:rsidRDefault="00900445">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FA4ECC" w:rsidRDefault="00900445">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FA4ECC" w:rsidRDefault="00900445">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FA4ECC" w:rsidRDefault="00900445">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FA4ECC" w:rsidRDefault="00900445">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FA4ECC" w:rsidRDefault="00900445">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FA4ECC" w:rsidRDefault="00900445">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FA4ECC" w:rsidRDefault="00900445">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FA4ECC" w:rsidRDefault="00900445">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FA4ECC" w:rsidRDefault="00900445">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FA4ECC" w:rsidRDefault="00900445">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FA4ECC" w:rsidRDefault="00900445">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FA4ECC" w:rsidRDefault="00900445">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FA4ECC" w:rsidRDefault="00900445">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FA4ECC" w:rsidRDefault="00900445">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FA4ECC" w:rsidRDefault="00900445">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FA4ECC" w:rsidRDefault="00900445">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FA4ECC" w:rsidRDefault="00900445">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本基金属于混合型基金中基金，预期风险和收益水平低于股票型基金，高于债券型和货币市场基金，属于较高风险收益水平的基金产品。</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900445" w:rsidRPr="00414345" w:rsidTr="0090044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900445" w:rsidRPr="00414345" w:rsidTr="0090044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951,949.35</w:t>
            </w:r>
          </w:p>
        </w:tc>
      </w:tr>
      <w:tr w:rsidR="00900445" w:rsidRPr="00414345" w:rsidTr="0090044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2,090,649.34</w:t>
            </w:r>
          </w:p>
        </w:tc>
      </w:tr>
      <w:tr w:rsidR="00900445" w:rsidRPr="00414345" w:rsidTr="0090044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0.0797</w:t>
            </w:r>
          </w:p>
        </w:tc>
      </w:tr>
      <w:tr w:rsidR="00900445" w:rsidRPr="00414345" w:rsidTr="0090044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33,894,275.45</w:t>
            </w:r>
          </w:p>
        </w:tc>
      </w:tr>
      <w:tr w:rsidR="00900445" w:rsidRPr="00414345" w:rsidTr="0090044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1.1957</w:t>
            </w:r>
          </w:p>
        </w:tc>
      </w:tr>
    </w:tbl>
    <w:p w:rsidR="00FA4ECC" w:rsidRDefault="00900445">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FA4ECC">
        <w:trPr>
          <w:jc w:val="center"/>
        </w:trPr>
        <w:tc>
          <w:tcPr>
            <w:tcW w:w="1701" w:type="dxa"/>
            <w:vAlign w:val="center"/>
          </w:tcPr>
          <w:p w:rsidR="00FA4ECC" w:rsidRDefault="00900445">
            <w:pPr>
              <w:jc w:val="left"/>
            </w:pPr>
            <w:r>
              <w:rPr>
                <w:color w:val="000000"/>
                <w:sz w:val="24"/>
                <w:szCs w:val="24"/>
              </w:rPr>
              <w:t>过去三个月</w:t>
            </w:r>
          </w:p>
        </w:tc>
        <w:tc>
          <w:tcPr>
            <w:tcW w:w="1045" w:type="dxa"/>
            <w:vAlign w:val="center"/>
          </w:tcPr>
          <w:p w:rsidR="00FA4ECC" w:rsidRDefault="00900445">
            <w:pPr>
              <w:jc w:val="center"/>
            </w:pPr>
            <w:r>
              <w:rPr>
                <w:color w:val="000000"/>
                <w:sz w:val="24"/>
                <w:szCs w:val="24"/>
              </w:rPr>
              <w:t>6.97%</w:t>
            </w:r>
          </w:p>
        </w:tc>
        <w:tc>
          <w:tcPr>
            <w:tcW w:w="1344" w:type="dxa"/>
            <w:vAlign w:val="center"/>
          </w:tcPr>
          <w:p w:rsidR="00FA4ECC" w:rsidRDefault="00900445">
            <w:pPr>
              <w:jc w:val="center"/>
            </w:pPr>
            <w:r>
              <w:rPr>
                <w:color w:val="000000"/>
                <w:sz w:val="24"/>
                <w:szCs w:val="24"/>
              </w:rPr>
              <w:t>0.48%</w:t>
            </w:r>
          </w:p>
        </w:tc>
        <w:tc>
          <w:tcPr>
            <w:tcW w:w="1194" w:type="dxa"/>
            <w:vAlign w:val="center"/>
          </w:tcPr>
          <w:p w:rsidR="00FA4ECC" w:rsidRDefault="00900445">
            <w:pPr>
              <w:jc w:val="center"/>
            </w:pPr>
            <w:r>
              <w:rPr>
                <w:color w:val="000000"/>
                <w:sz w:val="24"/>
                <w:szCs w:val="24"/>
              </w:rPr>
              <w:t>4.81%</w:t>
            </w:r>
          </w:p>
        </w:tc>
        <w:tc>
          <w:tcPr>
            <w:tcW w:w="1492" w:type="dxa"/>
            <w:vAlign w:val="center"/>
          </w:tcPr>
          <w:p w:rsidR="00FA4ECC" w:rsidRDefault="00900445">
            <w:pPr>
              <w:jc w:val="center"/>
            </w:pPr>
            <w:r>
              <w:rPr>
                <w:color w:val="000000"/>
                <w:sz w:val="24"/>
                <w:szCs w:val="24"/>
              </w:rPr>
              <w:t>0.45%</w:t>
            </w:r>
          </w:p>
        </w:tc>
        <w:tc>
          <w:tcPr>
            <w:tcW w:w="1194" w:type="dxa"/>
            <w:vAlign w:val="center"/>
          </w:tcPr>
          <w:p w:rsidR="00FA4ECC" w:rsidRDefault="00900445">
            <w:pPr>
              <w:jc w:val="center"/>
            </w:pPr>
            <w:r>
              <w:rPr>
                <w:color w:val="000000"/>
                <w:sz w:val="24"/>
                <w:szCs w:val="24"/>
              </w:rPr>
              <w:t>2.16%</w:t>
            </w:r>
          </w:p>
        </w:tc>
        <w:tc>
          <w:tcPr>
            <w:tcW w:w="898" w:type="dxa"/>
            <w:vAlign w:val="center"/>
          </w:tcPr>
          <w:p w:rsidR="00FA4ECC" w:rsidRDefault="00900445">
            <w:pPr>
              <w:jc w:val="center"/>
            </w:pPr>
            <w:r>
              <w:rPr>
                <w:color w:val="000000"/>
                <w:sz w:val="24"/>
                <w:szCs w:val="24"/>
              </w:rPr>
              <w:t>0.03%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FA4ECC" w:rsidRDefault="00900445">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日，图示时间段为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日至</w:t>
      </w:r>
      <w:r>
        <w:rPr>
          <w:color w:val="000000"/>
          <w:sz w:val="24"/>
          <w:szCs w:val="24"/>
        </w:rPr>
        <w:t>2019</w:t>
      </w:r>
      <w:r>
        <w:rPr>
          <w:color w:val="000000"/>
          <w:sz w:val="24"/>
          <w:szCs w:val="24"/>
        </w:rPr>
        <w:t>年</w:t>
      </w:r>
      <w:r>
        <w:rPr>
          <w:color w:val="000000"/>
          <w:sz w:val="24"/>
          <w:szCs w:val="24"/>
        </w:rPr>
        <w:t>12</w:t>
      </w:r>
      <w:r>
        <w:rPr>
          <w:color w:val="000000"/>
          <w:sz w:val="24"/>
          <w:szCs w:val="24"/>
        </w:rPr>
        <w:t>月</w:t>
      </w:r>
      <w:r>
        <w:rPr>
          <w:color w:val="000000"/>
          <w:sz w:val="24"/>
          <w:szCs w:val="24"/>
        </w:rPr>
        <w:t>31</w:t>
      </w:r>
      <w:r>
        <w:rPr>
          <w:color w:val="000000"/>
          <w:sz w:val="24"/>
          <w:szCs w:val="24"/>
        </w:rPr>
        <w:t>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本基金建仓期自</w:t>
      </w:r>
      <w:r w:rsidRPr="00414345">
        <w:rPr>
          <w:color w:val="000000"/>
          <w:sz w:val="24"/>
          <w:szCs w:val="24"/>
        </w:rPr>
        <w:t>2018</w:t>
      </w:r>
      <w:r w:rsidRPr="00414345">
        <w:rPr>
          <w:color w:val="000000"/>
          <w:sz w:val="24"/>
          <w:szCs w:val="24"/>
        </w:rPr>
        <w:t>年</w:t>
      </w:r>
      <w:r w:rsidRPr="00414345">
        <w:rPr>
          <w:color w:val="000000"/>
          <w:sz w:val="24"/>
          <w:szCs w:val="24"/>
        </w:rPr>
        <w:t>8</w:t>
      </w:r>
      <w:r w:rsidRPr="00414345">
        <w:rPr>
          <w:color w:val="000000"/>
          <w:sz w:val="24"/>
          <w:szCs w:val="24"/>
        </w:rPr>
        <w:t>月</w:t>
      </w:r>
      <w:r w:rsidRPr="00414345">
        <w:rPr>
          <w:color w:val="000000"/>
          <w:sz w:val="24"/>
          <w:szCs w:val="24"/>
        </w:rPr>
        <w:t>15</w:t>
      </w:r>
      <w:r w:rsidRPr="00414345">
        <w:rPr>
          <w:color w:val="000000"/>
          <w:sz w:val="24"/>
          <w:szCs w:val="24"/>
        </w:rPr>
        <w:t>日至</w:t>
      </w:r>
      <w:r w:rsidRPr="00414345">
        <w:rPr>
          <w:color w:val="000000"/>
          <w:sz w:val="24"/>
          <w:szCs w:val="24"/>
        </w:rPr>
        <w:t>2019</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14</w:t>
      </w:r>
      <w:r w:rsidRPr="00414345">
        <w:rPr>
          <w:color w:val="000000"/>
          <w:sz w:val="24"/>
          <w:szCs w:val="24"/>
        </w:rPr>
        <w:t>日，建仓期结束时资产配置比例符合本基金基金合同规定。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FA4ECC">
        <w:trPr>
          <w:jc w:val="center"/>
        </w:trPr>
        <w:tc>
          <w:tcPr>
            <w:tcW w:w="846" w:type="dxa"/>
            <w:vAlign w:val="center"/>
          </w:tcPr>
          <w:p w:rsidR="00FA4ECC" w:rsidRDefault="00900445">
            <w:pPr>
              <w:jc w:val="center"/>
            </w:pPr>
            <w:r>
              <w:rPr>
                <w:color w:val="000000"/>
                <w:sz w:val="24"/>
                <w:szCs w:val="24"/>
              </w:rPr>
              <w:t>孟鸣</w:t>
            </w:r>
          </w:p>
        </w:tc>
        <w:tc>
          <w:tcPr>
            <w:tcW w:w="845" w:type="dxa"/>
            <w:vAlign w:val="center"/>
          </w:tcPr>
          <w:p w:rsidR="00FA4ECC" w:rsidRDefault="00900445">
            <w:pPr>
              <w:jc w:val="center"/>
            </w:pPr>
            <w:r>
              <w:rPr>
                <w:color w:val="000000"/>
                <w:sz w:val="24"/>
                <w:szCs w:val="24"/>
              </w:rPr>
              <w:t>本基金基金经理</w:t>
            </w:r>
          </w:p>
        </w:tc>
        <w:tc>
          <w:tcPr>
            <w:tcW w:w="1549" w:type="dxa"/>
            <w:vAlign w:val="center"/>
          </w:tcPr>
          <w:p w:rsidR="00FA4ECC" w:rsidRDefault="00900445">
            <w:pPr>
              <w:jc w:val="center"/>
            </w:pPr>
            <w:r>
              <w:rPr>
                <w:color w:val="000000"/>
                <w:sz w:val="24"/>
                <w:szCs w:val="24"/>
              </w:rPr>
              <w:t>2018-08-15</w:t>
            </w:r>
          </w:p>
        </w:tc>
        <w:tc>
          <w:tcPr>
            <w:tcW w:w="1548" w:type="dxa"/>
            <w:vAlign w:val="center"/>
          </w:tcPr>
          <w:p w:rsidR="00FA4ECC" w:rsidRDefault="00900445">
            <w:pPr>
              <w:jc w:val="center"/>
            </w:pPr>
            <w:r>
              <w:rPr>
                <w:color w:val="000000"/>
                <w:sz w:val="24"/>
                <w:szCs w:val="24"/>
              </w:rPr>
              <w:t>-</w:t>
            </w:r>
          </w:p>
        </w:tc>
        <w:tc>
          <w:tcPr>
            <w:tcW w:w="1407" w:type="dxa"/>
            <w:vAlign w:val="center"/>
          </w:tcPr>
          <w:p w:rsidR="00FA4ECC" w:rsidRDefault="00900445">
            <w:pPr>
              <w:jc w:val="center"/>
            </w:pPr>
            <w:r>
              <w:rPr>
                <w:color w:val="000000"/>
                <w:sz w:val="24"/>
                <w:szCs w:val="24"/>
              </w:rPr>
              <w:t>5</w:t>
            </w:r>
            <w:r>
              <w:rPr>
                <w:color w:val="000000"/>
                <w:sz w:val="24"/>
                <w:szCs w:val="24"/>
              </w:rPr>
              <w:t>年</w:t>
            </w:r>
          </w:p>
        </w:tc>
        <w:tc>
          <w:tcPr>
            <w:tcW w:w="2673" w:type="dxa"/>
            <w:vAlign w:val="center"/>
          </w:tcPr>
          <w:p w:rsidR="00FA4ECC" w:rsidRDefault="00900445">
            <w:r>
              <w:rPr>
                <w:color w:val="000000"/>
                <w:sz w:val="24"/>
                <w:szCs w:val="24"/>
              </w:rPr>
              <w:t>孟鸣先生，上海外国语大学日本文化经济本科。自</w:t>
            </w:r>
            <w:r>
              <w:rPr>
                <w:color w:val="000000"/>
                <w:sz w:val="24"/>
                <w:szCs w:val="24"/>
              </w:rPr>
              <w:t>2001</w:t>
            </w:r>
            <w:r>
              <w:rPr>
                <w:color w:val="000000"/>
                <w:sz w:val="24"/>
                <w:szCs w:val="24"/>
              </w:rPr>
              <w:t>年</w:t>
            </w:r>
            <w:r>
              <w:rPr>
                <w:color w:val="000000"/>
                <w:sz w:val="24"/>
                <w:szCs w:val="24"/>
              </w:rPr>
              <w:t>6</w:t>
            </w:r>
            <w:r>
              <w:rPr>
                <w:color w:val="000000"/>
                <w:sz w:val="24"/>
                <w:szCs w:val="24"/>
              </w:rPr>
              <w:t>月至</w:t>
            </w:r>
            <w:r>
              <w:rPr>
                <w:color w:val="000000"/>
                <w:sz w:val="24"/>
                <w:szCs w:val="24"/>
              </w:rPr>
              <w:t>2003</w:t>
            </w:r>
            <w:r>
              <w:rPr>
                <w:color w:val="000000"/>
                <w:sz w:val="24"/>
                <w:szCs w:val="24"/>
              </w:rPr>
              <w:t>年</w:t>
            </w:r>
            <w:r>
              <w:rPr>
                <w:color w:val="000000"/>
                <w:sz w:val="24"/>
                <w:szCs w:val="24"/>
              </w:rPr>
              <w:t>7</w:t>
            </w:r>
            <w:r>
              <w:rPr>
                <w:color w:val="000000"/>
                <w:sz w:val="24"/>
                <w:szCs w:val="24"/>
              </w:rPr>
              <w:t>月，在三菱</w:t>
            </w:r>
            <w:r>
              <w:rPr>
                <w:color w:val="000000"/>
                <w:sz w:val="24"/>
                <w:szCs w:val="24"/>
              </w:rPr>
              <w:t>UFJ</w:t>
            </w:r>
            <w:r>
              <w:rPr>
                <w:color w:val="000000"/>
                <w:sz w:val="24"/>
                <w:szCs w:val="24"/>
              </w:rPr>
              <w:t>银行担任职员；自</w:t>
            </w:r>
            <w:r>
              <w:rPr>
                <w:color w:val="000000"/>
                <w:sz w:val="24"/>
                <w:szCs w:val="24"/>
              </w:rPr>
              <w:t>2003</w:t>
            </w:r>
            <w:r>
              <w:rPr>
                <w:color w:val="000000"/>
                <w:sz w:val="24"/>
                <w:szCs w:val="24"/>
              </w:rPr>
              <w:t>年</w:t>
            </w:r>
            <w:r>
              <w:rPr>
                <w:color w:val="000000"/>
                <w:sz w:val="24"/>
                <w:szCs w:val="24"/>
              </w:rPr>
              <w:t>8</w:t>
            </w:r>
            <w:r>
              <w:rPr>
                <w:color w:val="000000"/>
                <w:sz w:val="24"/>
                <w:szCs w:val="24"/>
              </w:rPr>
              <w:t>月至</w:t>
            </w:r>
            <w:r>
              <w:rPr>
                <w:color w:val="000000"/>
                <w:sz w:val="24"/>
                <w:szCs w:val="24"/>
              </w:rPr>
              <w:t>2004</w:t>
            </w:r>
            <w:r>
              <w:rPr>
                <w:color w:val="000000"/>
                <w:sz w:val="24"/>
                <w:szCs w:val="24"/>
              </w:rPr>
              <w:t>年</w:t>
            </w:r>
            <w:r>
              <w:rPr>
                <w:color w:val="000000"/>
                <w:sz w:val="24"/>
                <w:szCs w:val="24"/>
              </w:rPr>
              <w:t>10</w:t>
            </w:r>
            <w:r>
              <w:rPr>
                <w:color w:val="000000"/>
                <w:sz w:val="24"/>
                <w:szCs w:val="24"/>
              </w:rPr>
              <w:t>月，在麦肯光明传播集团担任客户经理；自</w:t>
            </w:r>
            <w:r>
              <w:rPr>
                <w:color w:val="000000"/>
                <w:sz w:val="24"/>
                <w:szCs w:val="24"/>
              </w:rPr>
              <w:t>2004</w:t>
            </w:r>
            <w:r>
              <w:rPr>
                <w:color w:val="000000"/>
                <w:sz w:val="24"/>
                <w:szCs w:val="24"/>
              </w:rPr>
              <w:t>年</w:t>
            </w:r>
            <w:r>
              <w:rPr>
                <w:color w:val="000000"/>
                <w:sz w:val="24"/>
                <w:szCs w:val="24"/>
              </w:rPr>
              <w:t>10</w:t>
            </w:r>
            <w:r>
              <w:rPr>
                <w:color w:val="000000"/>
                <w:sz w:val="24"/>
                <w:szCs w:val="24"/>
              </w:rPr>
              <w:t>月加入埃森哲，</w:t>
            </w:r>
            <w:r>
              <w:rPr>
                <w:color w:val="000000"/>
                <w:sz w:val="24"/>
                <w:szCs w:val="24"/>
              </w:rPr>
              <w:t>2004</w:t>
            </w:r>
            <w:r>
              <w:rPr>
                <w:color w:val="000000"/>
                <w:sz w:val="24"/>
                <w:szCs w:val="24"/>
              </w:rPr>
              <w:t>年</w:t>
            </w:r>
            <w:r>
              <w:rPr>
                <w:color w:val="000000"/>
                <w:sz w:val="24"/>
                <w:szCs w:val="24"/>
              </w:rPr>
              <w:t>10</w:t>
            </w:r>
            <w:r>
              <w:rPr>
                <w:color w:val="000000"/>
                <w:sz w:val="24"/>
                <w:szCs w:val="24"/>
              </w:rPr>
              <w:t>月至</w:t>
            </w:r>
            <w:r>
              <w:rPr>
                <w:color w:val="000000"/>
                <w:sz w:val="24"/>
                <w:szCs w:val="24"/>
              </w:rPr>
              <w:t>2006</w:t>
            </w:r>
            <w:r>
              <w:rPr>
                <w:color w:val="000000"/>
                <w:sz w:val="24"/>
                <w:szCs w:val="24"/>
              </w:rPr>
              <w:t>年</w:t>
            </w:r>
            <w:r>
              <w:rPr>
                <w:color w:val="000000"/>
                <w:sz w:val="24"/>
                <w:szCs w:val="24"/>
              </w:rPr>
              <w:t>8</w:t>
            </w:r>
            <w:r>
              <w:rPr>
                <w:color w:val="000000"/>
                <w:sz w:val="24"/>
                <w:szCs w:val="24"/>
              </w:rPr>
              <w:t>月，由埃森哲派出为美国证券托管清算机构服务，担任金融信息咨询部研究组长；自</w:t>
            </w:r>
            <w:r>
              <w:rPr>
                <w:color w:val="000000"/>
                <w:sz w:val="24"/>
                <w:szCs w:val="24"/>
              </w:rPr>
              <w:t>2006</w:t>
            </w:r>
            <w:r>
              <w:rPr>
                <w:color w:val="000000"/>
                <w:sz w:val="24"/>
                <w:szCs w:val="24"/>
              </w:rPr>
              <w:t>年</w:t>
            </w:r>
            <w:r>
              <w:rPr>
                <w:color w:val="000000"/>
                <w:sz w:val="24"/>
                <w:szCs w:val="24"/>
              </w:rPr>
              <w:t>9</w:t>
            </w:r>
            <w:r>
              <w:rPr>
                <w:color w:val="000000"/>
                <w:sz w:val="24"/>
                <w:szCs w:val="24"/>
              </w:rPr>
              <w:t>月到</w:t>
            </w:r>
            <w:r>
              <w:rPr>
                <w:color w:val="000000"/>
                <w:sz w:val="24"/>
                <w:szCs w:val="24"/>
              </w:rPr>
              <w:t>2015</w:t>
            </w:r>
            <w:r>
              <w:rPr>
                <w:color w:val="000000"/>
                <w:sz w:val="24"/>
                <w:szCs w:val="24"/>
              </w:rPr>
              <w:t>年</w:t>
            </w:r>
            <w:r>
              <w:rPr>
                <w:color w:val="000000"/>
                <w:sz w:val="24"/>
                <w:szCs w:val="24"/>
              </w:rPr>
              <w:t>1</w:t>
            </w:r>
            <w:r>
              <w:rPr>
                <w:color w:val="000000"/>
                <w:sz w:val="24"/>
                <w:szCs w:val="24"/>
              </w:rPr>
              <w:t>月，服务于德意志银行股票研究团队，担任证券研究部部门负责人，其间由于合同关系变更，</w:t>
            </w:r>
            <w:r>
              <w:rPr>
                <w:color w:val="000000"/>
                <w:sz w:val="24"/>
                <w:szCs w:val="24"/>
              </w:rPr>
              <w:t>2013</w:t>
            </w:r>
            <w:r>
              <w:rPr>
                <w:color w:val="000000"/>
                <w:sz w:val="24"/>
                <w:szCs w:val="24"/>
              </w:rPr>
              <w:t>年</w:t>
            </w:r>
            <w:r>
              <w:rPr>
                <w:color w:val="000000"/>
                <w:sz w:val="24"/>
                <w:szCs w:val="24"/>
              </w:rPr>
              <w:t>11</w:t>
            </w:r>
            <w:r>
              <w:rPr>
                <w:color w:val="000000"/>
                <w:sz w:val="24"/>
                <w:szCs w:val="24"/>
              </w:rPr>
              <w:t>月至</w:t>
            </w:r>
            <w:r>
              <w:rPr>
                <w:color w:val="000000"/>
                <w:sz w:val="24"/>
                <w:szCs w:val="24"/>
              </w:rPr>
              <w:t>2015</w:t>
            </w:r>
            <w:r>
              <w:rPr>
                <w:color w:val="000000"/>
                <w:sz w:val="24"/>
                <w:szCs w:val="24"/>
              </w:rPr>
              <w:t>年</w:t>
            </w:r>
            <w:r>
              <w:rPr>
                <w:color w:val="000000"/>
                <w:sz w:val="24"/>
                <w:szCs w:val="24"/>
              </w:rPr>
              <w:t>1</w:t>
            </w:r>
            <w:r>
              <w:rPr>
                <w:color w:val="000000"/>
                <w:sz w:val="24"/>
                <w:szCs w:val="24"/>
              </w:rPr>
              <w:t>月受雇于易唯思商务咨询；自</w:t>
            </w:r>
            <w:r>
              <w:rPr>
                <w:color w:val="000000"/>
                <w:sz w:val="24"/>
                <w:szCs w:val="24"/>
              </w:rPr>
              <w:t>2015</w:t>
            </w:r>
            <w:r>
              <w:rPr>
                <w:color w:val="000000"/>
                <w:sz w:val="24"/>
                <w:szCs w:val="24"/>
              </w:rPr>
              <w:t>年</w:t>
            </w:r>
            <w:r>
              <w:rPr>
                <w:color w:val="000000"/>
                <w:sz w:val="24"/>
                <w:szCs w:val="24"/>
              </w:rPr>
              <w:t>1</w:t>
            </w:r>
            <w:r>
              <w:rPr>
                <w:color w:val="000000"/>
                <w:sz w:val="24"/>
                <w:szCs w:val="24"/>
              </w:rPr>
              <w:t>月起加入上投摩根基金管理有限公司，历任公司高级投资组合经理、资深投资组合经理、基金经理；自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FA4ECC">
        <w:trPr>
          <w:jc w:val="center"/>
        </w:trPr>
        <w:tc>
          <w:tcPr>
            <w:tcW w:w="846" w:type="dxa"/>
            <w:vAlign w:val="center"/>
          </w:tcPr>
          <w:p w:rsidR="00FA4ECC" w:rsidRDefault="00900445">
            <w:pPr>
              <w:jc w:val="center"/>
            </w:pPr>
            <w:r>
              <w:rPr>
                <w:color w:val="000000"/>
                <w:sz w:val="24"/>
                <w:szCs w:val="24"/>
              </w:rPr>
              <w:t>刘凌云</w:t>
            </w:r>
          </w:p>
        </w:tc>
        <w:tc>
          <w:tcPr>
            <w:tcW w:w="845" w:type="dxa"/>
            <w:vAlign w:val="center"/>
          </w:tcPr>
          <w:p w:rsidR="00FA4ECC" w:rsidRDefault="00900445">
            <w:pPr>
              <w:jc w:val="center"/>
            </w:pPr>
            <w:r>
              <w:rPr>
                <w:color w:val="000000"/>
                <w:sz w:val="24"/>
                <w:szCs w:val="24"/>
              </w:rPr>
              <w:t>本基金基金经理、组合基金投资部总监</w:t>
            </w:r>
          </w:p>
        </w:tc>
        <w:tc>
          <w:tcPr>
            <w:tcW w:w="1549" w:type="dxa"/>
            <w:vAlign w:val="center"/>
          </w:tcPr>
          <w:p w:rsidR="00FA4ECC" w:rsidRDefault="00900445">
            <w:pPr>
              <w:jc w:val="center"/>
            </w:pPr>
            <w:r>
              <w:rPr>
                <w:color w:val="000000"/>
                <w:sz w:val="24"/>
                <w:szCs w:val="24"/>
              </w:rPr>
              <w:t>2018-08-15</w:t>
            </w:r>
          </w:p>
        </w:tc>
        <w:tc>
          <w:tcPr>
            <w:tcW w:w="1548" w:type="dxa"/>
            <w:vAlign w:val="center"/>
          </w:tcPr>
          <w:p w:rsidR="00FA4ECC" w:rsidRDefault="00900445">
            <w:pPr>
              <w:jc w:val="center"/>
            </w:pPr>
            <w:r>
              <w:rPr>
                <w:color w:val="000000"/>
                <w:sz w:val="24"/>
                <w:szCs w:val="24"/>
              </w:rPr>
              <w:t>-</w:t>
            </w:r>
          </w:p>
        </w:tc>
        <w:tc>
          <w:tcPr>
            <w:tcW w:w="1407" w:type="dxa"/>
            <w:vAlign w:val="center"/>
          </w:tcPr>
          <w:p w:rsidR="00FA4ECC" w:rsidRDefault="00900445">
            <w:pPr>
              <w:jc w:val="center"/>
            </w:pPr>
            <w:r>
              <w:rPr>
                <w:color w:val="000000"/>
                <w:sz w:val="24"/>
                <w:szCs w:val="24"/>
              </w:rPr>
              <w:t>12</w:t>
            </w:r>
            <w:r>
              <w:rPr>
                <w:color w:val="000000"/>
                <w:sz w:val="24"/>
                <w:szCs w:val="24"/>
              </w:rPr>
              <w:t>年</w:t>
            </w:r>
          </w:p>
        </w:tc>
        <w:tc>
          <w:tcPr>
            <w:tcW w:w="2673" w:type="dxa"/>
            <w:vAlign w:val="center"/>
          </w:tcPr>
          <w:p w:rsidR="00FA4ECC" w:rsidRDefault="00900445">
            <w:r>
              <w:rPr>
                <w:color w:val="000000"/>
                <w:sz w:val="24"/>
                <w:szCs w:val="24"/>
              </w:rPr>
              <w:t>刘凌云女士，自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bl>
    <w:p w:rsidR="00FA4ECC" w:rsidRDefault="0090044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 xml:space="preserve">1. </w:t>
      </w:r>
      <w:r>
        <w:rPr>
          <w:color w:val="000000"/>
          <w:sz w:val="24"/>
          <w:szCs w:val="24"/>
        </w:rPr>
        <w:t>任职日期和离任日期均指根据公司决定确定的聘任日期和解聘日期。</w:t>
      </w:r>
    </w:p>
    <w:p w:rsidR="00FA4ECC" w:rsidRDefault="00900445">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孟鸣先生</w:t>
      </w:r>
      <w:r>
        <w:rPr>
          <w:color w:val="000000"/>
          <w:sz w:val="24"/>
          <w:szCs w:val="24"/>
        </w:rPr>
        <w:t>,</w:t>
      </w:r>
      <w:r>
        <w:rPr>
          <w:color w:val="000000"/>
          <w:sz w:val="24"/>
          <w:szCs w:val="24"/>
        </w:rPr>
        <w:t>刘凌云女士为本基金首任基金经理，其任职日期为本基金基金合同生效之日；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基金合同》的规定。基金经理对个股和投资组合的比例遵循了投资决策委员会的授权限制，基金投资比例符合基金合同和法律法规的要求。</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FA4ECC" w:rsidRDefault="00900445">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A4ECC" w:rsidRDefault="00900445">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FA4ECC" w:rsidRDefault="00900445">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FA4ECC" w:rsidRDefault="00900445">
      <w:pPr>
        <w:spacing w:before="29" w:line="288" w:lineRule="auto"/>
        <w:ind w:firstLineChars="200" w:firstLine="480"/>
        <w:rPr>
          <w:color w:val="000000"/>
          <w:sz w:val="24"/>
          <w:szCs w:val="24"/>
        </w:rPr>
      </w:pPr>
      <w:r>
        <w:rPr>
          <w:color w:val="000000"/>
          <w:sz w:val="24"/>
          <w:szCs w:val="24"/>
        </w:rPr>
        <w:t>回顾四季度，各类资产均出现上涨机会，特别是进入</w:t>
      </w:r>
      <w:r>
        <w:rPr>
          <w:color w:val="000000"/>
          <w:sz w:val="24"/>
          <w:szCs w:val="24"/>
        </w:rPr>
        <w:t>12</w:t>
      </w:r>
      <w:r>
        <w:rPr>
          <w:color w:val="000000"/>
          <w:sz w:val="24"/>
          <w:szCs w:val="24"/>
        </w:rPr>
        <w:t>月之后，在中美贸易协商取得阶段性成果之后，以权益为代表的风险资产表现更佳。国内方面，股市整体指数涨幅不大，市场依然维持结构性行情的特征，科技、消费和医药行业短暂调整后继续引领市场上涨。港股受到地缘因素影响出现阶段性下行，但随着当地局势的稳定，恒生指数在连续超跌和低估值的支撑下维持上涨方向。美股方面，</w:t>
      </w:r>
      <w:r>
        <w:rPr>
          <w:color w:val="000000"/>
          <w:sz w:val="24"/>
          <w:szCs w:val="24"/>
        </w:rPr>
        <w:t>PMI</w:t>
      </w:r>
      <w:r>
        <w:rPr>
          <w:color w:val="000000"/>
          <w:sz w:val="24"/>
          <w:szCs w:val="24"/>
        </w:rPr>
        <w:t>和就业等经济数据表现强劲，支撑标普</w:t>
      </w:r>
      <w:r>
        <w:rPr>
          <w:color w:val="000000"/>
          <w:sz w:val="24"/>
          <w:szCs w:val="24"/>
        </w:rPr>
        <w:t>500</w:t>
      </w:r>
      <w:r>
        <w:rPr>
          <w:color w:val="000000"/>
          <w:sz w:val="24"/>
          <w:szCs w:val="24"/>
        </w:rPr>
        <w:t>收盘价持续创造历史新高。</w:t>
      </w:r>
    </w:p>
    <w:p w:rsidR="00FA4ECC" w:rsidRDefault="00900445">
      <w:pPr>
        <w:spacing w:before="29" w:line="288" w:lineRule="auto"/>
        <w:ind w:firstLineChars="200" w:firstLine="480"/>
        <w:rPr>
          <w:color w:val="000000"/>
          <w:sz w:val="24"/>
          <w:szCs w:val="24"/>
        </w:rPr>
      </w:pPr>
      <w:r>
        <w:rPr>
          <w:color w:val="000000"/>
          <w:sz w:val="24"/>
          <w:szCs w:val="24"/>
        </w:rPr>
        <w:t>资产配置上，四季度基金总体超配权益资产、低配债券资产。</w:t>
      </w:r>
      <w:r>
        <w:rPr>
          <w:color w:val="000000"/>
          <w:sz w:val="24"/>
          <w:szCs w:val="24"/>
        </w:rPr>
        <w:t>A</w:t>
      </w:r>
      <w:r>
        <w:rPr>
          <w:color w:val="000000"/>
          <w:sz w:val="24"/>
          <w:szCs w:val="24"/>
        </w:rPr>
        <w:t>股方面，在保持对科技成长板块配置的基础上，适当增加了对金融板块的配置并在</w:t>
      </w:r>
      <w:r>
        <w:rPr>
          <w:color w:val="000000"/>
          <w:sz w:val="24"/>
          <w:szCs w:val="24"/>
        </w:rPr>
        <w:t>12</w:t>
      </w:r>
      <w:r>
        <w:rPr>
          <w:color w:val="000000"/>
          <w:sz w:val="24"/>
          <w:szCs w:val="24"/>
        </w:rPr>
        <w:t>月份收到较好的效果。港股方面，基金逢低配置了部分个股，为组合收益提供了正贡献。海外方面，基金重点配置发达市场</w:t>
      </w:r>
      <w:r>
        <w:rPr>
          <w:color w:val="000000"/>
          <w:sz w:val="24"/>
          <w:szCs w:val="24"/>
        </w:rPr>
        <w:t>REITs</w:t>
      </w:r>
      <w:r>
        <w:rPr>
          <w:color w:val="000000"/>
          <w:sz w:val="24"/>
          <w:szCs w:val="24"/>
        </w:rPr>
        <w:t>和新兴市场权益。总体而言，基金组合兼顾国内、海外与另类资产，在控制净值波动的基础上，在四季度为投资者进一步提升了收益。</w:t>
      </w:r>
    </w:p>
    <w:p w:rsidR="00FA4ECC" w:rsidRDefault="00900445">
      <w:pPr>
        <w:spacing w:before="29" w:line="288" w:lineRule="auto"/>
        <w:ind w:firstLineChars="200" w:firstLine="480"/>
        <w:rPr>
          <w:color w:val="000000"/>
          <w:sz w:val="24"/>
          <w:szCs w:val="24"/>
        </w:rPr>
      </w:pPr>
      <w:r>
        <w:rPr>
          <w:color w:val="000000"/>
          <w:sz w:val="24"/>
          <w:szCs w:val="24"/>
        </w:rPr>
        <w:t>展望</w:t>
      </w:r>
      <w:r>
        <w:rPr>
          <w:color w:val="000000"/>
          <w:sz w:val="24"/>
          <w:szCs w:val="24"/>
        </w:rPr>
        <w:t>2020</w:t>
      </w:r>
      <w:r>
        <w:rPr>
          <w:color w:val="000000"/>
          <w:sz w:val="24"/>
          <w:szCs w:val="24"/>
        </w:rPr>
        <w:t>年一季度，在今年稳增长的政策基调下，已经看到工业产值、</w:t>
      </w:r>
      <w:r>
        <w:rPr>
          <w:color w:val="000000"/>
          <w:sz w:val="24"/>
          <w:szCs w:val="24"/>
        </w:rPr>
        <w:t>PMI</w:t>
      </w:r>
      <w:r>
        <w:rPr>
          <w:color w:val="000000"/>
          <w:sz w:val="24"/>
          <w:szCs w:val="24"/>
        </w:rPr>
        <w:t>开始出现回暖的走势，预计一季度的经济数据将延续四季度继续好转。虽然</w:t>
      </w:r>
      <w:r>
        <w:rPr>
          <w:color w:val="000000"/>
          <w:sz w:val="24"/>
          <w:szCs w:val="24"/>
        </w:rPr>
        <w:t>CPI</w:t>
      </w:r>
      <w:r>
        <w:rPr>
          <w:color w:val="000000"/>
          <w:sz w:val="24"/>
          <w:szCs w:val="24"/>
        </w:rPr>
        <w:t>在</w:t>
      </w:r>
      <w:r>
        <w:rPr>
          <w:color w:val="000000"/>
          <w:sz w:val="24"/>
          <w:szCs w:val="24"/>
        </w:rPr>
        <w:t>2020</w:t>
      </w:r>
      <w:r>
        <w:rPr>
          <w:color w:val="000000"/>
          <w:sz w:val="24"/>
          <w:szCs w:val="24"/>
        </w:rPr>
        <w:t>年一季度预计可能出现阶段性走高，但随后结构性改善可能为央行实行货币宽松政策进一步打开空间。估值上，沪深</w:t>
      </w:r>
      <w:r>
        <w:rPr>
          <w:color w:val="000000"/>
          <w:sz w:val="24"/>
          <w:szCs w:val="24"/>
        </w:rPr>
        <w:t>300</w:t>
      </w:r>
      <w:r>
        <w:rPr>
          <w:color w:val="000000"/>
          <w:sz w:val="24"/>
          <w:szCs w:val="24"/>
        </w:rPr>
        <w:t>依然处于历史中等稍偏下位置，未见显著的高估或低估；国际环境上，美联储暂停降息证明了美国经济基本面依然强劲，美股下滑对</w:t>
      </w:r>
      <w:r>
        <w:rPr>
          <w:color w:val="000000"/>
          <w:sz w:val="24"/>
          <w:szCs w:val="24"/>
        </w:rPr>
        <w:t>A</w:t>
      </w:r>
      <w:r>
        <w:rPr>
          <w:color w:val="000000"/>
          <w:sz w:val="24"/>
          <w:szCs w:val="24"/>
        </w:rPr>
        <w:t>股的影响可能有限。综合考虑以上因素，我们对一季度的国内</w:t>
      </w:r>
      <w:r>
        <w:rPr>
          <w:color w:val="000000"/>
          <w:sz w:val="24"/>
          <w:szCs w:val="24"/>
        </w:rPr>
        <w:t>A</w:t>
      </w:r>
      <w:r>
        <w:rPr>
          <w:color w:val="000000"/>
          <w:sz w:val="24"/>
          <w:szCs w:val="24"/>
        </w:rPr>
        <w:t>股行情相对乐观。对于国内债券市场而言，短期内面临较大的通胀压力，通胀在一季度之后有望开始缓和，目前维持对债券资产略低于中性配置的比例。</w:t>
      </w:r>
    </w:p>
    <w:p w:rsidR="00FA4ECC" w:rsidRDefault="00900445">
      <w:pPr>
        <w:spacing w:before="29" w:line="288" w:lineRule="auto"/>
        <w:ind w:firstLineChars="200" w:firstLine="480"/>
        <w:rPr>
          <w:color w:val="000000"/>
          <w:sz w:val="24"/>
          <w:szCs w:val="24"/>
        </w:rPr>
      </w:pPr>
      <w:r>
        <w:rPr>
          <w:color w:val="000000"/>
          <w:sz w:val="24"/>
          <w:szCs w:val="24"/>
        </w:rPr>
        <w:t>海外资产方面，美股的持续上涨显示了投资者信心，多数经济指标也显示美国经济基本面依然稳健。针对美股的配置，将主要以</w:t>
      </w:r>
      <w:r>
        <w:rPr>
          <w:color w:val="000000"/>
          <w:sz w:val="24"/>
          <w:szCs w:val="24"/>
        </w:rPr>
        <w:t>Reits</w:t>
      </w:r>
      <w:r>
        <w:rPr>
          <w:color w:val="000000"/>
          <w:sz w:val="24"/>
          <w:szCs w:val="24"/>
        </w:rPr>
        <w:t>资产为主，总体维持经济后周期的观点。新兴市场方面，美元指数或趋向弱势，在全球资产无风险利率下降的情况下，追求收益率的资金有望持续流入新兴市场。考虑到香港局势渐趋稳定和以及当前估值水平较低，基金在一季度继续看好港股的配置价值。黄金在四季度持续回落后可能达到较为均衡的位置，组合目前对黄金保持中性观点，后续将持续跟踪通胀和美元的走势。</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总的来说，基金配置维持资产配置的多样化和区域</w:t>
      </w:r>
      <w:r w:rsidRPr="00414345">
        <w:rPr>
          <w:color w:val="000000"/>
          <w:sz w:val="24"/>
          <w:szCs w:val="24"/>
        </w:rPr>
        <w:t>/</w:t>
      </w:r>
      <w:r w:rsidRPr="00414345">
        <w:rPr>
          <w:color w:val="000000"/>
          <w:sz w:val="24"/>
          <w:szCs w:val="24"/>
        </w:rPr>
        <w:t>投资策略的多元化的同时，阶段性超配乐观资产，在控制下行风险的同时，努力抓住各类资产的上行表现机会，争取为投资者提供更高的风险调整后收益。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本报告期上投摩根尚睿混合</w:t>
      </w:r>
      <w:r w:rsidRPr="00414345">
        <w:rPr>
          <w:color w:val="000000"/>
          <w:sz w:val="24"/>
          <w:szCs w:val="24"/>
        </w:rPr>
        <w:t>(FOF)</w:t>
      </w:r>
      <w:r w:rsidRPr="00414345">
        <w:rPr>
          <w:color w:val="000000"/>
          <w:sz w:val="24"/>
          <w:szCs w:val="24"/>
        </w:rPr>
        <w:t>份额净值增长率为</w:t>
      </w:r>
      <w:r w:rsidRPr="00414345">
        <w:rPr>
          <w:color w:val="000000"/>
          <w:sz w:val="24"/>
          <w:szCs w:val="24"/>
        </w:rPr>
        <w:t>:6.97%</w:t>
      </w:r>
      <w:r w:rsidRPr="00414345">
        <w:rPr>
          <w:color w:val="000000"/>
          <w:sz w:val="24"/>
          <w:szCs w:val="24"/>
        </w:rPr>
        <w:t>，同期业绩比较基准收益率为</w:t>
      </w:r>
      <w:r w:rsidRPr="00414345">
        <w:rPr>
          <w:color w:val="000000"/>
          <w:sz w:val="24"/>
          <w:szCs w:val="24"/>
        </w:rPr>
        <w:t>:4.81%</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FA4ECC" w:rsidRDefault="00900445">
      <w:pPr>
        <w:spacing w:before="29" w:line="288" w:lineRule="auto"/>
        <w:ind w:firstLineChars="200" w:firstLine="480"/>
        <w:rPr>
          <w:color w:val="000000"/>
          <w:sz w:val="24"/>
        </w:rPr>
      </w:pPr>
      <w:r>
        <w:rPr>
          <w:color w:val="000000"/>
          <w:sz w:val="24"/>
        </w:rPr>
        <w:t>报告期内，本基金存在连续六十个工作日基金资产净值低于五千万元的情况，出现该情况的时间范围为</w:t>
      </w:r>
      <w:r>
        <w:rPr>
          <w:color w:val="000000"/>
          <w:sz w:val="24"/>
        </w:rPr>
        <w:t>2019</w:t>
      </w:r>
      <w:r>
        <w:rPr>
          <w:color w:val="000000"/>
          <w:sz w:val="24"/>
        </w:rPr>
        <w:t>年</w:t>
      </w:r>
      <w:r>
        <w:rPr>
          <w:color w:val="000000"/>
          <w:sz w:val="24"/>
        </w:rPr>
        <w:t>02</w:t>
      </w:r>
      <w:r>
        <w:rPr>
          <w:color w:val="000000"/>
          <w:sz w:val="24"/>
        </w:rPr>
        <w:t>月</w:t>
      </w:r>
      <w:r>
        <w:rPr>
          <w:color w:val="000000"/>
          <w:sz w:val="24"/>
        </w:rPr>
        <w:t>21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421CD2" w:rsidRDefault="00421CD2" w:rsidP="00421CD2">
      <w:pPr>
        <w:spacing w:before="29" w:line="288" w:lineRule="auto"/>
        <w:ind w:firstLineChars="200" w:firstLine="480"/>
        <w:rPr>
          <w:color w:val="000000"/>
          <w:sz w:val="24"/>
        </w:rPr>
      </w:pPr>
      <w:r w:rsidRPr="002070B4">
        <w:rPr>
          <w:color w:val="000000"/>
          <w:sz w:val="24"/>
        </w:rPr>
        <w:t>基金管理人拟调整本基金运作方式，加大营销力度，提升基金规模，方案已报监管机关。</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27,150,329.17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77.05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2,001,500.00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2,001,500.00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3,062,776.61</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1,023,080.81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2.90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35,237,686.59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2,001,500.00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5.91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2,001,500.00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5.91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FA4ECC">
        <w:trPr>
          <w:jc w:val="center"/>
        </w:trPr>
        <w:tc>
          <w:tcPr>
            <w:tcW w:w="850" w:type="dxa"/>
            <w:vAlign w:val="center"/>
          </w:tcPr>
          <w:p w:rsidR="00FA4ECC" w:rsidRDefault="00900445">
            <w:pPr>
              <w:jc w:val="center"/>
            </w:pPr>
            <w:r>
              <w:rPr>
                <w:color w:val="000000"/>
                <w:sz w:val="24"/>
                <w:szCs w:val="24"/>
              </w:rPr>
              <w:t>1</w:t>
            </w:r>
          </w:p>
        </w:tc>
        <w:tc>
          <w:tcPr>
            <w:tcW w:w="1475" w:type="dxa"/>
            <w:vAlign w:val="center"/>
          </w:tcPr>
          <w:p w:rsidR="00FA4ECC" w:rsidRDefault="00900445">
            <w:pPr>
              <w:jc w:val="center"/>
            </w:pPr>
            <w:r>
              <w:rPr>
                <w:color w:val="000000"/>
                <w:sz w:val="24"/>
                <w:szCs w:val="24"/>
              </w:rPr>
              <w:t>019611</w:t>
            </w:r>
          </w:p>
        </w:tc>
        <w:tc>
          <w:tcPr>
            <w:tcW w:w="1769" w:type="dxa"/>
            <w:vAlign w:val="center"/>
          </w:tcPr>
          <w:p w:rsidR="00FA4ECC" w:rsidRDefault="00900445">
            <w:pPr>
              <w:jc w:val="center"/>
            </w:pPr>
            <w:r>
              <w:rPr>
                <w:color w:val="000000"/>
                <w:sz w:val="24"/>
                <w:szCs w:val="24"/>
              </w:rPr>
              <w:t>19</w:t>
            </w:r>
            <w:r>
              <w:rPr>
                <w:color w:val="000000"/>
                <w:sz w:val="24"/>
                <w:szCs w:val="24"/>
              </w:rPr>
              <w:t>国债</w:t>
            </w:r>
            <w:r>
              <w:rPr>
                <w:color w:val="000000"/>
                <w:sz w:val="24"/>
                <w:szCs w:val="24"/>
              </w:rPr>
              <w:t>01</w:t>
            </w:r>
          </w:p>
        </w:tc>
        <w:tc>
          <w:tcPr>
            <w:tcW w:w="1387" w:type="dxa"/>
            <w:vAlign w:val="center"/>
          </w:tcPr>
          <w:p w:rsidR="00FA4ECC" w:rsidRDefault="00900445">
            <w:pPr>
              <w:jc w:val="right"/>
            </w:pPr>
            <w:r>
              <w:rPr>
                <w:color w:val="000000"/>
                <w:sz w:val="24"/>
                <w:szCs w:val="24"/>
              </w:rPr>
              <w:t>15,000</w:t>
            </w:r>
          </w:p>
        </w:tc>
        <w:tc>
          <w:tcPr>
            <w:tcW w:w="2150" w:type="dxa"/>
            <w:vAlign w:val="center"/>
          </w:tcPr>
          <w:p w:rsidR="00FA4ECC" w:rsidRDefault="00900445">
            <w:pPr>
              <w:jc w:val="right"/>
            </w:pPr>
            <w:r>
              <w:rPr>
                <w:color w:val="000000"/>
                <w:sz w:val="24"/>
                <w:szCs w:val="24"/>
              </w:rPr>
              <w:t>1,500,900.00</w:t>
            </w:r>
          </w:p>
        </w:tc>
        <w:tc>
          <w:tcPr>
            <w:tcW w:w="1237" w:type="dxa"/>
            <w:vAlign w:val="center"/>
          </w:tcPr>
          <w:p w:rsidR="00FA4ECC" w:rsidRDefault="00900445">
            <w:pPr>
              <w:jc w:val="right"/>
            </w:pPr>
            <w:r>
              <w:rPr>
                <w:color w:val="000000"/>
                <w:sz w:val="24"/>
                <w:szCs w:val="24"/>
              </w:rPr>
              <w:t>4.43</w:t>
            </w:r>
          </w:p>
        </w:tc>
      </w:tr>
      <w:tr w:rsidR="00FA4ECC">
        <w:trPr>
          <w:jc w:val="center"/>
        </w:trPr>
        <w:tc>
          <w:tcPr>
            <w:tcW w:w="850" w:type="dxa"/>
            <w:vAlign w:val="center"/>
          </w:tcPr>
          <w:p w:rsidR="00FA4ECC" w:rsidRDefault="00900445">
            <w:pPr>
              <w:jc w:val="center"/>
            </w:pPr>
            <w:r>
              <w:rPr>
                <w:color w:val="000000"/>
                <w:sz w:val="24"/>
                <w:szCs w:val="24"/>
              </w:rPr>
              <w:t>2</w:t>
            </w:r>
          </w:p>
        </w:tc>
        <w:tc>
          <w:tcPr>
            <w:tcW w:w="1475" w:type="dxa"/>
            <w:vAlign w:val="center"/>
          </w:tcPr>
          <w:p w:rsidR="00FA4ECC" w:rsidRDefault="00900445">
            <w:pPr>
              <w:jc w:val="center"/>
            </w:pPr>
            <w:r>
              <w:rPr>
                <w:color w:val="000000"/>
                <w:sz w:val="24"/>
                <w:szCs w:val="24"/>
              </w:rPr>
              <w:t>019615</w:t>
            </w:r>
          </w:p>
        </w:tc>
        <w:tc>
          <w:tcPr>
            <w:tcW w:w="1769" w:type="dxa"/>
            <w:vAlign w:val="center"/>
          </w:tcPr>
          <w:p w:rsidR="00FA4ECC" w:rsidRDefault="00900445">
            <w:pPr>
              <w:jc w:val="center"/>
            </w:pPr>
            <w:r>
              <w:rPr>
                <w:color w:val="000000"/>
                <w:sz w:val="24"/>
                <w:szCs w:val="24"/>
              </w:rPr>
              <w:t>19</w:t>
            </w:r>
            <w:r>
              <w:rPr>
                <w:color w:val="000000"/>
                <w:sz w:val="24"/>
                <w:szCs w:val="24"/>
              </w:rPr>
              <w:t>国债</w:t>
            </w:r>
            <w:r>
              <w:rPr>
                <w:color w:val="000000"/>
                <w:sz w:val="24"/>
                <w:szCs w:val="24"/>
              </w:rPr>
              <w:t>05</w:t>
            </w:r>
          </w:p>
        </w:tc>
        <w:tc>
          <w:tcPr>
            <w:tcW w:w="1387" w:type="dxa"/>
            <w:vAlign w:val="center"/>
          </w:tcPr>
          <w:p w:rsidR="00FA4ECC" w:rsidRDefault="00900445">
            <w:pPr>
              <w:jc w:val="right"/>
            </w:pPr>
            <w:r>
              <w:rPr>
                <w:color w:val="000000"/>
                <w:sz w:val="24"/>
                <w:szCs w:val="24"/>
              </w:rPr>
              <w:t>5,000</w:t>
            </w:r>
          </w:p>
        </w:tc>
        <w:tc>
          <w:tcPr>
            <w:tcW w:w="2150" w:type="dxa"/>
            <w:vAlign w:val="center"/>
          </w:tcPr>
          <w:p w:rsidR="00FA4ECC" w:rsidRDefault="00900445">
            <w:pPr>
              <w:jc w:val="right"/>
            </w:pPr>
            <w:r>
              <w:rPr>
                <w:color w:val="000000"/>
                <w:sz w:val="24"/>
                <w:szCs w:val="24"/>
              </w:rPr>
              <w:t>500,600.00</w:t>
            </w:r>
          </w:p>
        </w:tc>
        <w:tc>
          <w:tcPr>
            <w:tcW w:w="1237" w:type="dxa"/>
            <w:vAlign w:val="center"/>
          </w:tcPr>
          <w:p w:rsidR="00FA4ECC" w:rsidRDefault="00900445">
            <w:pPr>
              <w:jc w:val="right"/>
            </w:pPr>
            <w:r>
              <w:rPr>
                <w:color w:val="000000"/>
                <w:sz w:val="24"/>
                <w:szCs w:val="24"/>
              </w:rPr>
              <w:t>1.48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11,021.86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37,785.02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41,782.79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932,491.14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A40774" w:rsidP="00C15CAC">
            <w:pPr>
              <w:autoSpaceDE w:val="0"/>
              <w:autoSpaceDN w:val="0"/>
              <w:adjustRightInd w:val="0"/>
              <w:spacing w:before="29" w:line="288" w:lineRule="auto"/>
              <w:ind w:left="15"/>
              <w:jc w:val="right"/>
              <w:rPr>
                <w:color w:val="000000"/>
                <w:sz w:val="24"/>
                <w:szCs w:val="24"/>
              </w:rPr>
            </w:pPr>
            <w:r w:rsidRPr="00A40774">
              <w:rPr>
                <w:color w:val="000000"/>
                <w:sz w:val="24"/>
                <w:szCs w:val="24"/>
              </w:rPr>
              <w:t>1</w:t>
            </w:r>
            <w:r>
              <w:rPr>
                <w:color w:val="000000"/>
                <w:sz w:val="24"/>
                <w:szCs w:val="24"/>
              </w:rPr>
              <w:t>,</w:t>
            </w:r>
            <w:r w:rsidRPr="00A40774">
              <w:rPr>
                <w:color w:val="000000"/>
                <w:sz w:val="24"/>
                <w:szCs w:val="24"/>
              </w:rPr>
              <w:t>023</w:t>
            </w:r>
            <w:r>
              <w:rPr>
                <w:color w:val="000000"/>
                <w:sz w:val="24"/>
                <w:szCs w:val="24"/>
              </w:rPr>
              <w:t>,</w:t>
            </w:r>
            <w:r w:rsidRPr="00A40774">
              <w:rPr>
                <w:color w:val="000000"/>
                <w:sz w:val="24"/>
                <w:szCs w:val="24"/>
              </w:rPr>
              <w:t>080.81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7"/>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FA4ECC">
        <w:tc>
          <w:tcPr>
            <w:tcW w:w="835" w:type="dxa"/>
            <w:vAlign w:val="center"/>
          </w:tcPr>
          <w:p w:rsidR="00FA4ECC" w:rsidRDefault="00900445">
            <w:pPr>
              <w:jc w:val="center"/>
            </w:pPr>
            <w:r>
              <w:rPr>
                <w:sz w:val="24"/>
                <w:szCs w:val="24"/>
              </w:rPr>
              <w:t>1</w:t>
            </w:r>
          </w:p>
        </w:tc>
        <w:tc>
          <w:tcPr>
            <w:tcW w:w="1159" w:type="dxa"/>
            <w:vAlign w:val="center"/>
          </w:tcPr>
          <w:p w:rsidR="00FA4ECC" w:rsidRDefault="00900445">
            <w:pPr>
              <w:jc w:val="center"/>
            </w:pPr>
            <w:r>
              <w:rPr>
                <w:sz w:val="24"/>
                <w:szCs w:val="24"/>
              </w:rPr>
              <w:t>377240</w:t>
            </w:r>
          </w:p>
        </w:tc>
        <w:tc>
          <w:tcPr>
            <w:tcW w:w="1161" w:type="dxa"/>
            <w:vAlign w:val="center"/>
          </w:tcPr>
          <w:p w:rsidR="00FA4ECC" w:rsidRDefault="00900445">
            <w:pPr>
              <w:jc w:val="center"/>
            </w:pPr>
            <w:r>
              <w:rPr>
                <w:sz w:val="24"/>
                <w:szCs w:val="24"/>
              </w:rPr>
              <w:t>上投摩根新兴动力混合型证券投资基金</w:t>
            </w:r>
            <w:r>
              <w:rPr>
                <w:sz w:val="24"/>
                <w:szCs w:val="24"/>
              </w:rPr>
              <w:t>A</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1,220,015.44</w:t>
            </w:r>
          </w:p>
        </w:tc>
        <w:tc>
          <w:tcPr>
            <w:tcW w:w="1305" w:type="dxa"/>
            <w:vAlign w:val="center"/>
          </w:tcPr>
          <w:p w:rsidR="00FA4ECC" w:rsidRDefault="00900445">
            <w:pPr>
              <w:jc w:val="center"/>
            </w:pPr>
            <w:r>
              <w:rPr>
                <w:sz w:val="24"/>
                <w:szCs w:val="24"/>
              </w:rPr>
              <w:t>3,940,649.87</w:t>
            </w:r>
          </w:p>
        </w:tc>
        <w:tc>
          <w:tcPr>
            <w:tcW w:w="1161" w:type="dxa"/>
            <w:vAlign w:val="center"/>
          </w:tcPr>
          <w:p w:rsidR="00FA4ECC" w:rsidRDefault="00900445">
            <w:pPr>
              <w:jc w:val="center"/>
            </w:pPr>
            <w:r>
              <w:rPr>
                <w:sz w:val="24"/>
                <w:szCs w:val="24"/>
              </w:rPr>
              <w:t>11.63%</w:t>
            </w:r>
          </w:p>
        </w:tc>
        <w:tc>
          <w:tcPr>
            <w:tcW w:w="1301" w:type="dxa"/>
            <w:vAlign w:val="center"/>
          </w:tcPr>
          <w:p w:rsidR="00FA4ECC" w:rsidRDefault="00900445">
            <w:pPr>
              <w:jc w:val="center"/>
            </w:pPr>
            <w:r>
              <w:rPr>
                <w:sz w:val="24"/>
                <w:szCs w:val="24"/>
              </w:rPr>
              <w:t>是</w:t>
            </w:r>
          </w:p>
        </w:tc>
      </w:tr>
      <w:tr w:rsidR="00FA4ECC">
        <w:tc>
          <w:tcPr>
            <w:tcW w:w="835" w:type="dxa"/>
            <w:vAlign w:val="center"/>
          </w:tcPr>
          <w:p w:rsidR="00FA4ECC" w:rsidRDefault="00900445">
            <w:pPr>
              <w:jc w:val="center"/>
            </w:pPr>
            <w:r>
              <w:rPr>
                <w:sz w:val="24"/>
                <w:szCs w:val="24"/>
              </w:rPr>
              <w:t>2</w:t>
            </w:r>
          </w:p>
        </w:tc>
        <w:tc>
          <w:tcPr>
            <w:tcW w:w="1159" w:type="dxa"/>
            <w:vAlign w:val="center"/>
          </w:tcPr>
          <w:p w:rsidR="00FA4ECC" w:rsidRDefault="00900445">
            <w:pPr>
              <w:jc w:val="center"/>
            </w:pPr>
            <w:r>
              <w:rPr>
                <w:sz w:val="24"/>
                <w:szCs w:val="24"/>
              </w:rPr>
              <w:t>377010</w:t>
            </w:r>
          </w:p>
        </w:tc>
        <w:tc>
          <w:tcPr>
            <w:tcW w:w="1161" w:type="dxa"/>
            <w:vAlign w:val="center"/>
          </w:tcPr>
          <w:p w:rsidR="00FA4ECC" w:rsidRDefault="00900445">
            <w:pPr>
              <w:jc w:val="center"/>
            </w:pPr>
            <w:r>
              <w:rPr>
                <w:sz w:val="24"/>
                <w:szCs w:val="24"/>
              </w:rPr>
              <w:t>上投摩根阿尔法混合型证券投资基金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836,926.78</w:t>
            </w:r>
          </w:p>
        </w:tc>
        <w:tc>
          <w:tcPr>
            <w:tcW w:w="1305" w:type="dxa"/>
            <w:vAlign w:val="center"/>
          </w:tcPr>
          <w:p w:rsidR="00FA4ECC" w:rsidRDefault="00900445">
            <w:pPr>
              <w:jc w:val="center"/>
            </w:pPr>
            <w:r>
              <w:rPr>
                <w:sz w:val="24"/>
                <w:szCs w:val="24"/>
              </w:rPr>
              <w:t>2,867,897.00</w:t>
            </w:r>
          </w:p>
        </w:tc>
        <w:tc>
          <w:tcPr>
            <w:tcW w:w="1161" w:type="dxa"/>
            <w:vAlign w:val="center"/>
          </w:tcPr>
          <w:p w:rsidR="00FA4ECC" w:rsidRDefault="00900445">
            <w:pPr>
              <w:jc w:val="center"/>
            </w:pPr>
            <w:r>
              <w:rPr>
                <w:sz w:val="24"/>
                <w:szCs w:val="24"/>
              </w:rPr>
              <w:t>8.46%</w:t>
            </w:r>
          </w:p>
        </w:tc>
        <w:tc>
          <w:tcPr>
            <w:tcW w:w="1301" w:type="dxa"/>
            <w:vAlign w:val="center"/>
          </w:tcPr>
          <w:p w:rsidR="00FA4ECC" w:rsidRDefault="00900445">
            <w:pPr>
              <w:jc w:val="center"/>
            </w:pPr>
            <w:r>
              <w:rPr>
                <w:sz w:val="24"/>
                <w:szCs w:val="24"/>
              </w:rPr>
              <w:t>是</w:t>
            </w:r>
          </w:p>
        </w:tc>
      </w:tr>
      <w:tr w:rsidR="00FA4ECC">
        <w:tc>
          <w:tcPr>
            <w:tcW w:w="835" w:type="dxa"/>
            <w:vAlign w:val="center"/>
          </w:tcPr>
          <w:p w:rsidR="00FA4ECC" w:rsidRDefault="00900445">
            <w:pPr>
              <w:jc w:val="center"/>
            </w:pPr>
            <w:r>
              <w:rPr>
                <w:sz w:val="24"/>
                <w:szCs w:val="24"/>
              </w:rPr>
              <w:t>3</w:t>
            </w:r>
          </w:p>
        </w:tc>
        <w:tc>
          <w:tcPr>
            <w:tcW w:w="1159" w:type="dxa"/>
            <w:vAlign w:val="center"/>
          </w:tcPr>
          <w:p w:rsidR="00FA4ECC" w:rsidRDefault="00900445">
            <w:pPr>
              <w:jc w:val="center"/>
            </w:pPr>
            <w:r>
              <w:rPr>
                <w:sz w:val="24"/>
                <w:szCs w:val="24"/>
              </w:rPr>
              <w:t>512800</w:t>
            </w:r>
          </w:p>
        </w:tc>
        <w:tc>
          <w:tcPr>
            <w:tcW w:w="1161" w:type="dxa"/>
            <w:vAlign w:val="center"/>
          </w:tcPr>
          <w:p w:rsidR="00FA4ECC" w:rsidRDefault="00900445">
            <w:pPr>
              <w:jc w:val="center"/>
            </w:pPr>
            <w:r>
              <w:rPr>
                <w:sz w:val="24"/>
                <w:szCs w:val="24"/>
              </w:rPr>
              <w:t>华宝中证银行交易型开放式指数证券投资基金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2,266,100.00</w:t>
            </w:r>
          </w:p>
        </w:tc>
        <w:tc>
          <w:tcPr>
            <w:tcW w:w="1305" w:type="dxa"/>
            <w:vAlign w:val="center"/>
          </w:tcPr>
          <w:p w:rsidR="00FA4ECC" w:rsidRDefault="00900445">
            <w:pPr>
              <w:jc w:val="center"/>
            </w:pPr>
            <w:r>
              <w:rPr>
                <w:sz w:val="24"/>
                <w:szCs w:val="24"/>
              </w:rPr>
              <w:t>2,565,225.20</w:t>
            </w:r>
          </w:p>
        </w:tc>
        <w:tc>
          <w:tcPr>
            <w:tcW w:w="1161" w:type="dxa"/>
            <w:vAlign w:val="center"/>
          </w:tcPr>
          <w:p w:rsidR="00FA4ECC" w:rsidRDefault="00900445">
            <w:pPr>
              <w:jc w:val="center"/>
            </w:pPr>
            <w:r>
              <w:rPr>
                <w:sz w:val="24"/>
                <w:szCs w:val="24"/>
              </w:rPr>
              <w:t>7.57%</w:t>
            </w:r>
          </w:p>
        </w:tc>
        <w:tc>
          <w:tcPr>
            <w:tcW w:w="1301" w:type="dxa"/>
            <w:vAlign w:val="center"/>
          </w:tcPr>
          <w:p w:rsidR="00FA4ECC" w:rsidRDefault="00900445">
            <w:pPr>
              <w:jc w:val="center"/>
            </w:pPr>
            <w:r>
              <w:rPr>
                <w:sz w:val="24"/>
                <w:szCs w:val="24"/>
              </w:rPr>
              <w:t>否</w:t>
            </w:r>
          </w:p>
        </w:tc>
      </w:tr>
      <w:tr w:rsidR="00FA4ECC">
        <w:tc>
          <w:tcPr>
            <w:tcW w:w="835" w:type="dxa"/>
            <w:vAlign w:val="center"/>
          </w:tcPr>
          <w:p w:rsidR="00FA4ECC" w:rsidRDefault="00900445">
            <w:pPr>
              <w:jc w:val="center"/>
            </w:pPr>
            <w:r>
              <w:rPr>
                <w:sz w:val="24"/>
                <w:szCs w:val="24"/>
              </w:rPr>
              <w:t>4</w:t>
            </w:r>
          </w:p>
        </w:tc>
        <w:tc>
          <w:tcPr>
            <w:tcW w:w="1159" w:type="dxa"/>
            <w:vAlign w:val="center"/>
          </w:tcPr>
          <w:p w:rsidR="00FA4ECC" w:rsidRDefault="00900445">
            <w:pPr>
              <w:jc w:val="center"/>
            </w:pPr>
            <w:r>
              <w:rPr>
                <w:sz w:val="24"/>
                <w:szCs w:val="24"/>
              </w:rPr>
              <w:t>005613</w:t>
            </w:r>
          </w:p>
        </w:tc>
        <w:tc>
          <w:tcPr>
            <w:tcW w:w="1161" w:type="dxa"/>
            <w:vAlign w:val="center"/>
          </w:tcPr>
          <w:p w:rsidR="00FA4ECC" w:rsidRDefault="00900445">
            <w:pPr>
              <w:jc w:val="center"/>
            </w:pPr>
            <w:r>
              <w:rPr>
                <w:sz w:val="24"/>
                <w:szCs w:val="24"/>
              </w:rPr>
              <w:t>上投摩根富时发达市场</w:t>
            </w:r>
            <w:r>
              <w:rPr>
                <w:sz w:val="24"/>
                <w:szCs w:val="24"/>
              </w:rPr>
              <w:t>REITs</w:t>
            </w:r>
            <w:r>
              <w:rPr>
                <w:sz w:val="24"/>
                <w:szCs w:val="24"/>
              </w:rPr>
              <w:t>指数型证券投资基金（</w:t>
            </w:r>
            <w:r>
              <w:rPr>
                <w:sz w:val="24"/>
                <w:szCs w:val="24"/>
              </w:rPr>
              <w:t>QDII</w:t>
            </w:r>
            <w:r>
              <w:rPr>
                <w:sz w:val="24"/>
                <w:szCs w:val="24"/>
              </w:rPr>
              <w:t>）</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1,689,612.49</w:t>
            </w:r>
          </w:p>
        </w:tc>
        <w:tc>
          <w:tcPr>
            <w:tcW w:w="1305" w:type="dxa"/>
            <w:vAlign w:val="center"/>
          </w:tcPr>
          <w:p w:rsidR="00FA4ECC" w:rsidRDefault="00900445">
            <w:pPr>
              <w:jc w:val="center"/>
            </w:pPr>
            <w:r>
              <w:rPr>
                <w:sz w:val="24"/>
                <w:szCs w:val="24"/>
              </w:rPr>
              <w:t>2,178,248.42</w:t>
            </w:r>
          </w:p>
        </w:tc>
        <w:tc>
          <w:tcPr>
            <w:tcW w:w="1161" w:type="dxa"/>
            <w:vAlign w:val="center"/>
          </w:tcPr>
          <w:p w:rsidR="00FA4ECC" w:rsidRDefault="00900445">
            <w:pPr>
              <w:jc w:val="center"/>
            </w:pPr>
            <w:r>
              <w:rPr>
                <w:sz w:val="24"/>
                <w:szCs w:val="24"/>
              </w:rPr>
              <w:t>6.43%</w:t>
            </w:r>
          </w:p>
        </w:tc>
        <w:tc>
          <w:tcPr>
            <w:tcW w:w="1301" w:type="dxa"/>
            <w:vAlign w:val="center"/>
          </w:tcPr>
          <w:p w:rsidR="00FA4ECC" w:rsidRDefault="00900445">
            <w:pPr>
              <w:jc w:val="center"/>
            </w:pPr>
            <w:r>
              <w:rPr>
                <w:sz w:val="24"/>
                <w:szCs w:val="24"/>
              </w:rPr>
              <w:t>是</w:t>
            </w:r>
          </w:p>
        </w:tc>
      </w:tr>
      <w:tr w:rsidR="00FA4ECC">
        <w:tc>
          <w:tcPr>
            <w:tcW w:w="835" w:type="dxa"/>
            <w:vAlign w:val="center"/>
          </w:tcPr>
          <w:p w:rsidR="00FA4ECC" w:rsidRDefault="00900445">
            <w:pPr>
              <w:jc w:val="center"/>
            </w:pPr>
            <w:r>
              <w:rPr>
                <w:sz w:val="24"/>
                <w:szCs w:val="24"/>
              </w:rPr>
              <w:t>5</w:t>
            </w:r>
          </w:p>
        </w:tc>
        <w:tc>
          <w:tcPr>
            <w:tcW w:w="1159" w:type="dxa"/>
            <w:vAlign w:val="center"/>
          </w:tcPr>
          <w:p w:rsidR="00FA4ECC" w:rsidRDefault="00900445">
            <w:pPr>
              <w:jc w:val="center"/>
            </w:pPr>
            <w:r>
              <w:rPr>
                <w:sz w:val="24"/>
                <w:szCs w:val="24"/>
              </w:rPr>
              <w:t>004738</w:t>
            </w:r>
          </w:p>
        </w:tc>
        <w:tc>
          <w:tcPr>
            <w:tcW w:w="1161" w:type="dxa"/>
            <w:vAlign w:val="center"/>
          </w:tcPr>
          <w:p w:rsidR="00FA4ECC" w:rsidRDefault="00900445">
            <w:pPr>
              <w:jc w:val="center"/>
            </w:pPr>
            <w:r>
              <w:rPr>
                <w:sz w:val="24"/>
                <w:szCs w:val="24"/>
              </w:rPr>
              <w:t>上投摩根安隆回报混合型证券投资基金</w:t>
            </w:r>
            <w:r>
              <w:rPr>
                <w:sz w:val="24"/>
                <w:szCs w:val="24"/>
              </w:rPr>
              <w:t>A</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1,777,372.85</w:t>
            </w:r>
          </w:p>
        </w:tc>
        <w:tc>
          <w:tcPr>
            <w:tcW w:w="1305" w:type="dxa"/>
            <w:vAlign w:val="center"/>
          </w:tcPr>
          <w:p w:rsidR="00FA4ECC" w:rsidRDefault="00900445">
            <w:pPr>
              <w:jc w:val="center"/>
            </w:pPr>
            <w:r>
              <w:rPr>
                <w:sz w:val="24"/>
                <w:szCs w:val="24"/>
              </w:rPr>
              <w:t>1,987,458.32</w:t>
            </w:r>
          </w:p>
        </w:tc>
        <w:tc>
          <w:tcPr>
            <w:tcW w:w="1161" w:type="dxa"/>
            <w:vAlign w:val="center"/>
          </w:tcPr>
          <w:p w:rsidR="00FA4ECC" w:rsidRDefault="00900445">
            <w:pPr>
              <w:jc w:val="center"/>
            </w:pPr>
            <w:r>
              <w:rPr>
                <w:sz w:val="24"/>
                <w:szCs w:val="24"/>
              </w:rPr>
              <w:t>5.86%</w:t>
            </w:r>
          </w:p>
        </w:tc>
        <w:tc>
          <w:tcPr>
            <w:tcW w:w="1301" w:type="dxa"/>
            <w:vAlign w:val="center"/>
          </w:tcPr>
          <w:p w:rsidR="00FA4ECC" w:rsidRDefault="00900445">
            <w:pPr>
              <w:jc w:val="center"/>
            </w:pPr>
            <w:r>
              <w:rPr>
                <w:sz w:val="24"/>
                <w:szCs w:val="24"/>
              </w:rPr>
              <w:t>是</w:t>
            </w:r>
          </w:p>
        </w:tc>
      </w:tr>
      <w:tr w:rsidR="00FA4ECC">
        <w:tc>
          <w:tcPr>
            <w:tcW w:w="835" w:type="dxa"/>
            <w:vAlign w:val="center"/>
          </w:tcPr>
          <w:p w:rsidR="00FA4ECC" w:rsidRDefault="00900445">
            <w:pPr>
              <w:jc w:val="center"/>
            </w:pPr>
            <w:r>
              <w:rPr>
                <w:sz w:val="24"/>
                <w:szCs w:val="24"/>
              </w:rPr>
              <w:t>6</w:t>
            </w:r>
          </w:p>
        </w:tc>
        <w:tc>
          <w:tcPr>
            <w:tcW w:w="1159" w:type="dxa"/>
            <w:vAlign w:val="center"/>
          </w:tcPr>
          <w:p w:rsidR="00FA4ECC" w:rsidRDefault="00900445">
            <w:pPr>
              <w:jc w:val="center"/>
            </w:pPr>
            <w:r>
              <w:rPr>
                <w:sz w:val="24"/>
                <w:szCs w:val="24"/>
              </w:rPr>
              <w:t>377016</w:t>
            </w:r>
          </w:p>
        </w:tc>
        <w:tc>
          <w:tcPr>
            <w:tcW w:w="1161" w:type="dxa"/>
            <w:vAlign w:val="center"/>
          </w:tcPr>
          <w:p w:rsidR="00FA4ECC" w:rsidRDefault="00900445">
            <w:pPr>
              <w:jc w:val="center"/>
            </w:pPr>
            <w:r>
              <w:rPr>
                <w:sz w:val="24"/>
                <w:szCs w:val="24"/>
              </w:rPr>
              <w:t>上投摩根亚太优势混合型证券投资基金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1,857,564.47</w:t>
            </w:r>
          </w:p>
        </w:tc>
        <w:tc>
          <w:tcPr>
            <w:tcW w:w="1305" w:type="dxa"/>
            <w:vAlign w:val="center"/>
          </w:tcPr>
          <w:p w:rsidR="00FA4ECC" w:rsidRDefault="00900445">
            <w:pPr>
              <w:jc w:val="center"/>
            </w:pPr>
            <w:r>
              <w:rPr>
                <w:sz w:val="24"/>
                <w:szCs w:val="24"/>
              </w:rPr>
              <w:t>1,593,790.32</w:t>
            </w:r>
          </w:p>
        </w:tc>
        <w:tc>
          <w:tcPr>
            <w:tcW w:w="1161" w:type="dxa"/>
            <w:vAlign w:val="center"/>
          </w:tcPr>
          <w:p w:rsidR="00FA4ECC" w:rsidRDefault="00900445">
            <w:pPr>
              <w:jc w:val="center"/>
            </w:pPr>
            <w:r>
              <w:rPr>
                <w:sz w:val="24"/>
                <w:szCs w:val="24"/>
              </w:rPr>
              <w:t>4.70%</w:t>
            </w:r>
          </w:p>
        </w:tc>
        <w:tc>
          <w:tcPr>
            <w:tcW w:w="1301" w:type="dxa"/>
            <w:vAlign w:val="center"/>
          </w:tcPr>
          <w:p w:rsidR="00FA4ECC" w:rsidRDefault="00900445">
            <w:pPr>
              <w:jc w:val="center"/>
            </w:pPr>
            <w:r>
              <w:rPr>
                <w:sz w:val="24"/>
                <w:szCs w:val="24"/>
              </w:rPr>
              <w:t>是</w:t>
            </w:r>
          </w:p>
        </w:tc>
      </w:tr>
      <w:tr w:rsidR="00FA4ECC">
        <w:tc>
          <w:tcPr>
            <w:tcW w:w="835" w:type="dxa"/>
            <w:vAlign w:val="center"/>
          </w:tcPr>
          <w:p w:rsidR="00FA4ECC" w:rsidRDefault="00900445">
            <w:pPr>
              <w:jc w:val="center"/>
            </w:pPr>
            <w:r>
              <w:rPr>
                <w:sz w:val="24"/>
                <w:szCs w:val="24"/>
              </w:rPr>
              <w:t>7</w:t>
            </w:r>
          </w:p>
        </w:tc>
        <w:tc>
          <w:tcPr>
            <w:tcW w:w="1159" w:type="dxa"/>
            <w:vAlign w:val="center"/>
          </w:tcPr>
          <w:p w:rsidR="00FA4ECC" w:rsidRDefault="00900445">
            <w:pPr>
              <w:jc w:val="center"/>
            </w:pPr>
            <w:r>
              <w:rPr>
                <w:sz w:val="24"/>
                <w:szCs w:val="24"/>
              </w:rPr>
              <w:t>512000</w:t>
            </w:r>
          </w:p>
        </w:tc>
        <w:tc>
          <w:tcPr>
            <w:tcW w:w="1161" w:type="dxa"/>
            <w:vAlign w:val="center"/>
          </w:tcPr>
          <w:p w:rsidR="00FA4ECC" w:rsidRDefault="00900445">
            <w:pPr>
              <w:jc w:val="center"/>
            </w:pPr>
            <w:r>
              <w:rPr>
                <w:sz w:val="24"/>
                <w:szCs w:val="24"/>
              </w:rPr>
              <w:t>华宝中证全指证券公司交易型开放式指数证券投资基金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1,600,000.00</w:t>
            </w:r>
          </w:p>
        </w:tc>
        <w:tc>
          <w:tcPr>
            <w:tcW w:w="1305" w:type="dxa"/>
            <w:vAlign w:val="center"/>
          </w:tcPr>
          <w:p w:rsidR="00FA4ECC" w:rsidRDefault="00900445">
            <w:pPr>
              <w:jc w:val="center"/>
            </w:pPr>
            <w:r>
              <w:rPr>
                <w:sz w:val="24"/>
                <w:szCs w:val="24"/>
              </w:rPr>
              <w:t>1,585,600.00</w:t>
            </w:r>
          </w:p>
        </w:tc>
        <w:tc>
          <w:tcPr>
            <w:tcW w:w="1161" w:type="dxa"/>
            <w:vAlign w:val="center"/>
          </w:tcPr>
          <w:p w:rsidR="00FA4ECC" w:rsidRDefault="00900445">
            <w:pPr>
              <w:jc w:val="center"/>
            </w:pPr>
            <w:r>
              <w:rPr>
                <w:sz w:val="24"/>
                <w:szCs w:val="24"/>
              </w:rPr>
              <w:t>4.68%</w:t>
            </w:r>
          </w:p>
        </w:tc>
        <w:tc>
          <w:tcPr>
            <w:tcW w:w="1301" w:type="dxa"/>
            <w:vAlign w:val="center"/>
          </w:tcPr>
          <w:p w:rsidR="00FA4ECC" w:rsidRDefault="00900445">
            <w:pPr>
              <w:jc w:val="center"/>
            </w:pPr>
            <w:r>
              <w:rPr>
                <w:sz w:val="24"/>
                <w:szCs w:val="24"/>
              </w:rPr>
              <w:t>否</w:t>
            </w:r>
          </w:p>
        </w:tc>
      </w:tr>
      <w:tr w:rsidR="00FA4ECC">
        <w:tc>
          <w:tcPr>
            <w:tcW w:w="835" w:type="dxa"/>
            <w:vAlign w:val="center"/>
          </w:tcPr>
          <w:p w:rsidR="00FA4ECC" w:rsidRDefault="00900445">
            <w:pPr>
              <w:jc w:val="center"/>
            </w:pPr>
            <w:r>
              <w:rPr>
                <w:sz w:val="24"/>
                <w:szCs w:val="24"/>
              </w:rPr>
              <w:t>8</w:t>
            </w:r>
          </w:p>
        </w:tc>
        <w:tc>
          <w:tcPr>
            <w:tcW w:w="1159" w:type="dxa"/>
            <w:vAlign w:val="center"/>
          </w:tcPr>
          <w:p w:rsidR="00FA4ECC" w:rsidRDefault="00900445">
            <w:pPr>
              <w:jc w:val="center"/>
            </w:pPr>
            <w:r>
              <w:rPr>
                <w:sz w:val="24"/>
                <w:szCs w:val="24"/>
              </w:rPr>
              <w:t>511880</w:t>
            </w:r>
          </w:p>
        </w:tc>
        <w:tc>
          <w:tcPr>
            <w:tcW w:w="1161" w:type="dxa"/>
            <w:vAlign w:val="center"/>
          </w:tcPr>
          <w:p w:rsidR="00FA4ECC" w:rsidRDefault="00900445">
            <w:pPr>
              <w:jc w:val="center"/>
            </w:pPr>
            <w:r>
              <w:rPr>
                <w:sz w:val="24"/>
                <w:szCs w:val="24"/>
              </w:rPr>
              <w:t>银华交易型货币市场基金</w:t>
            </w:r>
            <w:r>
              <w:rPr>
                <w:sz w:val="24"/>
                <w:szCs w:val="24"/>
              </w:rPr>
              <w:t>A</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15,000.00</w:t>
            </w:r>
          </w:p>
        </w:tc>
        <w:tc>
          <w:tcPr>
            <w:tcW w:w="1305" w:type="dxa"/>
            <w:vAlign w:val="center"/>
          </w:tcPr>
          <w:p w:rsidR="00FA4ECC" w:rsidRDefault="00900445">
            <w:pPr>
              <w:jc w:val="center"/>
            </w:pPr>
            <w:r>
              <w:rPr>
                <w:sz w:val="24"/>
                <w:szCs w:val="24"/>
              </w:rPr>
              <w:t>1,501,860.00</w:t>
            </w:r>
          </w:p>
        </w:tc>
        <w:tc>
          <w:tcPr>
            <w:tcW w:w="1161" w:type="dxa"/>
            <w:vAlign w:val="center"/>
          </w:tcPr>
          <w:p w:rsidR="00FA4ECC" w:rsidRDefault="00900445">
            <w:pPr>
              <w:jc w:val="center"/>
            </w:pPr>
            <w:r>
              <w:rPr>
                <w:sz w:val="24"/>
                <w:szCs w:val="24"/>
              </w:rPr>
              <w:t>4.43%</w:t>
            </w:r>
          </w:p>
        </w:tc>
        <w:tc>
          <w:tcPr>
            <w:tcW w:w="1301" w:type="dxa"/>
            <w:vAlign w:val="center"/>
          </w:tcPr>
          <w:p w:rsidR="00FA4ECC" w:rsidRDefault="00900445">
            <w:pPr>
              <w:jc w:val="center"/>
            </w:pPr>
            <w:r>
              <w:rPr>
                <w:sz w:val="24"/>
                <w:szCs w:val="24"/>
              </w:rPr>
              <w:t>否</w:t>
            </w:r>
          </w:p>
        </w:tc>
      </w:tr>
      <w:tr w:rsidR="00FA4ECC">
        <w:tc>
          <w:tcPr>
            <w:tcW w:w="835" w:type="dxa"/>
            <w:vAlign w:val="center"/>
          </w:tcPr>
          <w:p w:rsidR="00FA4ECC" w:rsidRDefault="00900445">
            <w:pPr>
              <w:jc w:val="center"/>
            </w:pPr>
            <w:r>
              <w:rPr>
                <w:sz w:val="24"/>
                <w:szCs w:val="24"/>
              </w:rPr>
              <w:t>9</w:t>
            </w:r>
          </w:p>
        </w:tc>
        <w:tc>
          <w:tcPr>
            <w:tcW w:w="1159" w:type="dxa"/>
            <w:vAlign w:val="center"/>
          </w:tcPr>
          <w:p w:rsidR="00FA4ECC" w:rsidRDefault="00900445">
            <w:pPr>
              <w:jc w:val="center"/>
            </w:pPr>
            <w:r>
              <w:rPr>
                <w:sz w:val="24"/>
                <w:szCs w:val="24"/>
              </w:rPr>
              <w:t>510880</w:t>
            </w:r>
          </w:p>
        </w:tc>
        <w:tc>
          <w:tcPr>
            <w:tcW w:w="1161" w:type="dxa"/>
            <w:vAlign w:val="center"/>
          </w:tcPr>
          <w:p w:rsidR="00FA4ECC" w:rsidRDefault="00900445">
            <w:pPr>
              <w:jc w:val="center"/>
            </w:pPr>
            <w:r>
              <w:rPr>
                <w:sz w:val="24"/>
                <w:szCs w:val="24"/>
              </w:rPr>
              <w:t>上证红利交易型开放式指数证券投资基金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500,000.00</w:t>
            </w:r>
          </w:p>
        </w:tc>
        <w:tc>
          <w:tcPr>
            <w:tcW w:w="1305" w:type="dxa"/>
            <w:vAlign w:val="center"/>
          </w:tcPr>
          <w:p w:rsidR="00FA4ECC" w:rsidRDefault="00900445">
            <w:pPr>
              <w:jc w:val="center"/>
            </w:pPr>
            <w:r>
              <w:rPr>
                <w:sz w:val="24"/>
                <w:szCs w:val="24"/>
              </w:rPr>
              <w:t>1,448,500.00</w:t>
            </w:r>
          </w:p>
        </w:tc>
        <w:tc>
          <w:tcPr>
            <w:tcW w:w="1161" w:type="dxa"/>
            <w:vAlign w:val="center"/>
          </w:tcPr>
          <w:p w:rsidR="00FA4ECC" w:rsidRDefault="00900445">
            <w:pPr>
              <w:jc w:val="center"/>
            </w:pPr>
            <w:r>
              <w:rPr>
                <w:sz w:val="24"/>
                <w:szCs w:val="24"/>
              </w:rPr>
              <w:t>4.27%</w:t>
            </w:r>
          </w:p>
        </w:tc>
        <w:tc>
          <w:tcPr>
            <w:tcW w:w="1301" w:type="dxa"/>
            <w:vAlign w:val="center"/>
          </w:tcPr>
          <w:p w:rsidR="00FA4ECC" w:rsidRDefault="00900445">
            <w:pPr>
              <w:jc w:val="center"/>
            </w:pPr>
            <w:r>
              <w:rPr>
                <w:sz w:val="24"/>
                <w:szCs w:val="24"/>
              </w:rPr>
              <w:t>否</w:t>
            </w:r>
          </w:p>
        </w:tc>
      </w:tr>
      <w:tr w:rsidR="00FA4ECC">
        <w:tc>
          <w:tcPr>
            <w:tcW w:w="835" w:type="dxa"/>
            <w:vAlign w:val="center"/>
          </w:tcPr>
          <w:p w:rsidR="00FA4ECC" w:rsidRDefault="00900445">
            <w:pPr>
              <w:jc w:val="center"/>
            </w:pPr>
            <w:r>
              <w:rPr>
                <w:sz w:val="24"/>
                <w:szCs w:val="24"/>
              </w:rPr>
              <w:t>10</w:t>
            </w:r>
          </w:p>
        </w:tc>
        <w:tc>
          <w:tcPr>
            <w:tcW w:w="1159" w:type="dxa"/>
            <w:vAlign w:val="center"/>
          </w:tcPr>
          <w:p w:rsidR="00FA4ECC" w:rsidRDefault="00900445">
            <w:pPr>
              <w:jc w:val="center"/>
            </w:pPr>
            <w:r>
              <w:rPr>
                <w:sz w:val="24"/>
                <w:szCs w:val="24"/>
              </w:rPr>
              <w:t>512400</w:t>
            </w:r>
          </w:p>
        </w:tc>
        <w:tc>
          <w:tcPr>
            <w:tcW w:w="1161" w:type="dxa"/>
            <w:vAlign w:val="center"/>
          </w:tcPr>
          <w:p w:rsidR="00FA4ECC" w:rsidRDefault="00900445">
            <w:pPr>
              <w:jc w:val="center"/>
            </w:pPr>
            <w:r>
              <w:rPr>
                <w:sz w:val="24"/>
                <w:szCs w:val="24"/>
              </w:rPr>
              <w:t>南方中证申万有色金属交易型开放式指数证券投资基金</w:t>
            </w:r>
          </w:p>
        </w:tc>
        <w:tc>
          <w:tcPr>
            <w:tcW w:w="1161" w:type="dxa"/>
            <w:vAlign w:val="center"/>
          </w:tcPr>
          <w:p w:rsidR="00FA4ECC" w:rsidRDefault="00900445">
            <w:pPr>
              <w:jc w:val="center"/>
            </w:pPr>
            <w:r>
              <w:rPr>
                <w:sz w:val="24"/>
                <w:szCs w:val="24"/>
              </w:rPr>
              <w:t>契约型开放式</w:t>
            </w:r>
          </w:p>
        </w:tc>
        <w:tc>
          <w:tcPr>
            <w:tcW w:w="1159" w:type="dxa"/>
            <w:vAlign w:val="center"/>
          </w:tcPr>
          <w:p w:rsidR="00FA4ECC" w:rsidRDefault="00900445">
            <w:pPr>
              <w:jc w:val="center"/>
            </w:pPr>
            <w:r>
              <w:rPr>
                <w:sz w:val="24"/>
                <w:szCs w:val="24"/>
              </w:rPr>
              <w:t>1,758,500.00</w:t>
            </w:r>
          </w:p>
        </w:tc>
        <w:tc>
          <w:tcPr>
            <w:tcW w:w="1305" w:type="dxa"/>
            <w:vAlign w:val="center"/>
          </w:tcPr>
          <w:p w:rsidR="00FA4ECC" w:rsidRDefault="00900445">
            <w:pPr>
              <w:jc w:val="center"/>
            </w:pPr>
            <w:r>
              <w:rPr>
                <w:sz w:val="24"/>
                <w:szCs w:val="24"/>
              </w:rPr>
              <w:t>1,276,671.00</w:t>
            </w:r>
          </w:p>
        </w:tc>
        <w:tc>
          <w:tcPr>
            <w:tcW w:w="1161" w:type="dxa"/>
            <w:vAlign w:val="center"/>
          </w:tcPr>
          <w:p w:rsidR="00FA4ECC" w:rsidRDefault="00900445">
            <w:pPr>
              <w:jc w:val="center"/>
            </w:pPr>
            <w:r>
              <w:rPr>
                <w:sz w:val="24"/>
                <w:szCs w:val="24"/>
              </w:rPr>
              <w:t>3.77%</w:t>
            </w:r>
          </w:p>
        </w:tc>
        <w:tc>
          <w:tcPr>
            <w:tcW w:w="1301" w:type="dxa"/>
            <w:vAlign w:val="center"/>
          </w:tcPr>
          <w:p w:rsidR="00FA4ECC" w:rsidRDefault="00900445">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7"/>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10,719.08</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10,719.08</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900445" w:rsidP="0011537B">
            <w:pPr>
              <w:adjustRightInd w:val="0"/>
              <w:snapToGrid w:val="0"/>
              <w:spacing w:beforeLines="50" w:before="156" w:line="276" w:lineRule="auto"/>
              <w:jc w:val="right"/>
              <w:rPr>
                <w:rFonts w:eastAsiaTheme="minorEastAsia"/>
                <w:color w:val="000000" w:themeColor="text1"/>
                <w:sz w:val="24"/>
                <w:szCs w:val="24"/>
              </w:rPr>
            </w:pPr>
            <w:r>
              <w:rPr>
                <w:rFonts w:eastAsiaTheme="minorEastAsia" w:hint="eastAsia"/>
                <w:color w:val="000000" w:themeColor="text1"/>
                <w:sz w:val="24"/>
                <w:szCs w:val="24"/>
              </w:rPr>
              <w:t>62</w:t>
            </w:r>
            <w:r>
              <w:rPr>
                <w:rFonts w:eastAsiaTheme="minorEastAsia"/>
                <w:color w:val="000000" w:themeColor="text1"/>
                <w:sz w:val="24"/>
                <w:szCs w:val="24"/>
              </w:rPr>
              <w:t>,</w:t>
            </w:r>
            <w:r>
              <w:rPr>
                <w:rFonts w:eastAsiaTheme="minorEastAsia" w:hint="eastAsia"/>
                <w:color w:val="000000" w:themeColor="text1"/>
                <w:sz w:val="24"/>
                <w:szCs w:val="24"/>
              </w:rPr>
              <w:t>361.92</w:t>
            </w:r>
          </w:p>
        </w:tc>
        <w:tc>
          <w:tcPr>
            <w:tcW w:w="3012" w:type="dxa"/>
            <w:vAlign w:val="center"/>
          </w:tcPr>
          <w:p w:rsidR="001F3E2A" w:rsidRPr="00575270" w:rsidRDefault="00900445" w:rsidP="0011537B">
            <w:pPr>
              <w:adjustRightInd w:val="0"/>
              <w:snapToGrid w:val="0"/>
              <w:spacing w:beforeLines="50" w:before="156" w:line="276" w:lineRule="auto"/>
              <w:jc w:val="right"/>
              <w:rPr>
                <w:rFonts w:eastAsiaTheme="minorEastAsia"/>
                <w:color w:val="000000" w:themeColor="text1"/>
                <w:sz w:val="24"/>
                <w:szCs w:val="24"/>
              </w:rPr>
            </w:pPr>
            <w:r>
              <w:rPr>
                <w:rFonts w:eastAsiaTheme="minorEastAsia" w:hint="eastAsia"/>
                <w:color w:val="000000" w:themeColor="text1"/>
                <w:sz w:val="24"/>
                <w:szCs w:val="24"/>
              </w:rPr>
              <w:t>51</w:t>
            </w:r>
            <w:r>
              <w:rPr>
                <w:rFonts w:eastAsiaTheme="minorEastAsia"/>
                <w:color w:val="000000" w:themeColor="text1"/>
                <w:sz w:val="24"/>
                <w:szCs w:val="24"/>
              </w:rPr>
              <w:t>,</w:t>
            </w:r>
            <w:r>
              <w:rPr>
                <w:rFonts w:eastAsiaTheme="minorEastAsia" w:hint="eastAsia"/>
                <w:color w:val="000000" w:themeColor="text1"/>
                <w:sz w:val="24"/>
                <w:szCs w:val="24"/>
              </w:rPr>
              <w:t>022.85</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900445" w:rsidP="0011537B">
            <w:pPr>
              <w:adjustRightInd w:val="0"/>
              <w:snapToGrid w:val="0"/>
              <w:spacing w:beforeLines="50" w:before="156" w:line="276" w:lineRule="auto"/>
              <w:jc w:val="right"/>
              <w:rPr>
                <w:rFonts w:eastAsiaTheme="minorEastAsia"/>
                <w:color w:val="000000" w:themeColor="text1"/>
                <w:sz w:val="24"/>
                <w:szCs w:val="24"/>
              </w:rPr>
            </w:pPr>
            <w:r>
              <w:rPr>
                <w:rFonts w:eastAsiaTheme="minorEastAsia" w:hint="eastAsia"/>
                <w:color w:val="000000" w:themeColor="text1"/>
                <w:sz w:val="24"/>
                <w:szCs w:val="24"/>
              </w:rPr>
              <w:t>12</w:t>
            </w:r>
            <w:r>
              <w:rPr>
                <w:rFonts w:eastAsiaTheme="minorEastAsia"/>
                <w:color w:val="000000" w:themeColor="text1"/>
                <w:sz w:val="24"/>
                <w:szCs w:val="24"/>
              </w:rPr>
              <w:t>,</w:t>
            </w:r>
            <w:r>
              <w:rPr>
                <w:rFonts w:eastAsiaTheme="minorEastAsia" w:hint="eastAsia"/>
                <w:color w:val="000000" w:themeColor="text1"/>
                <w:sz w:val="24"/>
                <w:szCs w:val="24"/>
              </w:rPr>
              <w:t>188.70</w:t>
            </w:r>
          </w:p>
        </w:tc>
        <w:tc>
          <w:tcPr>
            <w:tcW w:w="3012" w:type="dxa"/>
            <w:vAlign w:val="center"/>
          </w:tcPr>
          <w:p w:rsidR="001F3E2A" w:rsidRPr="00575270" w:rsidRDefault="00900445" w:rsidP="0011537B">
            <w:pPr>
              <w:adjustRightInd w:val="0"/>
              <w:snapToGrid w:val="0"/>
              <w:spacing w:beforeLines="50" w:before="156" w:line="276" w:lineRule="auto"/>
              <w:jc w:val="right"/>
              <w:rPr>
                <w:rFonts w:eastAsiaTheme="minorEastAsia"/>
                <w:color w:val="000000" w:themeColor="text1"/>
                <w:sz w:val="24"/>
                <w:szCs w:val="24"/>
              </w:rPr>
            </w:pPr>
            <w:r>
              <w:rPr>
                <w:rFonts w:eastAsiaTheme="minorEastAsia" w:hint="eastAsia"/>
                <w:color w:val="000000" w:themeColor="text1"/>
                <w:sz w:val="24"/>
                <w:szCs w:val="24"/>
              </w:rPr>
              <w:t>9</w:t>
            </w:r>
            <w:r>
              <w:rPr>
                <w:rFonts w:eastAsiaTheme="minorEastAsia"/>
                <w:color w:val="000000" w:themeColor="text1"/>
                <w:sz w:val="24"/>
                <w:szCs w:val="24"/>
              </w:rPr>
              <w:t>,</w:t>
            </w:r>
            <w:r>
              <w:rPr>
                <w:rFonts w:eastAsiaTheme="minorEastAsia" w:hint="eastAsia"/>
                <w:color w:val="000000" w:themeColor="text1"/>
                <w:sz w:val="24"/>
                <w:szCs w:val="24"/>
              </w:rPr>
              <w:t>554.65</w:t>
            </w:r>
          </w:p>
        </w:tc>
      </w:tr>
      <w:tr w:rsidR="00FA4ECC">
        <w:tc>
          <w:tcPr>
            <w:tcW w:w="3012" w:type="dxa"/>
            <w:vAlign w:val="center"/>
          </w:tcPr>
          <w:p w:rsidR="00FA4ECC" w:rsidRDefault="00900445">
            <w:pPr>
              <w:jc w:val="left"/>
            </w:pPr>
            <w:r>
              <w:rPr>
                <w:rFonts w:eastAsiaTheme="minorEastAsia"/>
                <w:color w:val="000000" w:themeColor="text1"/>
                <w:sz w:val="24"/>
                <w:szCs w:val="24"/>
              </w:rPr>
              <w:t>当期交易基金产生的交易费（元）</w:t>
            </w:r>
          </w:p>
        </w:tc>
        <w:tc>
          <w:tcPr>
            <w:tcW w:w="3012" w:type="dxa"/>
            <w:vAlign w:val="center"/>
          </w:tcPr>
          <w:p w:rsidR="00FA4ECC" w:rsidRDefault="00900445">
            <w:pPr>
              <w:jc w:val="right"/>
            </w:pPr>
            <w:r>
              <w:rPr>
                <w:rFonts w:eastAsiaTheme="minorEastAsia"/>
                <w:color w:val="000000" w:themeColor="text1"/>
                <w:sz w:val="24"/>
                <w:szCs w:val="24"/>
              </w:rPr>
              <w:t>12,895.10</w:t>
            </w:r>
          </w:p>
        </w:tc>
        <w:tc>
          <w:tcPr>
            <w:tcW w:w="3012" w:type="dxa"/>
            <w:vAlign w:val="center"/>
          </w:tcPr>
          <w:p w:rsidR="00FA4ECC" w:rsidRDefault="00900445">
            <w:pPr>
              <w:jc w:val="right"/>
            </w:pPr>
            <w:r>
              <w:rPr>
                <w:rFonts w:eastAsiaTheme="minorEastAsia"/>
                <w:color w:val="000000" w:themeColor="text1"/>
                <w:sz w:val="24"/>
                <w:szCs w:val="24"/>
              </w:rPr>
              <w:t>-</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25,469,381.74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8,056,554.12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5,178,764.86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28,347,171.00</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无。</w:t>
      </w:r>
    </w:p>
    <w:p w:rsidR="00410630" w:rsidRDefault="00410630" w:rsidP="00C15CAC">
      <w:pPr>
        <w:autoSpaceDE w:val="0"/>
        <w:autoSpaceDN w:val="0"/>
        <w:adjustRightInd w:val="0"/>
        <w:spacing w:before="29" w:line="288" w:lineRule="auto"/>
        <w:jc w:val="left"/>
        <w:rPr>
          <w:rFonts w:eastAsiaTheme="minorEastAsia"/>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FA4ECC" w:rsidRDefault="0090044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、中国证监会批准上投摩根尚睿混合型基金中基金</w:t>
      </w:r>
      <w:r>
        <w:rPr>
          <w:color w:val="000000"/>
          <w:sz w:val="24"/>
          <w:szCs w:val="24"/>
        </w:rPr>
        <w:t>(FOF)</w:t>
      </w:r>
      <w:r>
        <w:rPr>
          <w:color w:val="000000"/>
          <w:sz w:val="24"/>
          <w:szCs w:val="24"/>
        </w:rPr>
        <w:t>设立的文件；</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FA4ECC" w:rsidRDefault="00900445">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F4" w:rsidRDefault="004B2AF4" w:rsidP="00876D65">
      <w:r>
        <w:separator/>
      </w:r>
    </w:p>
  </w:endnote>
  <w:endnote w:type="continuationSeparator" w:id="0">
    <w:p w:rsidR="004B2AF4" w:rsidRDefault="004B2AF4"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832586">
      <w:rPr>
        <w:noProof/>
        <w:kern w:val="0"/>
        <w:szCs w:val="21"/>
      </w:rPr>
      <w:t>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832586">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F4" w:rsidRDefault="004B2AF4" w:rsidP="00876D65">
      <w:r>
        <w:separator/>
      </w:r>
    </w:p>
  </w:footnote>
  <w:footnote w:type="continuationSeparator" w:id="0">
    <w:p w:rsidR="004B2AF4" w:rsidRDefault="004B2AF4"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上投摩根尚睿混合型基金中基金</w:t>
    </w:r>
    <w:r w:rsidRPr="003E676C">
      <w:rPr>
        <w:sz w:val="24"/>
        <w:szCs w:val="24"/>
      </w:rPr>
      <w:t>(FOF)2019</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586"/>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0445"/>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0774"/>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4ECC"/>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E385CA-4318-4996-AB23-B27244A4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570D-57BD-44D7-942B-20C23DFE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14</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 Qiu</cp:lastModifiedBy>
  <cp:revision>581</cp:revision>
  <dcterms:created xsi:type="dcterms:W3CDTF">2012-10-16T06:07:00Z</dcterms:created>
  <dcterms:modified xsi:type="dcterms:W3CDTF">2020-01-16T10:55:00Z</dcterms:modified>
</cp:coreProperties>
</file>