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上投摩根尚睿混合型基金中基金</w:t>
      </w:r>
      <w:r w:rsidRPr="0081286B">
        <w:rPr>
          <w:b/>
          <w:sz w:val="36"/>
          <w:szCs w:val="36"/>
        </w:rPr>
        <w:t>(FOF)</w:t>
      </w:r>
    </w:p>
    <w:p w:rsidR="002279D3" w:rsidRPr="0081286B" w:rsidRDefault="002279D3" w:rsidP="00C15CAC">
      <w:pPr>
        <w:spacing w:before="29" w:line="288" w:lineRule="auto"/>
        <w:jc w:val="center"/>
        <w:rPr>
          <w:b/>
          <w:sz w:val="36"/>
          <w:szCs w:val="36"/>
        </w:rPr>
      </w:pPr>
      <w:r w:rsidRPr="0081286B">
        <w:rPr>
          <w:b/>
          <w:sz w:val="36"/>
          <w:szCs w:val="36"/>
        </w:rPr>
        <w:t>2019</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2019</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bookmarkStart w:id="0" w:name="_GoBack"/>
      <w:bookmarkEnd w:id="0"/>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基金管理人：上投摩根基金管理有限公司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二〇二〇年一月二十日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FA4ECC" w:rsidRDefault="00900445">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FA4ECC" w:rsidRDefault="00900445">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2020</w:t>
      </w:r>
      <w:r>
        <w:rPr>
          <w:color w:val="000000"/>
          <w:sz w:val="24"/>
          <w:szCs w:val="24"/>
        </w:rPr>
        <w:t>年</w:t>
      </w:r>
      <w:r>
        <w:rPr>
          <w:color w:val="000000"/>
          <w:sz w:val="24"/>
          <w:szCs w:val="24"/>
        </w:rPr>
        <w:t>1</w:t>
      </w:r>
      <w:r>
        <w:rPr>
          <w:color w:val="000000"/>
          <w:sz w:val="24"/>
          <w:szCs w:val="24"/>
        </w:rPr>
        <w:t>月</w:t>
      </w:r>
      <w:r>
        <w:rPr>
          <w:color w:val="000000"/>
          <w:sz w:val="24"/>
          <w:szCs w:val="24"/>
        </w:rPr>
        <w:t>17</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FA4ECC" w:rsidRDefault="00900445">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FA4ECC" w:rsidRDefault="00900445">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FA4ECC" w:rsidRDefault="00900445">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2019</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上投摩根尚睿混合</w:t>
            </w:r>
            <w:r w:rsidRPr="00414345">
              <w:rPr>
                <w:color w:val="000000"/>
                <w:kern w:val="0"/>
                <w:sz w:val="24"/>
                <w:szCs w:val="24"/>
              </w:rPr>
              <w:t>(FOF)</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006042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006042</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2018</w:t>
            </w:r>
            <w:r w:rsidRPr="00414345">
              <w:rPr>
                <w:color w:val="000000"/>
                <w:kern w:val="0"/>
                <w:sz w:val="24"/>
                <w:szCs w:val="24"/>
              </w:rPr>
              <w:t>年</w:t>
            </w:r>
            <w:r w:rsidRPr="00414345">
              <w:rPr>
                <w:color w:val="000000"/>
                <w:kern w:val="0"/>
                <w:sz w:val="24"/>
                <w:szCs w:val="24"/>
              </w:rPr>
              <w:t>8</w:t>
            </w:r>
            <w:r w:rsidRPr="00414345">
              <w:rPr>
                <w:color w:val="000000"/>
                <w:kern w:val="0"/>
                <w:sz w:val="24"/>
                <w:szCs w:val="24"/>
              </w:rPr>
              <w:t>月</w:t>
            </w:r>
            <w:r w:rsidRPr="00414345">
              <w:rPr>
                <w:color w:val="000000"/>
                <w:kern w:val="0"/>
                <w:sz w:val="24"/>
                <w:szCs w:val="24"/>
              </w:rPr>
              <w:t>15</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28,347,171.00</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通过优选基金，并结合严格的风险控制，实现基金资产的长期稳健增值。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FA4ECC" w:rsidRDefault="00900445">
            <w:pPr>
              <w:adjustRightInd w:val="0"/>
              <w:spacing w:before="29" w:line="288" w:lineRule="auto"/>
              <w:ind w:left="17"/>
              <w:jc w:val="left"/>
              <w:rPr>
                <w:color w:val="000000"/>
                <w:sz w:val="24"/>
                <w:szCs w:val="24"/>
              </w:rPr>
            </w:pPr>
            <w:r>
              <w:rPr>
                <w:color w:val="000000"/>
                <w:kern w:val="0"/>
                <w:sz w:val="24"/>
                <w:szCs w:val="24"/>
              </w:rPr>
              <w:t>1</w:t>
            </w:r>
            <w:r>
              <w:rPr>
                <w:color w:val="000000"/>
                <w:kern w:val="0"/>
                <w:sz w:val="24"/>
                <w:szCs w:val="24"/>
              </w:rPr>
              <w:t>、资产配置策略</w:t>
            </w:r>
          </w:p>
          <w:p w:rsidR="00FA4ECC" w:rsidRDefault="00900445">
            <w:pPr>
              <w:adjustRightInd w:val="0"/>
              <w:spacing w:before="29" w:line="288" w:lineRule="auto"/>
              <w:ind w:left="17"/>
              <w:jc w:val="left"/>
              <w:rPr>
                <w:color w:val="000000"/>
                <w:sz w:val="24"/>
                <w:szCs w:val="24"/>
              </w:rPr>
            </w:pPr>
            <w:r>
              <w:rPr>
                <w:color w:val="000000"/>
                <w:kern w:val="0"/>
                <w:sz w:val="24"/>
                <w:szCs w:val="24"/>
              </w:rPr>
              <w:t>在大类资产配置上，结合产品定位、风险收益特征以及管理人的长期资本市场观点确定基金的资产配置方案。</w:t>
            </w:r>
          </w:p>
          <w:p w:rsidR="00FA4ECC" w:rsidRDefault="00900445">
            <w:pPr>
              <w:adjustRightInd w:val="0"/>
              <w:spacing w:before="29" w:line="288" w:lineRule="auto"/>
              <w:ind w:left="17"/>
              <w:jc w:val="left"/>
              <w:rPr>
                <w:color w:val="000000"/>
                <w:sz w:val="24"/>
                <w:szCs w:val="24"/>
              </w:rPr>
            </w:pPr>
            <w:r>
              <w:rPr>
                <w:color w:val="000000"/>
                <w:kern w:val="0"/>
                <w:sz w:val="24"/>
                <w:szCs w:val="24"/>
              </w:rPr>
              <w:t>首先，管理人将根据基金业绩基准确定产品的风险收益特征。其次，根据投研团队的长期资本市场观点对各类型资产的风险收益特征进行判断。最后，结合本基金以及各资产类别的风险收益特征、现代投资组合理论，模拟得出各大类资产的长期战略配置比例。</w:t>
            </w:r>
          </w:p>
          <w:p w:rsidR="00FA4ECC" w:rsidRDefault="00900445">
            <w:pPr>
              <w:adjustRightInd w:val="0"/>
              <w:spacing w:before="29" w:line="288" w:lineRule="auto"/>
              <w:ind w:left="17"/>
              <w:jc w:val="left"/>
              <w:rPr>
                <w:color w:val="000000"/>
                <w:sz w:val="24"/>
                <w:szCs w:val="24"/>
              </w:rPr>
            </w:pPr>
            <w:r>
              <w:rPr>
                <w:color w:val="000000"/>
                <w:kern w:val="0"/>
                <w:sz w:val="24"/>
                <w:szCs w:val="24"/>
              </w:rPr>
              <w:t>密切关注市场风险的变化以及各资产类别的风险收益</w:t>
            </w:r>
            <w:r>
              <w:rPr>
                <w:color w:val="000000"/>
                <w:kern w:val="0"/>
                <w:sz w:val="24"/>
                <w:szCs w:val="24"/>
              </w:rPr>
              <w:lastRenderedPageBreak/>
              <w:t>的相对变化趋势，适度调整中长期战略配置比例。当资本市场发生重大变化且管理人认为将影响各类资产的预期时，根据实际情况调整资产配置比例。</w:t>
            </w:r>
          </w:p>
          <w:p w:rsidR="00FA4ECC" w:rsidRDefault="00900445">
            <w:pPr>
              <w:adjustRightInd w:val="0"/>
              <w:spacing w:before="29" w:line="288" w:lineRule="auto"/>
              <w:ind w:left="17"/>
              <w:jc w:val="left"/>
              <w:rPr>
                <w:color w:val="000000"/>
                <w:sz w:val="24"/>
                <w:szCs w:val="24"/>
              </w:rPr>
            </w:pPr>
            <w:r>
              <w:rPr>
                <w:color w:val="000000"/>
                <w:kern w:val="0"/>
                <w:sz w:val="24"/>
                <w:szCs w:val="24"/>
              </w:rPr>
              <w:t>2</w:t>
            </w:r>
            <w:r>
              <w:rPr>
                <w:color w:val="000000"/>
                <w:kern w:val="0"/>
                <w:sz w:val="24"/>
                <w:szCs w:val="24"/>
              </w:rPr>
              <w:t>、主动管理型基金投资策略</w:t>
            </w:r>
          </w:p>
          <w:p w:rsidR="00FA4ECC" w:rsidRDefault="00900445">
            <w:pPr>
              <w:adjustRightInd w:val="0"/>
              <w:spacing w:before="29" w:line="288" w:lineRule="auto"/>
              <w:ind w:left="17"/>
              <w:jc w:val="left"/>
              <w:rPr>
                <w:color w:val="000000"/>
                <w:sz w:val="24"/>
                <w:szCs w:val="24"/>
              </w:rPr>
            </w:pPr>
            <w:r>
              <w:rPr>
                <w:color w:val="000000"/>
                <w:kern w:val="0"/>
                <w:sz w:val="24"/>
                <w:szCs w:val="24"/>
              </w:rPr>
              <w:t>综合运用定量分析和定性分析的方式，通过层层筛选，优选能持续创造超额收益的基金构建投资组合。</w:t>
            </w:r>
          </w:p>
          <w:p w:rsidR="00FA4ECC" w:rsidRDefault="00900445">
            <w:pPr>
              <w:adjustRightInd w:val="0"/>
              <w:spacing w:before="29" w:line="288" w:lineRule="auto"/>
              <w:ind w:left="17"/>
              <w:jc w:val="left"/>
              <w:rPr>
                <w:color w:val="000000"/>
                <w:sz w:val="24"/>
                <w:szCs w:val="24"/>
              </w:rPr>
            </w:pPr>
            <w:r>
              <w:rPr>
                <w:color w:val="000000"/>
                <w:kern w:val="0"/>
                <w:sz w:val="24"/>
                <w:szCs w:val="24"/>
              </w:rPr>
              <w:t>首先，通过初步的定量指标筛选出历史业绩表现良好、规模适中、流动性较好的基金。在初步筛选的基础上，进一步通过尽职调查在基金管理公司层面进行考察，形成基金筛选基础池。</w:t>
            </w:r>
          </w:p>
          <w:p w:rsidR="00FA4ECC" w:rsidRDefault="00900445">
            <w:pPr>
              <w:adjustRightInd w:val="0"/>
              <w:spacing w:before="29" w:line="288" w:lineRule="auto"/>
              <w:ind w:left="17"/>
              <w:jc w:val="left"/>
              <w:rPr>
                <w:color w:val="000000"/>
                <w:sz w:val="24"/>
                <w:szCs w:val="24"/>
              </w:rPr>
            </w:pPr>
            <w:r>
              <w:rPr>
                <w:color w:val="000000"/>
                <w:kern w:val="0"/>
                <w:sz w:val="24"/>
                <w:szCs w:val="24"/>
              </w:rPr>
              <w:t>其次，结合尽职调查结果以及公开数据，对基金经理进行深度访谈，筛选后将不同投资风格</w:t>
            </w:r>
            <w:r>
              <w:rPr>
                <w:color w:val="000000"/>
                <w:kern w:val="0"/>
                <w:sz w:val="24"/>
                <w:szCs w:val="24"/>
              </w:rPr>
              <w:t>/</w:t>
            </w:r>
            <w:r>
              <w:rPr>
                <w:color w:val="000000"/>
                <w:kern w:val="0"/>
                <w:sz w:val="24"/>
                <w:szCs w:val="24"/>
              </w:rPr>
              <w:t>策略的代表性基金列入未来基金构建投资组合的核心池。</w:t>
            </w:r>
          </w:p>
          <w:p w:rsidR="00FA4ECC" w:rsidRDefault="00900445">
            <w:pPr>
              <w:adjustRightInd w:val="0"/>
              <w:spacing w:before="29" w:line="288" w:lineRule="auto"/>
              <w:ind w:left="17"/>
              <w:jc w:val="left"/>
              <w:rPr>
                <w:color w:val="000000"/>
                <w:sz w:val="24"/>
                <w:szCs w:val="24"/>
              </w:rPr>
            </w:pPr>
            <w:r>
              <w:rPr>
                <w:color w:val="000000"/>
                <w:kern w:val="0"/>
                <w:sz w:val="24"/>
                <w:szCs w:val="24"/>
              </w:rPr>
              <w:t>本基金目前将主要投资于本基金管理人旗下的公募基金，并根据定量及定性分析策略优选标的基金。未来本基金管理人本着审慎尽职的原则，可将投资范围逐步扩展至其他管理人旗下的公募基金。</w:t>
            </w:r>
          </w:p>
          <w:p w:rsidR="00FA4ECC" w:rsidRDefault="00900445">
            <w:pPr>
              <w:adjustRightInd w:val="0"/>
              <w:spacing w:before="29" w:line="288" w:lineRule="auto"/>
              <w:ind w:left="17"/>
              <w:jc w:val="left"/>
              <w:rPr>
                <w:color w:val="000000"/>
                <w:sz w:val="24"/>
                <w:szCs w:val="24"/>
              </w:rPr>
            </w:pPr>
            <w:r>
              <w:rPr>
                <w:color w:val="000000"/>
                <w:kern w:val="0"/>
                <w:sz w:val="24"/>
                <w:szCs w:val="24"/>
              </w:rPr>
              <w:t>3</w:t>
            </w:r>
            <w:r>
              <w:rPr>
                <w:color w:val="000000"/>
                <w:kern w:val="0"/>
                <w:sz w:val="24"/>
                <w:szCs w:val="24"/>
              </w:rPr>
              <w:t>、指数基金投资策略</w:t>
            </w:r>
          </w:p>
          <w:p w:rsidR="00FA4ECC" w:rsidRDefault="00900445">
            <w:pPr>
              <w:adjustRightInd w:val="0"/>
              <w:spacing w:before="29" w:line="288" w:lineRule="auto"/>
              <w:ind w:left="17"/>
              <w:jc w:val="left"/>
              <w:rPr>
                <w:color w:val="000000"/>
                <w:sz w:val="24"/>
                <w:szCs w:val="24"/>
              </w:rPr>
            </w:pPr>
            <w:r>
              <w:rPr>
                <w:color w:val="000000"/>
                <w:kern w:val="0"/>
                <w:sz w:val="24"/>
                <w:szCs w:val="24"/>
              </w:rPr>
              <w:t>通过对国内外宏观经济、经济结构转型的方向、国家经济政策、产业政策导向的深入研究，优选中长期景气向好的指数基金进行配置。此外，基于对市场未来运行趋势和风格的预判，积极参与包括行业主题、风格或策略指数等在内的各类指数基金的投资，把握市场阶段性投资机会。</w:t>
            </w:r>
          </w:p>
          <w:p w:rsidR="00FA4ECC" w:rsidRDefault="00900445">
            <w:pPr>
              <w:adjustRightInd w:val="0"/>
              <w:spacing w:before="29" w:line="288" w:lineRule="auto"/>
              <w:ind w:left="17"/>
              <w:jc w:val="left"/>
              <w:rPr>
                <w:color w:val="000000"/>
                <w:sz w:val="24"/>
                <w:szCs w:val="24"/>
              </w:rPr>
            </w:pPr>
            <w:r>
              <w:rPr>
                <w:color w:val="000000"/>
                <w:kern w:val="0"/>
                <w:sz w:val="24"/>
                <w:szCs w:val="24"/>
              </w:rPr>
              <w:t>4</w:t>
            </w:r>
            <w:r>
              <w:rPr>
                <w:color w:val="000000"/>
                <w:kern w:val="0"/>
                <w:sz w:val="24"/>
                <w:szCs w:val="24"/>
              </w:rPr>
              <w:t>、债券投资策略</w:t>
            </w:r>
          </w:p>
          <w:p w:rsidR="00FA4ECC" w:rsidRDefault="00900445">
            <w:pPr>
              <w:adjustRightInd w:val="0"/>
              <w:spacing w:before="29" w:line="288" w:lineRule="auto"/>
              <w:ind w:left="17"/>
              <w:jc w:val="left"/>
              <w:rPr>
                <w:color w:val="000000"/>
                <w:sz w:val="24"/>
                <w:szCs w:val="24"/>
              </w:rPr>
            </w:pPr>
            <w:r>
              <w:rPr>
                <w:color w:val="000000"/>
                <w:kern w:val="0"/>
                <w:sz w:val="24"/>
                <w:szCs w:val="24"/>
              </w:rPr>
              <w:t>结合不同债券品种的到期收益率、流动性、市场规模等情况，并根据对债券收益率曲线形态、息差变化的预测，对债券组合进行动态调整。</w:t>
            </w:r>
          </w:p>
          <w:p w:rsidR="00FA4ECC" w:rsidRDefault="00900445">
            <w:pPr>
              <w:adjustRightInd w:val="0"/>
              <w:spacing w:before="29" w:line="288" w:lineRule="auto"/>
              <w:ind w:left="17"/>
              <w:jc w:val="left"/>
              <w:rPr>
                <w:color w:val="000000"/>
                <w:sz w:val="24"/>
                <w:szCs w:val="24"/>
              </w:rPr>
            </w:pPr>
            <w:r>
              <w:rPr>
                <w:color w:val="000000"/>
                <w:kern w:val="0"/>
                <w:sz w:val="24"/>
                <w:szCs w:val="24"/>
              </w:rPr>
              <w:t>5</w:t>
            </w:r>
            <w:r>
              <w:rPr>
                <w:color w:val="000000"/>
                <w:kern w:val="0"/>
                <w:sz w:val="24"/>
                <w:szCs w:val="24"/>
              </w:rPr>
              <w:t>、中小企业私募债投资策略</w:t>
            </w:r>
          </w:p>
          <w:p w:rsidR="00FA4ECC" w:rsidRDefault="00900445">
            <w:pPr>
              <w:adjustRightInd w:val="0"/>
              <w:spacing w:before="29" w:line="288" w:lineRule="auto"/>
              <w:ind w:left="17"/>
              <w:jc w:val="left"/>
              <w:rPr>
                <w:color w:val="000000"/>
                <w:sz w:val="24"/>
                <w:szCs w:val="24"/>
              </w:rPr>
            </w:pPr>
            <w:r>
              <w:rPr>
                <w:color w:val="000000"/>
                <w:kern w:val="0"/>
                <w:sz w:val="24"/>
                <w:szCs w:val="24"/>
              </w:rPr>
              <w:t>本基金对中小企业私募债的投资主要从自上而下判断景气周期和自下而上精选标的两个角度出发，结合信用分析和信用评估进行。</w:t>
            </w:r>
          </w:p>
          <w:p w:rsidR="00FA4ECC" w:rsidRDefault="00900445">
            <w:pPr>
              <w:adjustRightInd w:val="0"/>
              <w:spacing w:before="29" w:line="288" w:lineRule="auto"/>
              <w:ind w:left="17"/>
              <w:jc w:val="left"/>
              <w:rPr>
                <w:color w:val="000000"/>
                <w:sz w:val="24"/>
                <w:szCs w:val="24"/>
              </w:rPr>
            </w:pPr>
            <w:r>
              <w:rPr>
                <w:color w:val="000000"/>
                <w:kern w:val="0"/>
                <w:sz w:val="24"/>
                <w:szCs w:val="24"/>
              </w:rPr>
              <w:t>6</w:t>
            </w:r>
            <w:r>
              <w:rPr>
                <w:color w:val="000000"/>
                <w:kern w:val="0"/>
                <w:sz w:val="24"/>
                <w:szCs w:val="24"/>
              </w:rPr>
              <w:t>、证券公司短期公司债投资策略</w:t>
            </w:r>
          </w:p>
          <w:p w:rsidR="00FA4ECC" w:rsidRDefault="00900445">
            <w:pPr>
              <w:adjustRightInd w:val="0"/>
              <w:spacing w:before="29" w:line="288" w:lineRule="auto"/>
              <w:ind w:left="17"/>
              <w:jc w:val="left"/>
              <w:rPr>
                <w:color w:val="000000"/>
                <w:sz w:val="24"/>
                <w:szCs w:val="24"/>
              </w:rPr>
            </w:pPr>
            <w:r>
              <w:rPr>
                <w:color w:val="000000"/>
                <w:kern w:val="0"/>
                <w:sz w:val="24"/>
                <w:szCs w:val="24"/>
              </w:rPr>
              <w:t>主要从分析证券行业整体情况、证券公司基本面情况入手，分析证券公司短期公司债券的违约风险及合理的利差水平，对其进行独立、客观的价值评估。</w:t>
            </w:r>
          </w:p>
          <w:p w:rsidR="00FA4ECC" w:rsidRDefault="00900445">
            <w:pPr>
              <w:adjustRightInd w:val="0"/>
              <w:spacing w:before="29" w:line="288" w:lineRule="auto"/>
              <w:ind w:left="17"/>
              <w:jc w:val="left"/>
              <w:rPr>
                <w:color w:val="000000"/>
                <w:sz w:val="24"/>
                <w:szCs w:val="24"/>
              </w:rPr>
            </w:pPr>
            <w:r>
              <w:rPr>
                <w:color w:val="000000"/>
                <w:kern w:val="0"/>
                <w:sz w:val="24"/>
                <w:szCs w:val="24"/>
              </w:rPr>
              <w:lastRenderedPageBreak/>
              <w:t>7</w:t>
            </w:r>
            <w:r>
              <w:rPr>
                <w:color w:val="000000"/>
                <w:kern w:val="0"/>
                <w:sz w:val="24"/>
                <w:szCs w:val="24"/>
              </w:rPr>
              <w:t>、资产支持证券投资策略</w:t>
            </w:r>
          </w:p>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综合考虑市场利率、发行条款、支持资产的构成及质量等因素，对资产支持证券的风险与收益状况进行评估，确定资产合理配置比例。</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本基金的业绩比较基准为：中证</w:t>
            </w:r>
            <w:r w:rsidRPr="00414345">
              <w:rPr>
                <w:color w:val="000000"/>
                <w:kern w:val="0"/>
                <w:sz w:val="24"/>
                <w:szCs w:val="24"/>
              </w:rPr>
              <w:t>800</w:t>
            </w:r>
            <w:r w:rsidRPr="00414345">
              <w:rPr>
                <w:color w:val="000000"/>
                <w:kern w:val="0"/>
                <w:sz w:val="24"/>
                <w:szCs w:val="24"/>
              </w:rPr>
              <w:t>指数收益率</w:t>
            </w:r>
            <w:r w:rsidRPr="00414345">
              <w:rPr>
                <w:color w:val="000000"/>
                <w:kern w:val="0"/>
                <w:sz w:val="24"/>
                <w:szCs w:val="24"/>
              </w:rPr>
              <w:t>*60%+</w:t>
            </w:r>
            <w:r w:rsidRPr="00414345">
              <w:rPr>
                <w:color w:val="000000"/>
                <w:kern w:val="0"/>
                <w:sz w:val="24"/>
                <w:szCs w:val="24"/>
              </w:rPr>
              <w:t>中证综合债指数收益率</w:t>
            </w:r>
            <w:r w:rsidRPr="00414345">
              <w:rPr>
                <w:color w:val="000000"/>
                <w:kern w:val="0"/>
                <w:sz w:val="24"/>
                <w:szCs w:val="24"/>
              </w:rPr>
              <w:t>*40%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本基金属于混合型基金中基金，预期风险和收益水平低于股票型基金，高于债券型和货币市场基金，属于较高风险收益水平的基金产品。</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上投摩根基金管理有限公司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900445" w:rsidRPr="00414345" w:rsidTr="00900445">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(2019</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-2019</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900445" w:rsidRPr="00414345" w:rsidTr="0090044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951,949.35</w:t>
            </w:r>
          </w:p>
        </w:tc>
      </w:tr>
      <w:tr w:rsidR="00900445" w:rsidRPr="00414345" w:rsidTr="0090044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2,090,649.34</w:t>
            </w:r>
          </w:p>
        </w:tc>
      </w:tr>
      <w:tr w:rsidR="00900445" w:rsidRPr="00414345" w:rsidTr="0090044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0.0797</w:t>
            </w:r>
          </w:p>
        </w:tc>
      </w:tr>
      <w:tr w:rsidR="00900445" w:rsidRPr="00414345" w:rsidTr="0090044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33,894,275.45</w:t>
            </w:r>
          </w:p>
        </w:tc>
      </w:tr>
      <w:tr w:rsidR="00900445" w:rsidRPr="00414345" w:rsidTr="00900445">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1.1957</w:t>
            </w:r>
          </w:p>
        </w:tc>
      </w:tr>
    </w:tbl>
    <w:p w:rsidR="00FA4ECC" w:rsidRDefault="00900445">
      <w:pPr>
        <w:autoSpaceDE w:val="0"/>
        <w:autoSpaceDN w:val="0"/>
        <w:adjustRightInd w:val="0"/>
        <w:spacing w:before="29" w:line="288" w:lineRule="auto"/>
        <w:jc w:val="left"/>
        <w:rPr>
          <w:color w:val="000000"/>
          <w:sz w:val="24"/>
          <w:szCs w:val="24"/>
        </w:rPr>
      </w:pPr>
      <w:r>
        <w:rPr>
          <w:color w:val="000000"/>
          <w:sz w:val="24"/>
          <w:szCs w:val="24"/>
        </w:rPr>
        <w:t>注：本期已实现收益指基金本期利息收入、投资收益、其他收入</w:t>
      </w:r>
      <w:r>
        <w:rPr>
          <w:color w:val="000000"/>
          <w:sz w:val="24"/>
          <w:szCs w:val="24"/>
        </w:rPr>
        <w:t>(</w:t>
      </w:r>
      <w:r>
        <w:rPr>
          <w:color w:val="000000"/>
          <w:sz w:val="24"/>
          <w:szCs w:val="24"/>
        </w:rPr>
        <w:t>不含公允价值变动收益</w:t>
      </w:r>
      <w:r>
        <w:rPr>
          <w:color w:val="000000"/>
          <w:sz w:val="24"/>
          <w:szCs w:val="24"/>
        </w:rPr>
        <w:t>)</w:t>
      </w:r>
      <w:r>
        <w:rPr>
          <w:color w:val="000000"/>
          <w:sz w:val="24"/>
          <w:szCs w:val="24"/>
        </w:rPr>
        <w:t>扣除相关费用后的余额，本期利润为本期已实现收益加上本期公允价值变动收益。</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上述基金业绩指标不包括持有人认购或交易基金的各项费用（例如，开放式基金的申购赎回费、红利再投资费、基金转换费等），计入费用后实际收益水平要低于所列数字。</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FA4ECC">
        <w:trPr>
          <w:jc w:val="center"/>
        </w:trPr>
        <w:tc>
          <w:tcPr>
            <w:tcW w:w="1701" w:type="dxa"/>
            <w:vAlign w:val="center"/>
          </w:tcPr>
          <w:p w:rsidR="00FA4ECC" w:rsidRDefault="00900445">
            <w:pPr>
              <w:jc w:val="left"/>
            </w:pPr>
            <w:r>
              <w:rPr>
                <w:color w:val="000000"/>
                <w:sz w:val="24"/>
                <w:szCs w:val="24"/>
              </w:rPr>
              <w:t>过去三个月</w:t>
            </w:r>
          </w:p>
        </w:tc>
        <w:tc>
          <w:tcPr>
            <w:tcW w:w="1045" w:type="dxa"/>
            <w:vAlign w:val="center"/>
          </w:tcPr>
          <w:p w:rsidR="00FA4ECC" w:rsidRDefault="00900445">
            <w:pPr>
              <w:jc w:val="center"/>
            </w:pPr>
            <w:r>
              <w:rPr>
                <w:color w:val="000000"/>
                <w:sz w:val="24"/>
                <w:szCs w:val="24"/>
              </w:rPr>
              <w:t>6.97%</w:t>
            </w:r>
          </w:p>
        </w:tc>
        <w:tc>
          <w:tcPr>
            <w:tcW w:w="1344" w:type="dxa"/>
            <w:vAlign w:val="center"/>
          </w:tcPr>
          <w:p w:rsidR="00FA4ECC" w:rsidRDefault="00900445">
            <w:pPr>
              <w:jc w:val="center"/>
            </w:pPr>
            <w:r>
              <w:rPr>
                <w:color w:val="000000"/>
                <w:sz w:val="24"/>
                <w:szCs w:val="24"/>
              </w:rPr>
              <w:t>0.48%</w:t>
            </w:r>
          </w:p>
        </w:tc>
        <w:tc>
          <w:tcPr>
            <w:tcW w:w="1194" w:type="dxa"/>
            <w:vAlign w:val="center"/>
          </w:tcPr>
          <w:p w:rsidR="00FA4ECC" w:rsidRDefault="00900445">
            <w:pPr>
              <w:jc w:val="center"/>
            </w:pPr>
            <w:r>
              <w:rPr>
                <w:color w:val="000000"/>
                <w:sz w:val="24"/>
                <w:szCs w:val="24"/>
              </w:rPr>
              <w:t>4.81%</w:t>
            </w:r>
          </w:p>
        </w:tc>
        <w:tc>
          <w:tcPr>
            <w:tcW w:w="1492" w:type="dxa"/>
            <w:vAlign w:val="center"/>
          </w:tcPr>
          <w:p w:rsidR="00FA4ECC" w:rsidRDefault="00900445">
            <w:pPr>
              <w:jc w:val="center"/>
            </w:pPr>
            <w:r>
              <w:rPr>
                <w:color w:val="000000"/>
                <w:sz w:val="24"/>
                <w:szCs w:val="24"/>
              </w:rPr>
              <w:t>0.45%</w:t>
            </w:r>
          </w:p>
        </w:tc>
        <w:tc>
          <w:tcPr>
            <w:tcW w:w="1194" w:type="dxa"/>
            <w:vAlign w:val="center"/>
          </w:tcPr>
          <w:p w:rsidR="00FA4ECC" w:rsidRDefault="00900445">
            <w:pPr>
              <w:jc w:val="center"/>
            </w:pPr>
            <w:r>
              <w:rPr>
                <w:color w:val="000000"/>
                <w:sz w:val="24"/>
                <w:szCs w:val="24"/>
              </w:rPr>
              <w:t>2.16%</w:t>
            </w:r>
          </w:p>
        </w:tc>
        <w:tc>
          <w:tcPr>
            <w:tcW w:w="898" w:type="dxa"/>
            <w:vAlign w:val="center"/>
          </w:tcPr>
          <w:p w:rsidR="00FA4ECC" w:rsidRDefault="00900445">
            <w:pPr>
              <w:jc w:val="center"/>
            </w:pPr>
            <w:r>
              <w:rPr>
                <w:color w:val="000000"/>
                <w:sz w:val="24"/>
                <w:szCs w:val="24"/>
              </w:rPr>
              <w:t>0.03%</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上投摩根尚睿混合型基金中基金</w:t>
      </w:r>
      <w:r w:rsidRPr="00414345">
        <w:rPr>
          <w:color w:val="000000"/>
          <w:sz w:val="24"/>
          <w:szCs w:val="24"/>
        </w:rPr>
        <w:t>(FOF)</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2018</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8</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15</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2019</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FA4ECC" w:rsidRDefault="00900445">
      <w:pPr>
        <w:autoSpaceDE w:val="0"/>
        <w:autoSpaceDN w:val="0"/>
        <w:adjustRightInd w:val="0"/>
        <w:spacing w:before="29" w:line="288" w:lineRule="auto"/>
        <w:jc w:val="left"/>
        <w:rPr>
          <w:color w:val="000000"/>
          <w:sz w:val="24"/>
          <w:szCs w:val="24"/>
        </w:rPr>
      </w:pPr>
      <w:r>
        <w:rPr>
          <w:color w:val="000000"/>
          <w:sz w:val="24"/>
          <w:szCs w:val="24"/>
        </w:rPr>
        <w:t>注：本基金合同生效日为</w:t>
      </w:r>
      <w:r>
        <w:rPr>
          <w:color w:val="000000"/>
          <w:sz w:val="24"/>
          <w:szCs w:val="24"/>
        </w:rPr>
        <w:t>2018</w:t>
      </w:r>
      <w:r>
        <w:rPr>
          <w:color w:val="000000"/>
          <w:sz w:val="24"/>
          <w:szCs w:val="24"/>
        </w:rPr>
        <w:t>年</w:t>
      </w:r>
      <w:r>
        <w:rPr>
          <w:color w:val="000000"/>
          <w:sz w:val="24"/>
          <w:szCs w:val="24"/>
        </w:rPr>
        <w:t>8</w:t>
      </w:r>
      <w:r>
        <w:rPr>
          <w:color w:val="000000"/>
          <w:sz w:val="24"/>
          <w:szCs w:val="24"/>
        </w:rPr>
        <w:t>月</w:t>
      </w:r>
      <w:r>
        <w:rPr>
          <w:color w:val="000000"/>
          <w:sz w:val="24"/>
          <w:szCs w:val="24"/>
        </w:rPr>
        <w:t>15</w:t>
      </w:r>
      <w:r>
        <w:rPr>
          <w:color w:val="000000"/>
          <w:sz w:val="24"/>
          <w:szCs w:val="24"/>
        </w:rPr>
        <w:t>日，图示时间段为</w:t>
      </w:r>
      <w:r>
        <w:rPr>
          <w:color w:val="000000"/>
          <w:sz w:val="24"/>
          <w:szCs w:val="24"/>
        </w:rPr>
        <w:t>2018</w:t>
      </w:r>
      <w:r>
        <w:rPr>
          <w:color w:val="000000"/>
          <w:sz w:val="24"/>
          <w:szCs w:val="24"/>
        </w:rPr>
        <w:t>年</w:t>
      </w:r>
      <w:r>
        <w:rPr>
          <w:color w:val="000000"/>
          <w:sz w:val="24"/>
          <w:szCs w:val="24"/>
        </w:rPr>
        <w:t>8</w:t>
      </w:r>
      <w:r>
        <w:rPr>
          <w:color w:val="000000"/>
          <w:sz w:val="24"/>
          <w:szCs w:val="24"/>
        </w:rPr>
        <w:t>月</w:t>
      </w:r>
      <w:r>
        <w:rPr>
          <w:color w:val="000000"/>
          <w:sz w:val="24"/>
          <w:szCs w:val="24"/>
        </w:rPr>
        <w:t>15</w:t>
      </w:r>
      <w:r>
        <w:rPr>
          <w:color w:val="000000"/>
          <w:sz w:val="24"/>
          <w:szCs w:val="24"/>
        </w:rPr>
        <w:t>日至</w:t>
      </w:r>
      <w:r>
        <w:rPr>
          <w:color w:val="000000"/>
          <w:sz w:val="24"/>
          <w:szCs w:val="24"/>
        </w:rPr>
        <w:t>2019</w:t>
      </w:r>
      <w:r>
        <w:rPr>
          <w:color w:val="000000"/>
          <w:sz w:val="24"/>
          <w:szCs w:val="24"/>
        </w:rPr>
        <w:t>年</w:t>
      </w:r>
      <w:r>
        <w:rPr>
          <w:color w:val="000000"/>
          <w:sz w:val="24"/>
          <w:szCs w:val="24"/>
        </w:rPr>
        <w:t>12</w:t>
      </w:r>
      <w:r>
        <w:rPr>
          <w:color w:val="000000"/>
          <w:sz w:val="24"/>
          <w:szCs w:val="24"/>
        </w:rPr>
        <w:t>月</w:t>
      </w:r>
      <w:r>
        <w:rPr>
          <w:color w:val="000000"/>
          <w:sz w:val="24"/>
          <w:szCs w:val="24"/>
        </w:rPr>
        <w:t>31</w:t>
      </w:r>
      <w:r>
        <w:rPr>
          <w:color w:val="000000"/>
          <w:sz w:val="24"/>
          <w:szCs w:val="24"/>
        </w:rPr>
        <w:t>日。</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本基金建仓期自</w:t>
      </w:r>
      <w:r w:rsidRPr="00414345">
        <w:rPr>
          <w:color w:val="000000"/>
          <w:sz w:val="24"/>
          <w:szCs w:val="24"/>
        </w:rPr>
        <w:t>2018</w:t>
      </w:r>
      <w:r w:rsidRPr="00414345">
        <w:rPr>
          <w:color w:val="000000"/>
          <w:sz w:val="24"/>
          <w:szCs w:val="24"/>
        </w:rPr>
        <w:t>年</w:t>
      </w:r>
      <w:r w:rsidRPr="00414345">
        <w:rPr>
          <w:color w:val="000000"/>
          <w:sz w:val="24"/>
          <w:szCs w:val="24"/>
        </w:rPr>
        <w:t>8</w:t>
      </w:r>
      <w:r w:rsidRPr="00414345">
        <w:rPr>
          <w:color w:val="000000"/>
          <w:sz w:val="24"/>
          <w:szCs w:val="24"/>
        </w:rPr>
        <w:t>月</w:t>
      </w:r>
      <w:r w:rsidRPr="00414345">
        <w:rPr>
          <w:color w:val="000000"/>
          <w:sz w:val="24"/>
          <w:szCs w:val="24"/>
        </w:rPr>
        <w:t>15</w:t>
      </w:r>
      <w:r w:rsidRPr="00414345">
        <w:rPr>
          <w:color w:val="000000"/>
          <w:sz w:val="24"/>
          <w:szCs w:val="24"/>
        </w:rPr>
        <w:t>日至</w:t>
      </w:r>
      <w:r w:rsidRPr="00414345">
        <w:rPr>
          <w:color w:val="000000"/>
          <w:sz w:val="24"/>
          <w:szCs w:val="24"/>
        </w:rPr>
        <w:t>2019</w:t>
      </w:r>
      <w:r w:rsidRPr="00414345">
        <w:rPr>
          <w:color w:val="000000"/>
          <w:sz w:val="24"/>
          <w:szCs w:val="24"/>
        </w:rPr>
        <w:t>年</w:t>
      </w:r>
      <w:r w:rsidRPr="00414345">
        <w:rPr>
          <w:color w:val="000000"/>
          <w:sz w:val="24"/>
          <w:szCs w:val="24"/>
        </w:rPr>
        <w:t>2</w:t>
      </w:r>
      <w:r w:rsidRPr="00414345">
        <w:rPr>
          <w:color w:val="000000"/>
          <w:sz w:val="24"/>
          <w:szCs w:val="24"/>
        </w:rPr>
        <w:t>月</w:t>
      </w:r>
      <w:r w:rsidRPr="00414345">
        <w:rPr>
          <w:color w:val="000000"/>
          <w:sz w:val="24"/>
          <w:szCs w:val="24"/>
        </w:rPr>
        <w:t>14</w:t>
      </w:r>
      <w:r w:rsidRPr="00414345">
        <w:rPr>
          <w:color w:val="000000"/>
          <w:sz w:val="24"/>
          <w:szCs w:val="24"/>
        </w:rPr>
        <w:t>日，建仓期结束时资产配置比例符合本基金基金合同规定。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FA4ECC">
        <w:trPr>
          <w:jc w:val="center"/>
        </w:trPr>
        <w:tc>
          <w:tcPr>
            <w:tcW w:w="846" w:type="dxa"/>
            <w:vAlign w:val="center"/>
          </w:tcPr>
          <w:p w:rsidR="00FA4ECC" w:rsidRDefault="00900445">
            <w:pPr>
              <w:jc w:val="center"/>
            </w:pPr>
            <w:r>
              <w:rPr>
                <w:color w:val="000000"/>
                <w:sz w:val="24"/>
                <w:szCs w:val="24"/>
              </w:rPr>
              <w:t>孟鸣</w:t>
            </w:r>
          </w:p>
        </w:tc>
        <w:tc>
          <w:tcPr>
            <w:tcW w:w="845" w:type="dxa"/>
            <w:vAlign w:val="center"/>
          </w:tcPr>
          <w:p w:rsidR="00FA4ECC" w:rsidRDefault="00900445">
            <w:pPr>
              <w:jc w:val="center"/>
            </w:pPr>
            <w:r>
              <w:rPr>
                <w:color w:val="000000"/>
                <w:sz w:val="24"/>
                <w:szCs w:val="24"/>
              </w:rPr>
              <w:t>本基金基金经理</w:t>
            </w:r>
          </w:p>
        </w:tc>
        <w:tc>
          <w:tcPr>
            <w:tcW w:w="1549" w:type="dxa"/>
            <w:vAlign w:val="center"/>
          </w:tcPr>
          <w:p w:rsidR="00FA4ECC" w:rsidRDefault="00900445">
            <w:pPr>
              <w:jc w:val="center"/>
            </w:pPr>
            <w:r>
              <w:rPr>
                <w:color w:val="000000"/>
                <w:sz w:val="24"/>
                <w:szCs w:val="24"/>
              </w:rPr>
              <w:t>2018-08-15</w:t>
            </w:r>
          </w:p>
        </w:tc>
        <w:tc>
          <w:tcPr>
            <w:tcW w:w="1548" w:type="dxa"/>
            <w:vAlign w:val="center"/>
          </w:tcPr>
          <w:p w:rsidR="00FA4ECC" w:rsidRDefault="00900445">
            <w:pPr>
              <w:jc w:val="center"/>
            </w:pPr>
            <w:r>
              <w:rPr>
                <w:color w:val="000000"/>
                <w:sz w:val="24"/>
                <w:szCs w:val="24"/>
              </w:rPr>
              <w:t>-</w:t>
            </w:r>
          </w:p>
        </w:tc>
        <w:tc>
          <w:tcPr>
            <w:tcW w:w="1407" w:type="dxa"/>
            <w:vAlign w:val="center"/>
          </w:tcPr>
          <w:p w:rsidR="00FA4ECC" w:rsidRDefault="00900445">
            <w:pPr>
              <w:jc w:val="center"/>
            </w:pPr>
            <w:r>
              <w:rPr>
                <w:color w:val="000000"/>
                <w:sz w:val="24"/>
                <w:szCs w:val="24"/>
              </w:rPr>
              <w:t>5</w:t>
            </w:r>
            <w:r>
              <w:rPr>
                <w:color w:val="000000"/>
                <w:sz w:val="24"/>
                <w:szCs w:val="24"/>
              </w:rPr>
              <w:t>年</w:t>
            </w:r>
          </w:p>
        </w:tc>
        <w:tc>
          <w:tcPr>
            <w:tcW w:w="2673" w:type="dxa"/>
            <w:vAlign w:val="center"/>
          </w:tcPr>
          <w:p w:rsidR="00FA4ECC" w:rsidRDefault="00900445">
            <w:r>
              <w:rPr>
                <w:color w:val="000000"/>
                <w:sz w:val="24"/>
                <w:szCs w:val="24"/>
              </w:rPr>
              <w:t>孟鸣先生，上海外国语大学日本文化经济本科。自</w:t>
            </w:r>
            <w:r>
              <w:rPr>
                <w:color w:val="000000"/>
                <w:sz w:val="24"/>
                <w:szCs w:val="24"/>
              </w:rPr>
              <w:t>2001</w:t>
            </w:r>
            <w:r>
              <w:rPr>
                <w:color w:val="000000"/>
                <w:sz w:val="24"/>
                <w:szCs w:val="24"/>
              </w:rPr>
              <w:t>年</w:t>
            </w:r>
            <w:r>
              <w:rPr>
                <w:color w:val="000000"/>
                <w:sz w:val="24"/>
                <w:szCs w:val="24"/>
              </w:rPr>
              <w:t>6</w:t>
            </w:r>
            <w:r>
              <w:rPr>
                <w:color w:val="000000"/>
                <w:sz w:val="24"/>
                <w:szCs w:val="24"/>
              </w:rPr>
              <w:t>月至</w:t>
            </w:r>
            <w:r>
              <w:rPr>
                <w:color w:val="000000"/>
                <w:sz w:val="24"/>
                <w:szCs w:val="24"/>
              </w:rPr>
              <w:t>2003</w:t>
            </w:r>
            <w:r>
              <w:rPr>
                <w:color w:val="000000"/>
                <w:sz w:val="24"/>
                <w:szCs w:val="24"/>
              </w:rPr>
              <w:t>年</w:t>
            </w:r>
            <w:r>
              <w:rPr>
                <w:color w:val="000000"/>
                <w:sz w:val="24"/>
                <w:szCs w:val="24"/>
              </w:rPr>
              <w:t>7</w:t>
            </w:r>
            <w:r>
              <w:rPr>
                <w:color w:val="000000"/>
                <w:sz w:val="24"/>
                <w:szCs w:val="24"/>
              </w:rPr>
              <w:t>月，在三菱</w:t>
            </w:r>
            <w:r>
              <w:rPr>
                <w:color w:val="000000"/>
                <w:sz w:val="24"/>
                <w:szCs w:val="24"/>
              </w:rPr>
              <w:t>UFJ</w:t>
            </w:r>
            <w:r>
              <w:rPr>
                <w:color w:val="000000"/>
                <w:sz w:val="24"/>
                <w:szCs w:val="24"/>
              </w:rPr>
              <w:t>银行担任职员；自</w:t>
            </w:r>
            <w:r>
              <w:rPr>
                <w:color w:val="000000"/>
                <w:sz w:val="24"/>
                <w:szCs w:val="24"/>
              </w:rPr>
              <w:t>2003</w:t>
            </w:r>
            <w:r>
              <w:rPr>
                <w:color w:val="000000"/>
                <w:sz w:val="24"/>
                <w:szCs w:val="24"/>
              </w:rPr>
              <w:t>年</w:t>
            </w:r>
            <w:r>
              <w:rPr>
                <w:color w:val="000000"/>
                <w:sz w:val="24"/>
                <w:szCs w:val="24"/>
              </w:rPr>
              <w:t>8</w:t>
            </w:r>
            <w:r>
              <w:rPr>
                <w:color w:val="000000"/>
                <w:sz w:val="24"/>
                <w:szCs w:val="24"/>
              </w:rPr>
              <w:t>月至</w:t>
            </w:r>
            <w:r>
              <w:rPr>
                <w:color w:val="000000"/>
                <w:sz w:val="24"/>
                <w:szCs w:val="24"/>
              </w:rPr>
              <w:t>2004</w:t>
            </w:r>
            <w:r>
              <w:rPr>
                <w:color w:val="000000"/>
                <w:sz w:val="24"/>
                <w:szCs w:val="24"/>
              </w:rPr>
              <w:t>年</w:t>
            </w:r>
            <w:r>
              <w:rPr>
                <w:color w:val="000000"/>
                <w:sz w:val="24"/>
                <w:szCs w:val="24"/>
              </w:rPr>
              <w:t>10</w:t>
            </w:r>
            <w:r>
              <w:rPr>
                <w:color w:val="000000"/>
                <w:sz w:val="24"/>
                <w:szCs w:val="24"/>
              </w:rPr>
              <w:t>月，在麦肯光明传播集团担任客户经理；自</w:t>
            </w:r>
            <w:r>
              <w:rPr>
                <w:color w:val="000000"/>
                <w:sz w:val="24"/>
                <w:szCs w:val="24"/>
              </w:rPr>
              <w:t>2004</w:t>
            </w:r>
            <w:r>
              <w:rPr>
                <w:color w:val="000000"/>
                <w:sz w:val="24"/>
                <w:szCs w:val="24"/>
              </w:rPr>
              <w:t>年</w:t>
            </w:r>
            <w:r>
              <w:rPr>
                <w:color w:val="000000"/>
                <w:sz w:val="24"/>
                <w:szCs w:val="24"/>
              </w:rPr>
              <w:t>10</w:t>
            </w:r>
            <w:r>
              <w:rPr>
                <w:color w:val="000000"/>
                <w:sz w:val="24"/>
                <w:szCs w:val="24"/>
              </w:rPr>
              <w:t>月加入埃森哲，</w:t>
            </w:r>
            <w:r>
              <w:rPr>
                <w:color w:val="000000"/>
                <w:sz w:val="24"/>
                <w:szCs w:val="24"/>
              </w:rPr>
              <w:t>2004</w:t>
            </w:r>
            <w:r>
              <w:rPr>
                <w:color w:val="000000"/>
                <w:sz w:val="24"/>
                <w:szCs w:val="24"/>
              </w:rPr>
              <w:t>年</w:t>
            </w:r>
            <w:r>
              <w:rPr>
                <w:color w:val="000000"/>
                <w:sz w:val="24"/>
                <w:szCs w:val="24"/>
              </w:rPr>
              <w:t>10</w:t>
            </w:r>
            <w:r>
              <w:rPr>
                <w:color w:val="000000"/>
                <w:sz w:val="24"/>
                <w:szCs w:val="24"/>
              </w:rPr>
              <w:t>月至</w:t>
            </w:r>
            <w:r>
              <w:rPr>
                <w:color w:val="000000"/>
                <w:sz w:val="24"/>
                <w:szCs w:val="24"/>
              </w:rPr>
              <w:t>2006</w:t>
            </w:r>
            <w:r>
              <w:rPr>
                <w:color w:val="000000"/>
                <w:sz w:val="24"/>
                <w:szCs w:val="24"/>
              </w:rPr>
              <w:t>年</w:t>
            </w:r>
            <w:r>
              <w:rPr>
                <w:color w:val="000000"/>
                <w:sz w:val="24"/>
                <w:szCs w:val="24"/>
              </w:rPr>
              <w:t>8</w:t>
            </w:r>
            <w:r>
              <w:rPr>
                <w:color w:val="000000"/>
                <w:sz w:val="24"/>
                <w:szCs w:val="24"/>
              </w:rPr>
              <w:t>月，由埃森哲派出为美国证券托管清算机构服务，担任金融信息咨询部研究组长；自</w:t>
            </w:r>
            <w:r>
              <w:rPr>
                <w:color w:val="000000"/>
                <w:sz w:val="24"/>
                <w:szCs w:val="24"/>
              </w:rPr>
              <w:t>2006</w:t>
            </w:r>
            <w:r>
              <w:rPr>
                <w:color w:val="000000"/>
                <w:sz w:val="24"/>
                <w:szCs w:val="24"/>
              </w:rPr>
              <w:t>年</w:t>
            </w:r>
            <w:r>
              <w:rPr>
                <w:color w:val="000000"/>
                <w:sz w:val="24"/>
                <w:szCs w:val="24"/>
              </w:rPr>
              <w:t>9</w:t>
            </w:r>
            <w:r>
              <w:rPr>
                <w:color w:val="000000"/>
                <w:sz w:val="24"/>
                <w:szCs w:val="24"/>
              </w:rPr>
              <w:t>月到</w:t>
            </w:r>
            <w:r>
              <w:rPr>
                <w:color w:val="000000"/>
                <w:sz w:val="24"/>
                <w:szCs w:val="24"/>
              </w:rPr>
              <w:t>2015</w:t>
            </w:r>
            <w:r>
              <w:rPr>
                <w:color w:val="000000"/>
                <w:sz w:val="24"/>
                <w:szCs w:val="24"/>
              </w:rPr>
              <w:t>年</w:t>
            </w:r>
            <w:r>
              <w:rPr>
                <w:color w:val="000000"/>
                <w:sz w:val="24"/>
                <w:szCs w:val="24"/>
              </w:rPr>
              <w:t>1</w:t>
            </w:r>
            <w:r>
              <w:rPr>
                <w:color w:val="000000"/>
                <w:sz w:val="24"/>
                <w:szCs w:val="24"/>
              </w:rPr>
              <w:t>月，服务于德意志银行股票研究团队，担任证券研究部部门负责人，其间由于合同关系变更，</w:t>
            </w:r>
            <w:r>
              <w:rPr>
                <w:color w:val="000000"/>
                <w:sz w:val="24"/>
                <w:szCs w:val="24"/>
              </w:rPr>
              <w:t>2013</w:t>
            </w:r>
            <w:r>
              <w:rPr>
                <w:color w:val="000000"/>
                <w:sz w:val="24"/>
                <w:szCs w:val="24"/>
              </w:rPr>
              <w:t>年</w:t>
            </w:r>
            <w:r>
              <w:rPr>
                <w:color w:val="000000"/>
                <w:sz w:val="24"/>
                <w:szCs w:val="24"/>
              </w:rPr>
              <w:t>11</w:t>
            </w:r>
            <w:r>
              <w:rPr>
                <w:color w:val="000000"/>
                <w:sz w:val="24"/>
                <w:szCs w:val="24"/>
              </w:rPr>
              <w:t>月至</w:t>
            </w:r>
            <w:r>
              <w:rPr>
                <w:color w:val="000000"/>
                <w:sz w:val="24"/>
                <w:szCs w:val="24"/>
              </w:rPr>
              <w:t>2015</w:t>
            </w:r>
            <w:r>
              <w:rPr>
                <w:color w:val="000000"/>
                <w:sz w:val="24"/>
                <w:szCs w:val="24"/>
              </w:rPr>
              <w:t>年</w:t>
            </w:r>
            <w:r>
              <w:rPr>
                <w:color w:val="000000"/>
                <w:sz w:val="24"/>
                <w:szCs w:val="24"/>
              </w:rPr>
              <w:t>1</w:t>
            </w:r>
            <w:r>
              <w:rPr>
                <w:color w:val="000000"/>
                <w:sz w:val="24"/>
                <w:szCs w:val="24"/>
              </w:rPr>
              <w:t>月受雇于易唯思商务咨询；自</w:t>
            </w:r>
            <w:r>
              <w:rPr>
                <w:color w:val="000000"/>
                <w:sz w:val="24"/>
                <w:szCs w:val="24"/>
              </w:rPr>
              <w:t>2015</w:t>
            </w:r>
            <w:r>
              <w:rPr>
                <w:color w:val="000000"/>
                <w:sz w:val="24"/>
                <w:szCs w:val="24"/>
              </w:rPr>
              <w:t>年</w:t>
            </w:r>
            <w:r>
              <w:rPr>
                <w:color w:val="000000"/>
                <w:sz w:val="24"/>
                <w:szCs w:val="24"/>
              </w:rPr>
              <w:t>1</w:t>
            </w:r>
            <w:r>
              <w:rPr>
                <w:color w:val="000000"/>
                <w:sz w:val="24"/>
                <w:szCs w:val="24"/>
              </w:rPr>
              <w:t>月起加入上投摩根基金管理有限公司，历任公司高级投资组合经理、资深投资组合经理、基金经理；自</w:t>
            </w:r>
            <w:r>
              <w:rPr>
                <w:color w:val="000000"/>
                <w:sz w:val="24"/>
                <w:szCs w:val="24"/>
              </w:rPr>
              <w:t>2018</w:t>
            </w:r>
            <w:r>
              <w:rPr>
                <w:color w:val="000000"/>
                <w:sz w:val="24"/>
                <w:szCs w:val="24"/>
              </w:rPr>
              <w:t>年</w:t>
            </w:r>
            <w:r>
              <w:rPr>
                <w:color w:val="000000"/>
                <w:sz w:val="24"/>
                <w:szCs w:val="24"/>
              </w:rPr>
              <w:t>8</w:t>
            </w:r>
            <w:r>
              <w:rPr>
                <w:color w:val="000000"/>
                <w:sz w:val="24"/>
                <w:szCs w:val="24"/>
              </w:rPr>
              <w:t>月起担任上投摩根尚睿混合型基金中基金（</w:t>
            </w:r>
            <w:r>
              <w:rPr>
                <w:color w:val="000000"/>
                <w:sz w:val="24"/>
                <w:szCs w:val="24"/>
              </w:rPr>
              <w:t>FOF</w:t>
            </w:r>
            <w:r>
              <w:rPr>
                <w:color w:val="000000"/>
                <w:sz w:val="24"/>
                <w:szCs w:val="24"/>
              </w:rPr>
              <w:t>）基金经理。</w:t>
            </w:r>
          </w:p>
        </w:tc>
      </w:tr>
      <w:tr w:rsidR="00FA4ECC">
        <w:trPr>
          <w:jc w:val="center"/>
        </w:trPr>
        <w:tc>
          <w:tcPr>
            <w:tcW w:w="846" w:type="dxa"/>
            <w:vAlign w:val="center"/>
          </w:tcPr>
          <w:p w:rsidR="00FA4ECC" w:rsidRDefault="00900445">
            <w:pPr>
              <w:jc w:val="center"/>
            </w:pPr>
            <w:r>
              <w:rPr>
                <w:color w:val="000000"/>
                <w:sz w:val="24"/>
                <w:szCs w:val="24"/>
              </w:rPr>
              <w:t>刘凌云</w:t>
            </w:r>
          </w:p>
        </w:tc>
        <w:tc>
          <w:tcPr>
            <w:tcW w:w="845" w:type="dxa"/>
            <w:vAlign w:val="center"/>
          </w:tcPr>
          <w:p w:rsidR="00FA4ECC" w:rsidRDefault="00900445">
            <w:pPr>
              <w:jc w:val="center"/>
            </w:pPr>
            <w:r>
              <w:rPr>
                <w:color w:val="000000"/>
                <w:sz w:val="24"/>
                <w:szCs w:val="24"/>
              </w:rPr>
              <w:t>本基金基金经理、组合基金投资部总监</w:t>
            </w:r>
          </w:p>
        </w:tc>
        <w:tc>
          <w:tcPr>
            <w:tcW w:w="1549" w:type="dxa"/>
            <w:vAlign w:val="center"/>
          </w:tcPr>
          <w:p w:rsidR="00FA4ECC" w:rsidRDefault="00900445">
            <w:pPr>
              <w:jc w:val="center"/>
            </w:pPr>
            <w:r>
              <w:rPr>
                <w:color w:val="000000"/>
                <w:sz w:val="24"/>
                <w:szCs w:val="24"/>
              </w:rPr>
              <w:t>2018-08-15</w:t>
            </w:r>
          </w:p>
        </w:tc>
        <w:tc>
          <w:tcPr>
            <w:tcW w:w="1548" w:type="dxa"/>
            <w:vAlign w:val="center"/>
          </w:tcPr>
          <w:p w:rsidR="00FA4ECC" w:rsidRDefault="00900445">
            <w:pPr>
              <w:jc w:val="center"/>
            </w:pPr>
            <w:r>
              <w:rPr>
                <w:color w:val="000000"/>
                <w:sz w:val="24"/>
                <w:szCs w:val="24"/>
              </w:rPr>
              <w:t>-</w:t>
            </w:r>
          </w:p>
        </w:tc>
        <w:tc>
          <w:tcPr>
            <w:tcW w:w="1407" w:type="dxa"/>
            <w:vAlign w:val="center"/>
          </w:tcPr>
          <w:p w:rsidR="00FA4ECC" w:rsidRDefault="00900445">
            <w:pPr>
              <w:jc w:val="center"/>
            </w:pPr>
            <w:r>
              <w:rPr>
                <w:color w:val="000000"/>
                <w:sz w:val="24"/>
                <w:szCs w:val="24"/>
              </w:rPr>
              <w:t>12</w:t>
            </w:r>
            <w:r>
              <w:rPr>
                <w:color w:val="000000"/>
                <w:sz w:val="24"/>
                <w:szCs w:val="24"/>
              </w:rPr>
              <w:t>年</w:t>
            </w:r>
          </w:p>
        </w:tc>
        <w:tc>
          <w:tcPr>
            <w:tcW w:w="2673" w:type="dxa"/>
            <w:vAlign w:val="center"/>
          </w:tcPr>
          <w:p w:rsidR="00FA4ECC" w:rsidRDefault="00900445">
            <w:r>
              <w:rPr>
                <w:color w:val="000000"/>
                <w:sz w:val="24"/>
                <w:szCs w:val="24"/>
              </w:rPr>
              <w:t>刘凌云女士，自</w:t>
            </w:r>
            <w:r>
              <w:rPr>
                <w:color w:val="000000"/>
                <w:sz w:val="24"/>
                <w:szCs w:val="24"/>
              </w:rPr>
              <w:t>2008</w:t>
            </w:r>
            <w:r>
              <w:rPr>
                <w:color w:val="000000"/>
                <w:sz w:val="24"/>
                <w:szCs w:val="24"/>
              </w:rPr>
              <w:t>年</w:t>
            </w:r>
            <w:r>
              <w:rPr>
                <w:color w:val="000000"/>
                <w:sz w:val="24"/>
                <w:szCs w:val="24"/>
              </w:rPr>
              <w:t>6</w:t>
            </w:r>
            <w:r>
              <w:rPr>
                <w:color w:val="000000"/>
                <w:sz w:val="24"/>
                <w:szCs w:val="24"/>
              </w:rPr>
              <w:t>月至</w:t>
            </w:r>
            <w:r>
              <w:rPr>
                <w:color w:val="000000"/>
                <w:sz w:val="24"/>
                <w:szCs w:val="24"/>
              </w:rPr>
              <w:t>2009</w:t>
            </w:r>
            <w:r>
              <w:rPr>
                <w:color w:val="000000"/>
                <w:sz w:val="24"/>
                <w:szCs w:val="24"/>
              </w:rPr>
              <w:t>年</w:t>
            </w:r>
            <w:r>
              <w:rPr>
                <w:color w:val="000000"/>
                <w:sz w:val="24"/>
                <w:szCs w:val="24"/>
              </w:rPr>
              <w:t>7</w:t>
            </w:r>
            <w:r>
              <w:rPr>
                <w:color w:val="000000"/>
                <w:sz w:val="24"/>
                <w:szCs w:val="24"/>
              </w:rPr>
              <w:t>月，在中海基金管理有限公司担任产品研发经理，负责策略及产品设计；自</w:t>
            </w:r>
            <w:r>
              <w:rPr>
                <w:color w:val="000000"/>
                <w:sz w:val="24"/>
                <w:szCs w:val="24"/>
              </w:rPr>
              <w:t>2009</w:t>
            </w:r>
            <w:r>
              <w:rPr>
                <w:color w:val="000000"/>
                <w:sz w:val="24"/>
                <w:szCs w:val="24"/>
              </w:rPr>
              <w:t>年</w:t>
            </w:r>
            <w:r>
              <w:rPr>
                <w:color w:val="000000"/>
                <w:sz w:val="24"/>
                <w:szCs w:val="24"/>
              </w:rPr>
              <w:t>7</w:t>
            </w:r>
            <w:r>
              <w:rPr>
                <w:color w:val="000000"/>
                <w:sz w:val="24"/>
                <w:szCs w:val="24"/>
              </w:rPr>
              <w:t>月起加入上投摩根基金管理有限公司，历任产品经理、高级投资组合经理、客户投资组合总监、组合基金投资部总监兼基金经理；自</w:t>
            </w:r>
            <w:r>
              <w:rPr>
                <w:color w:val="000000"/>
                <w:sz w:val="24"/>
                <w:szCs w:val="24"/>
              </w:rPr>
              <w:t>2018</w:t>
            </w:r>
            <w:r>
              <w:rPr>
                <w:color w:val="000000"/>
                <w:sz w:val="24"/>
                <w:szCs w:val="24"/>
              </w:rPr>
              <w:t>年</w:t>
            </w:r>
            <w:r>
              <w:rPr>
                <w:color w:val="000000"/>
                <w:sz w:val="24"/>
                <w:szCs w:val="24"/>
              </w:rPr>
              <w:t>8</w:t>
            </w:r>
            <w:r>
              <w:rPr>
                <w:color w:val="000000"/>
                <w:sz w:val="24"/>
                <w:szCs w:val="24"/>
              </w:rPr>
              <w:t>月起担任上投摩根尚睿混合型基金中基金（</w:t>
            </w:r>
            <w:r>
              <w:rPr>
                <w:color w:val="000000"/>
                <w:sz w:val="24"/>
                <w:szCs w:val="24"/>
              </w:rPr>
              <w:t>FOF</w:t>
            </w:r>
            <w:r>
              <w:rPr>
                <w:color w:val="000000"/>
                <w:sz w:val="24"/>
                <w:szCs w:val="24"/>
              </w:rPr>
              <w:t>）基金经理。</w:t>
            </w:r>
          </w:p>
        </w:tc>
      </w:tr>
    </w:tbl>
    <w:p w:rsidR="00FA4ECC" w:rsidRDefault="00900445">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 xml:space="preserve">1. </w:t>
      </w:r>
      <w:r>
        <w:rPr>
          <w:color w:val="000000"/>
          <w:sz w:val="24"/>
          <w:szCs w:val="24"/>
        </w:rPr>
        <w:t>任职日期和离任日期均指根据公司决定确定的聘任日期和解聘日期。</w:t>
      </w:r>
    </w:p>
    <w:p w:rsidR="00FA4ECC" w:rsidRDefault="00900445">
      <w:pPr>
        <w:autoSpaceDE w:val="0"/>
        <w:autoSpaceDN w:val="0"/>
        <w:adjustRightInd w:val="0"/>
        <w:spacing w:before="29" w:line="288" w:lineRule="auto"/>
        <w:jc w:val="left"/>
        <w:rPr>
          <w:color w:val="000000"/>
          <w:sz w:val="24"/>
          <w:szCs w:val="24"/>
        </w:rPr>
      </w:pPr>
      <w:r>
        <w:rPr>
          <w:color w:val="000000"/>
          <w:sz w:val="24"/>
          <w:szCs w:val="24"/>
        </w:rPr>
        <w:t xml:space="preserve">2. </w:t>
      </w:r>
      <w:r>
        <w:rPr>
          <w:color w:val="000000"/>
          <w:sz w:val="24"/>
          <w:szCs w:val="24"/>
        </w:rPr>
        <w:t>孟鸣先生</w:t>
      </w:r>
      <w:r>
        <w:rPr>
          <w:color w:val="000000"/>
          <w:sz w:val="24"/>
          <w:szCs w:val="24"/>
        </w:rPr>
        <w:t>,</w:t>
      </w:r>
      <w:r>
        <w:rPr>
          <w:color w:val="000000"/>
          <w:sz w:val="24"/>
          <w:szCs w:val="24"/>
        </w:rPr>
        <w:t>刘凌云女士为本基金首任基金经理，其任职日期为本基金基金合同生效之日；</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3. </w:t>
      </w:r>
      <w:r w:rsidRPr="00414345">
        <w:rPr>
          <w:color w:val="000000"/>
          <w:sz w:val="24"/>
          <w:szCs w:val="24"/>
        </w:rPr>
        <w:t>证券从业的含义遵从行业协会《证券业从业人员资格管理办法》的相关规定。</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在本报告期内，基金管理人不存在损害基金份额持有人利益的行为，勤勉尽责地为基金份额持有人谋求利益。基金管理人遵守了《证券投资基金法》及其他有关法律法规、《上投摩根尚睿混合型基金中基金</w:t>
      </w:r>
      <w:r w:rsidRPr="00414345">
        <w:rPr>
          <w:color w:val="000000"/>
          <w:sz w:val="24"/>
          <w:szCs w:val="24"/>
        </w:rPr>
        <w:t>(FOF)</w:t>
      </w:r>
      <w:r w:rsidRPr="00414345">
        <w:rPr>
          <w:color w:val="000000"/>
          <w:sz w:val="24"/>
          <w:szCs w:val="24"/>
        </w:rPr>
        <w:t>基金合同》的规定。基金经理对个股和投资组合的比例遵循了投资决策委员会的授权限制，基金投资比例符合基金合同和法律法规的要求。</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FA4ECC" w:rsidRDefault="00900445">
      <w:pPr>
        <w:spacing w:before="29" w:line="288" w:lineRule="auto"/>
        <w:ind w:firstLineChars="200" w:firstLine="480"/>
        <w:rPr>
          <w:color w:val="000000"/>
          <w:sz w:val="24"/>
          <w:szCs w:val="24"/>
        </w:rPr>
      </w:pPr>
      <w:r>
        <w:rPr>
          <w:color w:val="000000"/>
          <w:sz w:val="24"/>
          <w:szCs w:val="24"/>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FA4ECC" w:rsidRDefault="00900445">
      <w:pPr>
        <w:spacing w:before="29" w:line="288" w:lineRule="auto"/>
        <w:ind w:firstLineChars="200" w:firstLine="480"/>
        <w:rPr>
          <w:color w:val="000000"/>
          <w:sz w:val="24"/>
          <w:szCs w:val="24"/>
        </w:rPr>
      </w:pPr>
      <w:r>
        <w:rPr>
          <w:color w:val="000000"/>
          <w:sz w:val="24"/>
          <w:szCs w:val="24"/>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报告期内，通过对不同投资组合之间的收益率差异比较、对同向交易和反向交易的交易时机和交易价差监控分析，未发现整体公平交易执行出现异常的情况。</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FA4ECC" w:rsidRDefault="00900445">
      <w:pPr>
        <w:spacing w:before="29" w:line="288" w:lineRule="auto"/>
        <w:ind w:firstLineChars="200" w:firstLine="480"/>
        <w:rPr>
          <w:color w:val="000000"/>
          <w:sz w:val="24"/>
          <w:szCs w:val="24"/>
        </w:rPr>
      </w:pPr>
      <w:r>
        <w:rPr>
          <w:color w:val="000000"/>
          <w:sz w:val="24"/>
          <w:szCs w:val="24"/>
        </w:rPr>
        <w:t>报告期内，通过对交易价格、交易时间、交易方向等的分析，未发现有可能导致不公平交易和利益输送的异常交易行为。</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所有投资组合参与的交易所公开竞价同日反向交易成交较少的单边交易量超过该证券当日成交量的</w:t>
      </w:r>
      <w:r w:rsidRPr="00414345">
        <w:rPr>
          <w:color w:val="000000"/>
          <w:sz w:val="24"/>
          <w:szCs w:val="24"/>
        </w:rPr>
        <w:t>5%</w:t>
      </w:r>
      <w:r w:rsidRPr="00414345">
        <w:rPr>
          <w:color w:val="000000"/>
          <w:sz w:val="24"/>
          <w:szCs w:val="24"/>
        </w:rPr>
        <w:t>的情形：无。</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FA4ECC" w:rsidRDefault="00900445">
      <w:pPr>
        <w:spacing w:before="29" w:line="288" w:lineRule="auto"/>
        <w:ind w:firstLineChars="200" w:firstLine="480"/>
        <w:rPr>
          <w:color w:val="000000"/>
          <w:sz w:val="24"/>
          <w:szCs w:val="24"/>
        </w:rPr>
      </w:pPr>
      <w:r>
        <w:rPr>
          <w:color w:val="000000"/>
          <w:sz w:val="24"/>
          <w:szCs w:val="24"/>
        </w:rPr>
        <w:t>回顾四季度，各类资产均出现上涨机会，特别是进入</w:t>
      </w:r>
      <w:r>
        <w:rPr>
          <w:color w:val="000000"/>
          <w:sz w:val="24"/>
          <w:szCs w:val="24"/>
        </w:rPr>
        <w:t>12</w:t>
      </w:r>
      <w:r>
        <w:rPr>
          <w:color w:val="000000"/>
          <w:sz w:val="24"/>
          <w:szCs w:val="24"/>
        </w:rPr>
        <w:t>月之后，在中美贸易协商取得阶段性成果之后，以权益为代表的风险资产表现更佳。国内方面，股市整体指数涨幅不大，市场依然维持结构性行情的特征，科技、消费和医药行业短暂调整后继续引领市场上涨。港股受到地缘因素影响出现阶段性下行，但随着当地局势的稳定，恒生指数在连续超跌和低估值的支撑下维持上涨方向。美股方面，</w:t>
      </w:r>
      <w:r>
        <w:rPr>
          <w:color w:val="000000"/>
          <w:sz w:val="24"/>
          <w:szCs w:val="24"/>
        </w:rPr>
        <w:t>PMI</w:t>
      </w:r>
      <w:r>
        <w:rPr>
          <w:color w:val="000000"/>
          <w:sz w:val="24"/>
          <w:szCs w:val="24"/>
        </w:rPr>
        <w:t>和就业等经济数据表现强劲，支撑标普</w:t>
      </w:r>
      <w:r>
        <w:rPr>
          <w:color w:val="000000"/>
          <w:sz w:val="24"/>
          <w:szCs w:val="24"/>
        </w:rPr>
        <w:t>500</w:t>
      </w:r>
      <w:r>
        <w:rPr>
          <w:color w:val="000000"/>
          <w:sz w:val="24"/>
          <w:szCs w:val="24"/>
        </w:rPr>
        <w:t>收盘价持续创造历史新高。</w:t>
      </w:r>
    </w:p>
    <w:p w:rsidR="00FA4ECC" w:rsidRDefault="00900445">
      <w:pPr>
        <w:spacing w:before="29" w:line="288" w:lineRule="auto"/>
        <w:ind w:firstLineChars="200" w:firstLine="480"/>
        <w:rPr>
          <w:color w:val="000000"/>
          <w:sz w:val="24"/>
          <w:szCs w:val="24"/>
        </w:rPr>
      </w:pPr>
      <w:r>
        <w:rPr>
          <w:color w:val="000000"/>
          <w:sz w:val="24"/>
          <w:szCs w:val="24"/>
        </w:rPr>
        <w:t>资产配置上，四季度基金总体超配权益资产、低配债券资产。</w:t>
      </w:r>
      <w:r>
        <w:rPr>
          <w:color w:val="000000"/>
          <w:sz w:val="24"/>
          <w:szCs w:val="24"/>
        </w:rPr>
        <w:t>A</w:t>
      </w:r>
      <w:r>
        <w:rPr>
          <w:color w:val="000000"/>
          <w:sz w:val="24"/>
          <w:szCs w:val="24"/>
        </w:rPr>
        <w:t>股方面，在保持对科技成长板块配置的基础上，适当增加了对金融板块的配置并在</w:t>
      </w:r>
      <w:r>
        <w:rPr>
          <w:color w:val="000000"/>
          <w:sz w:val="24"/>
          <w:szCs w:val="24"/>
        </w:rPr>
        <w:t>12</w:t>
      </w:r>
      <w:r>
        <w:rPr>
          <w:color w:val="000000"/>
          <w:sz w:val="24"/>
          <w:szCs w:val="24"/>
        </w:rPr>
        <w:t>月份收到较好的效果。港股方面，基金逢低配置了部分个股，为组合收益提供了正贡献。海外方面，基金重点配置发达市场</w:t>
      </w:r>
      <w:r>
        <w:rPr>
          <w:color w:val="000000"/>
          <w:sz w:val="24"/>
          <w:szCs w:val="24"/>
        </w:rPr>
        <w:t>REITs</w:t>
      </w:r>
      <w:r>
        <w:rPr>
          <w:color w:val="000000"/>
          <w:sz w:val="24"/>
          <w:szCs w:val="24"/>
        </w:rPr>
        <w:t>和新兴市场权益。总体而言，基金组合兼顾国内、海外与另类资产，在控制净值波动的基础上，在四季度为投资者进一步提升了收益。</w:t>
      </w:r>
    </w:p>
    <w:p w:rsidR="00FA4ECC" w:rsidRDefault="00900445">
      <w:pPr>
        <w:spacing w:before="29" w:line="288" w:lineRule="auto"/>
        <w:ind w:firstLineChars="200" w:firstLine="480"/>
        <w:rPr>
          <w:color w:val="000000"/>
          <w:sz w:val="24"/>
          <w:szCs w:val="24"/>
        </w:rPr>
      </w:pPr>
      <w:r>
        <w:rPr>
          <w:color w:val="000000"/>
          <w:sz w:val="24"/>
          <w:szCs w:val="24"/>
        </w:rPr>
        <w:t>展望</w:t>
      </w:r>
      <w:r>
        <w:rPr>
          <w:color w:val="000000"/>
          <w:sz w:val="24"/>
          <w:szCs w:val="24"/>
        </w:rPr>
        <w:t>2020</w:t>
      </w:r>
      <w:r>
        <w:rPr>
          <w:color w:val="000000"/>
          <w:sz w:val="24"/>
          <w:szCs w:val="24"/>
        </w:rPr>
        <w:t>年一季度，在今年稳增长的政策基调下，已经看到工业产值、</w:t>
      </w:r>
      <w:r>
        <w:rPr>
          <w:color w:val="000000"/>
          <w:sz w:val="24"/>
          <w:szCs w:val="24"/>
        </w:rPr>
        <w:t>PMI</w:t>
      </w:r>
      <w:r>
        <w:rPr>
          <w:color w:val="000000"/>
          <w:sz w:val="24"/>
          <w:szCs w:val="24"/>
        </w:rPr>
        <w:t>开始出现回暖的走势，预计一季度的经济数据将延续四季度继续好转。虽然</w:t>
      </w:r>
      <w:r>
        <w:rPr>
          <w:color w:val="000000"/>
          <w:sz w:val="24"/>
          <w:szCs w:val="24"/>
        </w:rPr>
        <w:t>CPI</w:t>
      </w:r>
      <w:r>
        <w:rPr>
          <w:color w:val="000000"/>
          <w:sz w:val="24"/>
          <w:szCs w:val="24"/>
        </w:rPr>
        <w:t>在</w:t>
      </w:r>
      <w:r>
        <w:rPr>
          <w:color w:val="000000"/>
          <w:sz w:val="24"/>
          <w:szCs w:val="24"/>
        </w:rPr>
        <w:t>2020</w:t>
      </w:r>
      <w:r>
        <w:rPr>
          <w:color w:val="000000"/>
          <w:sz w:val="24"/>
          <w:szCs w:val="24"/>
        </w:rPr>
        <w:t>年一季度预计可能出现阶段性走高，但随后结构性改善可能为央行实行货币宽松政策进一步打开空间。估值上，沪深</w:t>
      </w:r>
      <w:r>
        <w:rPr>
          <w:color w:val="000000"/>
          <w:sz w:val="24"/>
          <w:szCs w:val="24"/>
        </w:rPr>
        <w:t>300</w:t>
      </w:r>
      <w:r>
        <w:rPr>
          <w:color w:val="000000"/>
          <w:sz w:val="24"/>
          <w:szCs w:val="24"/>
        </w:rPr>
        <w:t>依然处于历史中等稍偏下位置，未见显著的高估或低估；国际环境上，美联储暂停降息证明了美国经济基本面依然强劲，美股下滑对</w:t>
      </w:r>
      <w:r>
        <w:rPr>
          <w:color w:val="000000"/>
          <w:sz w:val="24"/>
          <w:szCs w:val="24"/>
        </w:rPr>
        <w:t>A</w:t>
      </w:r>
      <w:r>
        <w:rPr>
          <w:color w:val="000000"/>
          <w:sz w:val="24"/>
          <w:szCs w:val="24"/>
        </w:rPr>
        <w:t>股的影响可能有限。综合考虑以上因素，我们对一季度的国内</w:t>
      </w:r>
      <w:r>
        <w:rPr>
          <w:color w:val="000000"/>
          <w:sz w:val="24"/>
          <w:szCs w:val="24"/>
        </w:rPr>
        <w:t>A</w:t>
      </w:r>
      <w:r>
        <w:rPr>
          <w:color w:val="000000"/>
          <w:sz w:val="24"/>
          <w:szCs w:val="24"/>
        </w:rPr>
        <w:t>股行情相对乐观。对于国内债券市场而言，短期内面临较大的通胀压力，通胀在一季度之后有望开始缓和，目前维持对债券资产略低于中性配置的比例。</w:t>
      </w:r>
    </w:p>
    <w:p w:rsidR="00FA4ECC" w:rsidRDefault="00900445">
      <w:pPr>
        <w:spacing w:before="29" w:line="288" w:lineRule="auto"/>
        <w:ind w:firstLineChars="200" w:firstLine="480"/>
        <w:rPr>
          <w:color w:val="000000"/>
          <w:sz w:val="24"/>
          <w:szCs w:val="24"/>
        </w:rPr>
      </w:pPr>
      <w:r>
        <w:rPr>
          <w:color w:val="000000"/>
          <w:sz w:val="24"/>
          <w:szCs w:val="24"/>
        </w:rPr>
        <w:t>海外资产方面，美股的持续上涨显示了投资者信心，多数经济指标也显示美国经济基本面依然稳健。针对美股的配置，将主要以</w:t>
      </w:r>
      <w:r>
        <w:rPr>
          <w:color w:val="000000"/>
          <w:sz w:val="24"/>
          <w:szCs w:val="24"/>
        </w:rPr>
        <w:t>Reits</w:t>
      </w:r>
      <w:r>
        <w:rPr>
          <w:color w:val="000000"/>
          <w:sz w:val="24"/>
          <w:szCs w:val="24"/>
        </w:rPr>
        <w:t>资产为主，总体维持经济后周期的观点。新兴市场方面，美元指数或趋向弱势，在全球资产无风险利率下降的情况下，追求收益率的资金有望持续流入新兴市场。考虑到香港局势渐趋稳定和以及当前估值水平较低，基金在一季度继续看好港股的配置价值。黄金在四季度持续回落后可能达到较为均衡的位置，组合目前对黄金保持中性观点，后续将持续跟踪通胀和美元的走势。</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总的来说，基金配置维持资产配置的多样化和区域</w:t>
      </w:r>
      <w:r w:rsidRPr="00414345">
        <w:rPr>
          <w:color w:val="000000"/>
          <w:sz w:val="24"/>
          <w:szCs w:val="24"/>
        </w:rPr>
        <w:t>/</w:t>
      </w:r>
      <w:r w:rsidRPr="00414345">
        <w:rPr>
          <w:color w:val="000000"/>
          <w:sz w:val="24"/>
          <w:szCs w:val="24"/>
        </w:rPr>
        <w:t>投资策略的多元化的同时，阶段性超配乐观资产，在控制下行风险的同时，努力抓住各类资产的上行表现机会，争取为投资者提供更高的风险调整后收益。</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本报告期上投摩根尚睿混合</w:t>
      </w:r>
      <w:r w:rsidRPr="00414345">
        <w:rPr>
          <w:color w:val="000000"/>
          <w:sz w:val="24"/>
          <w:szCs w:val="24"/>
        </w:rPr>
        <w:t>(FOF)</w:t>
      </w:r>
      <w:r w:rsidRPr="00414345">
        <w:rPr>
          <w:color w:val="000000"/>
          <w:sz w:val="24"/>
          <w:szCs w:val="24"/>
        </w:rPr>
        <w:t>份额净值增长率为</w:t>
      </w:r>
      <w:r w:rsidRPr="00414345">
        <w:rPr>
          <w:color w:val="000000"/>
          <w:sz w:val="24"/>
          <w:szCs w:val="24"/>
        </w:rPr>
        <w:t>:6.97%</w:t>
      </w:r>
      <w:r w:rsidRPr="00414345">
        <w:rPr>
          <w:color w:val="000000"/>
          <w:sz w:val="24"/>
          <w:szCs w:val="24"/>
        </w:rPr>
        <w:t>，同期业绩比较基准收益率为</w:t>
      </w:r>
      <w:r w:rsidRPr="00414345">
        <w:rPr>
          <w:color w:val="000000"/>
          <w:sz w:val="24"/>
          <w:szCs w:val="24"/>
        </w:rPr>
        <w:t>:4.81%</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FA4ECC" w:rsidRDefault="00900445">
      <w:pPr>
        <w:spacing w:before="29" w:line="288" w:lineRule="auto"/>
        <w:ind w:firstLineChars="200" w:firstLine="480"/>
        <w:rPr>
          <w:color w:val="000000"/>
          <w:sz w:val="24"/>
        </w:rPr>
      </w:pPr>
      <w:r>
        <w:rPr>
          <w:color w:val="000000"/>
          <w:sz w:val="24"/>
        </w:rPr>
        <w:t>报告期内，本基金存在连续六十个工作日基金资产净值低于五千万元的情况，出现该情况的时间范围为</w:t>
      </w:r>
      <w:r>
        <w:rPr>
          <w:color w:val="000000"/>
          <w:sz w:val="24"/>
        </w:rPr>
        <w:t>2019</w:t>
      </w:r>
      <w:r>
        <w:rPr>
          <w:color w:val="000000"/>
          <w:sz w:val="24"/>
        </w:rPr>
        <w:t>年</w:t>
      </w:r>
      <w:r>
        <w:rPr>
          <w:color w:val="000000"/>
          <w:sz w:val="24"/>
        </w:rPr>
        <w:t>02</w:t>
      </w:r>
      <w:r>
        <w:rPr>
          <w:color w:val="000000"/>
          <w:sz w:val="24"/>
        </w:rPr>
        <w:t>月</w:t>
      </w:r>
      <w:r>
        <w:rPr>
          <w:color w:val="000000"/>
          <w:sz w:val="24"/>
        </w:rPr>
        <w:t>21</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p w:rsidR="00421CD2" w:rsidRDefault="00421CD2" w:rsidP="00421CD2">
      <w:pPr>
        <w:spacing w:before="29" w:line="288" w:lineRule="auto"/>
        <w:ind w:firstLineChars="200" w:firstLine="480"/>
        <w:rPr>
          <w:color w:val="000000"/>
          <w:sz w:val="24"/>
        </w:rPr>
      </w:pPr>
      <w:r w:rsidRPr="002070B4">
        <w:rPr>
          <w:color w:val="000000"/>
          <w:sz w:val="24"/>
        </w:rPr>
        <w:t>基金管理人拟调整本基金运作方式，加大营销力度，提升基金规模，方案已报监管机关。</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27,150,329.17</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77.05</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2,001,500.00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5.68</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2,001,500.00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5.68</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2,000,000.00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5.68</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3,062,776.61</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8.69</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1,023,080.81</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2.90</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35,237,686.59</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2,001,500.00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5.91</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2,001,500.00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5.91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FA4ECC">
        <w:trPr>
          <w:jc w:val="center"/>
        </w:trPr>
        <w:tc>
          <w:tcPr>
            <w:tcW w:w="850" w:type="dxa"/>
            <w:vAlign w:val="center"/>
          </w:tcPr>
          <w:p w:rsidR="00FA4ECC" w:rsidRDefault="00900445">
            <w:pPr>
              <w:jc w:val="center"/>
            </w:pPr>
            <w:r>
              <w:rPr>
                <w:color w:val="000000"/>
                <w:sz w:val="24"/>
                <w:szCs w:val="24"/>
              </w:rPr>
              <w:t>1</w:t>
            </w:r>
          </w:p>
        </w:tc>
        <w:tc>
          <w:tcPr>
            <w:tcW w:w="1475" w:type="dxa"/>
            <w:vAlign w:val="center"/>
          </w:tcPr>
          <w:p w:rsidR="00FA4ECC" w:rsidRDefault="00900445">
            <w:pPr>
              <w:jc w:val="center"/>
            </w:pPr>
            <w:r>
              <w:rPr>
                <w:color w:val="000000"/>
                <w:sz w:val="24"/>
                <w:szCs w:val="24"/>
              </w:rPr>
              <w:t>019611</w:t>
            </w:r>
          </w:p>
        </w:tc>
        <w:tc>
          <w:tcPr>
            <w:tcW w:w="1769" w:type="dxa"/>
            <w:vAlign w:val="center"/>
          </w:tcPr>
          <w:p w:rsidR="00FA4ECC" w:rsidRDefault="00900445">
            <w:pPr>
              <w:jc w:val="center"/>
            </w:pPr>
            <w:r>
              <w:rPr>
                <w:color w:val="000000"/>
                <w:sz w:val="24"/>
                <w:szCs w:val="24"/>
              </w:rPr>
              <w:t>19</w:t>
            </w:r>
            <w:r>
              <w:rPr>
                <w:color w:val="000000"/>
                <w:sz w:val="24"/>
                <w:szCs w:val="24"/>
              </w:rPr>
              <w:t>国债</w:t>
            </w:r>
            <w:r>
              <w:rPr>
                <w:color w:val="000000"/>
                <w:sz w:val="24"/>
                <w:szCs w:val="24"/>
              </w:rPr>
              <w:t>01</w:t>
            </w:r>
          </w:p>
        </w:tc>
        <w:tc>
          <w:tcPr>
            <w:tcW w:w="1387" w:type="dxa"/>
            <w:vAlign w:val="center"/>
          </w:tcPr>
          <w:p w:rsidR="00FA4ECC" w:rsidRDefault="00900445">
            <w:pPr>
              <w:jc w:val="right"/>
            </w:pPr>
            <w:r>
              <w:rPr>
                <w:color w:val="000000"/>
                <w:sz w:val="24"/>
                <w:szCs w:val="24"/>
              </w:rPr>
              <w:t>15,000</w:t>
            </w:r>
          </w:p>
        </w:tc>
        <w:tc>
          <w:tcPr>
            <w:tcW w:w="2150" w:type="dxa"/>
            <w:vAlign w:val="center"/>
          </w:tcPr>
          <w:p w:rsidR="00FA4ECC" w:rsidRDefault="00900445">
            <w:pPr>
              <w:jc w:val="right"/>
            </w:pPr>
            <w:r>
              <w:rPr>
                <w:color w:val="000000"/>
                <w:sz w:val="24"/>
                <w:szCs w:val="24"/>
              </w:rPr>
              <w:t>1,500,900.00</w:t>
            </w:r>
          </w:p>
        </w:tc>
        <w:tc>
          <w:tcPr>
            <w:tcW w:w="1237" w:type="dxa"/>
            <w:vAlign w:val="center"/>
          </w:tcPr>
          <w:p w:rsidR="00FA4ECC" w:rsidRDefault="00900445">
            <w:pPr>
              <w:jc w:val="right"/>
            </w:pPr>
            <w:r>
              <w:rPr>
                <w:color w:val="000000"/>
                <w:sz w:val="24"/>
                <w:szCs w:val="24"/>
              </w:rPr>
              <w:t>4.43</w:t>
            </w:r>
          </w:p>
        </w:tc>
      </w:tr>
      <w:tr w:rsidR="00FA4ECC">
        <w:trPr>
          <w:jc w:val="center"/>
        </w:trPr>
        <w:tc>
          <w:tcPr>
            <w:tcW w:w="850" w:type="dxa"/>
            <w:vAlign w:val="center"/>
          </w:tcPr>
          <w:p w:rsidR="00FA4ECC" w:rsidRDefault="00900445">
            <w:pPr>
              <w:jc w:val="center"/>
            </w:pPr>
            <w:r>
              <w:rPr>
                <w:color w:val="000000"/>
                <w:sz w:val="24"/>
                <w:szCs w:val="24"/>
              </w:rPr>
              <w:t>2</w:t>
            </w:r>
          </w:p>
        </w:tc>
        <w:tc>
          <w:tcPr>
            <w:tcW w:w="1475" w:type="dxa"/>
            <w:vAlign w:val="center"/>
          </w:tcPr>
          <w:p w:rsidR="00FA4ECC" w:rsidRDefault="00900445">
            <w:pPr>
              <w:jc w:val="center"/>
            </w:pPr>
            <w:r>
              <w:rPr>
                <w:color w:val="000000"/>
                <w:sz w:val="24"/>
                <w:szCs w:val="24"/>
              </w:rPr>
              <w:t>019615</w:t>
            </w:r>
          </w:p>
        </w:tc>
        <w:tc>
          <w:tcPr>
            <w:tcW w:w="1769" w:type="dxa"/>
            <w:vAlign w:val="center"/>
          </w:tcPr>
          <w:p w:rsidR="00FA4ECC" w:rsidRDefault="00900445">
            <w:pPr>
              <w:jc w:val="center"/>
            </w:pPr>
            <w:r>
              <w:rPr>
                <w:color w:val="000000"/>
                <w:sz w:val="24"/>
                <w:szCs w:val="24"/>
              </w:rPr>
              <w:t>19</w:t>
            </w:r>
            <w:r>
              <w:rPr>
                <w:color w:val="000000"/>
                <w:sz w:val="24"/>
                <w:szCs w:val="24"/>
              </w:rPr>
              <w:t>国债</w:t>
            </w:r>
            <w:r>
              <w:rPr>
                <w:color w:val="000000"/>
                <w:sz w:val="24"/>
                <w:szCs w:val="24"/>
              </w:rPr>
              <w:t>05</w:t>
            </w:r>
          </w:p>
        </w:tc>
        <w:tc>
          <w:tcPr>
            <w:tcW w:w="1387" w:type="dxa"/>
            <w:vAlign w:val="center"/>
          </w:tcPr>
          <w:p w:rsidR="00FA4ECC" w:rsidRDefault="00900445">
            <w:pPr>
              <w:jc w:val="right"/>
            </w:pPr>
            <w:r>
              <w:rPr>
                <w:color w:val="000000"/>
                <w:sz w:val="24"/>
                <w:szCs w:val="24"/>
              </w:rPr>
              <w:t>5,000</w:t>
            </w:r>
          </w:p>
        </w:tc>
        <w:tc>
          <w:tcPr>
            <w:tcW w:w="2150" w:type="dxa"/>
            <w:vAlign w:val="center"/>
          </w:tcPr>
          <w:p w:rsidR="00FA4ECC" w:rsidRDefault="00900445">
            <w:pPr>
              <w:jc w:val="right"/>
            </w:pPr>
            <w:r>
              <w:rPr>
                <w:color w:val="000000"/>
                <w:sz w:val="24"/>
                <w:szCs w:val="24"/>
              </w:rPr>
              <w:t>500,600.00</w:t>
            </w:r>
          </w:p>
        </w:tc>
        <w:tc>
          <w:tcPr>
            <w:tcW w:w="1237" w:type="dxa"/>
            <w:vAlign w:val="center"/>
          </w:tcPr>
          <w:p w:rsidR="00FA4ECC" w:rsidRDefault="00900445">
            <w:pPr>
              <w:jc w:val="right"/>
            </w:pPr>
            <w:r>
              <w:rPr>
                <w:color w:val="000000"/>
                <w:sz w:val="24"/>
                <w:szCs w:val="24"/>
              </w:rPr>
              <w:t>1.48</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报告期内本基金投资的前十名证券的发行主体本期没有出现被监管部门立案调查，或在报告编制日前一年内受到公开谴责、处罚的情形。</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报告期内本基金投资的前十名股票中没有在基金合同规定备选股票库之外的股票。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11,021.86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37,785.02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41,782.79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932,491.14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A40774" w:rsidP="00C15CAC">
            <w:pPr>
              <w:autoSpaceDE w:val="0"/>
              <w:autoSpaceDN w:val="0"/>
              <w:adjustRightInd w:val="0"/>
              <w:spacing w:before="29" w:line="288" w:lineRule="auto"/>
              <w:ind w:left="15"/>
              <w:jc w:val="right"/>
              <w:rPr>
                <w:color w:val="000000"/>
                <w:sz w:val="24"/>
                <w:szCs w:val="24"/>
              </w:rPr>
            </w:pPr>
            <w:r w:rsidRPr="00A40774">
              <w:rPr>
                <w:color w:val="000000"/>
                <w:sz w:val="24"/>
                <w:szCs w:val="24"/>
              </w:rPr>
              <w:t>1</w:t>
            </w:r>
            <w:r>
              <w:rPr>
                <w:color w:val="000000"/>
                <w:sz w:val="24"/>
                <w:szCs w:val="24"/>
              </w:rPr>
              <w:t>,</w:t>
            </w:r>
            <w:r w:rsidRPr="00A40774">
              <w:rPr>
                <w:color w:val="000000"/>
                <w:sz w:val="24"/>
                <w:szCs w:val="24"/>
              </w:rPr>
              <w:t>023</w:t>
            </w:r>
            <w:r>
              <w:rPr>
                <w:color w:val="000000"/>
                <w:sz w:val="24"/>
                <w:szCs w:val="24"/>
              </w:rPr>
              <w:t>,</w:t>
            </w:r>
            <w:r w:rsidRPr="00A40774">
              <w:rPr>
                <w:color w:val="000000"/>
                <w:sz w:val="24"/>
                <w:szCs w:val="24"/>
              </w:rPr>
              <w:t>080.81</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因四舍五入原因</w:t>
      </w:r>
      <w:r w:rsidRPr="00414345">
        <w:rPr>
          <w:color w:val="000000"/>
          <w:sz w:val="24"/>
          <w:szCs w:val="24"/>
        </w:rPr>
        <w:t>,</w:t>
      </w:r>
      <w:r w:rsidRPr="00414345">
        <w:rPr>
          <w:color w:val="000000"/>
          <w:sz w:val="24"/>
          <w:szCs w:val="24"/>
        </w:rPr>
        <w:t>投资组合报告中分项之和与合计可能存在尾差。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1537B">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tbl>
      <w:tblPr>
        <w:tblStyle w:val="af7"/>
        <w:tblW w:w="5000" w:type="pct"/>
        <w:tblLayout w:type="fixed"/>
        <w:tblLook w:val="04A0" w:firstRow="1" w:lastRow="0" w:firstColumn="1" w:lastColumn="0" w:noHBand="0" w:noVBand="1"/>
      </w:tblPr>
      <w:tblGrid>
        <w:gridCol w:w="835"/>
        <w:gridCol w:w="1159"/>
        <w:gridCol w:w="1161"/>
        <w:gridCol w:w="1161"/>
        <w:gridCol w:w="1159"/>
        <w:gridCol w:w="1305"/>
        <w:gridCol w:w="1161"/>
        <w:gridCol w:w="1301"/>
      </w:tblGrid>
      <w:tr w:rsidR="001F3E2A" w:rsidRPr="00575270" w:rsidTr="00CD14C0">
        <w:tc>
          <w:tcPr>
            <w:tcW w:w="452" w:type="pct"/>
            <w:vAlign w:val="center"/>
          </w:tcPr>
          <w:p w:rsidR="001F3E2A" w:rsidRPr="00575270" w:rsidRDefault="001F3E2A" w:rsidP="00CD14C0">
            <w:pPr>
              <w:pStyle w:val="Default"/>
              <w:spacing w:line="276" w:lineRule="auto"/>
              <w:jc w:val="center"/>
              <w:rPr>
                <w:rFonts w:ascii="Times New Roman" w:hAnsi="Times New Roman" w:cs="Times New Roman"/>
              </w:rPr>
            </w:pPr>
            <w:r w:rsidRPr="00575270">
              <w:rPr>
                <w:rFonts w:ascii="Times New Roman" w:hAnsi="Times New Roman" w:cs="Times New Roman"/>
              </w:rPr>
              <w:t>序号</w:t>
            </w:r>
          </w:p>
        </w:tc>
        <w:tc>
          <w:tcPr>
            <w:tcW w:w="627" w:type="pct"/>
            <w:vAlign w:val="center"/>
          </w:tcPr>
          <w:p w:rsidR="001F3E2A" w:rsidRPr="00575270" w:rsidRDefault="001F3E2A" w:rsidP="00CD14C0">
            <w:pPr>
              <w:pStyle w:val="Default"/>
              <w:spacing w:line="276" w:lineRule="auto"/>
              <w:jc w:val="center"/>
              <w:rPr>
                <w:rFonts w:ascii="Times New Roman" w:hAnsi="Times New Roman" w:cs="Times New Roman"/>
              </w:rPr>
            </w:pPr>
            <w:r w:rsidRPr="00575270">
              <w:rPr>
                <w:rFonts w:ascii="Times New Roman" w:hAnsi="Times New Roman" w:cs="Times New Roman"/>
              </w:rPr>
              <w:t>基金代码</w:t>
            </w:r>
          </w:p>
        </w:tc>
        <w:tc>
          <w:tcPr>
            <w:tcW w:w="628" w:type="pct"/>
            <w:vAlign w:val="center"/>
          </w:tcPr>
          <w:p w:rsidR="001F3E2A" w:rsidRPr="00575270" w:rsidRDefault="001F3E2A" w:rsidP="00CD14C0">
            <w:pPr>
              <w:pStyle w:val="Default"/>
              <w:spacing w:line="276" w:lineRule="auto"/>
              <w:jc w:val="center"/>
              <w:rPr>
                <w:rFonts w:ascii="Times New Roman" w:hAnsi="Times New Roman" w:cs="Times New Roman"/>
              </w:rPr>
            </w:pPr>
            <w:r w:rsidRPr="00575270">
              <w:rPr>
                <w:rFonts w:ascii="Times New Roman" w:hAnsi="Times New Roman" w:cs="Times New Roman"/>
              </w:rPr>
              <w:t>基金名称</w:t>
            </w:r>
          </w:p>
        </w:tc>
        <w:tc>
          <w:tcPr>
            <w:tcW w:w="628" w:type="pct"/>
            <w:vAlign w:val="center"/>
          </w:tcPr>
          <w:p w:rsidR="001F3E2A" w:rsidRPr="00575270" w:rsidRDefault="001F3E2A" w:rsidP="00CD14C0">
            <w:pPr>
              <w:pStyle w:val="Default"/>
              <w:spacing w:line="276" w:lineRule="auto"/>
              <w:jc w:val="center"/>
              <w:rPr>
                <w:rFonts w:ascii="Times New Roman" w:hAnsi="Times New Roman" w:cs="Times New Roman"/>
              </w:rPr>
            </w:pPr>
            <w:r w:rsidRPr="00575270">
              <w:rPr>
                <w:rFonts w:ascii="Times New Roman" w:hAnsi="Times New Roman" w:cs="Times New Roman"/>
              </w:rPr>
              <w:t>运作方式</w:t>
            </w:r>
          </w:p>
        </w:tc>
        <w:tc>
          <w:tcPr>
            <w:tcW w:w="627" w:type="pct"/>
            <w:vAlign w:val="center"/>
          </w:tcPr>
          <w:p w:rsidR="001F3E2A" w:rsidRPr="00575270" w:rsidRDefault="001F3E2A" w:rsidP="00CD14C0">
            <w:pPr>
              <w:pStyle w:val="Default"/>
              <w:spacing w:line="276" w:lineRule="auto"/>
              <w:jc w:val="center"/>
              <w:rPr>
                <w:rFonts w:ascii="Times New Roman" w:hAnsi="Times New Roman" w:cs="Times New Roman"/>
              </w:rPr>
            </w:pPr>
            <w:r w:rsidRPr="00575270">
              <w:rPr>
                <w:rFonts w:ascii="Times New Roman" w:hAnsi="Times New Roman" w:cs="Times New Roman"/>
              </w:rPr>
              <w:t>持有份额（份）</w:t>
            </w:r>
          </w:p>
        </w:tc>
        <w:tc>
          <w:tcPr>
            <w:tcW w:w="706" w:type="pct"/>
            <w:vAlign w:val="center"/>
          </w:tcPr>
          <w:p w:rsidR="001F3E2A" w:rsidRPr="00575270" w:rsidRDefault="001F3E2A" w:rsidP="00CD14C0">
            <w:pPr>
              <w:pStyle w:val="Default"/>
              <w:spacing w:line="276" w:lineRule="auto"/>
              <w:jc w:val="center"/>
              <w:rPr>
                <w:rFonts w:ascii="Times New Roman" w:hAnsi="Times New Roman" w:cs="Times New Roman"/>
              </w:rPr>
            </w:pPr>
            <w:r w:rsidRPr="00575270">
              <w:rPr>
                <w:rFonts w:ascii="Times New Roman" w:hAnsi="Times New Roman" w:cs="Times New Roman"/>
              </w:rPr>
              <w:t>公允价值（元）</w:t>
            </w:r>
          </w:p>
        </w:tc>
        <w:tc>
          <w:tcPr>
            <w:tcW w:w="628" w:type="pct"/>
            <w:vAlign w:val="center"/>
          </w:tcPr>
          <w:p w:rsidR="001F3E2A" w:rsidRPr="00575270" w:rsidRDefault="001F3E2A" w:rsidP="00CD14C0">
            <w:pPr>
              <w:pStyle w:val="Default"/>
              <w:spacing w:line="276" w:lineRule="auto"/>
              <w:rPr>
                <w:rFonts w:ascii="Times New Roman" w:hAnsi="Times New Roman" w:cs="Times New Roman"/>
              </w:rPr>
            </w:pPr>
            <w:r w:rsidRPr="00575270">
              <w:rPr>
                <w:rFonts w:ascii="Times New Roman" w:hAnsi="Times New Roman" w:cs="Times New Roman"/>
              </w:rPr>
              <w:t>占基金资产净值比例</w:t>
            </w:r>
          </w:p>
        </w:tc>
        <w:tc>
          <w:tcPr>
            <w:tcW w:w="704" w:type="pct"/>
            <w:vAlign w:val="center"/>
          </w:tcPr>
          <w:p w:rsidR="001F3E2A" w:rsidRPr="00575270" w:rsidRDefault="001F3E2A" w:rsidP="00CD14C0">
            <w:pPr>
              <w:pStyle w:val="Default"/>
              <w:spacing w:line="276" w:lineRule="auto"/>
              <w:rPr>
                <w:rFonts w:ascii="Times New Roman" w:hAnsi="Times New Roman" w:cs="Times New Roman"/>
              </w:rPr>
            </w:pPr>
            <w:r w:rsidRPr="00575270">
              <w:rPr>
                <w:rFonts w:ascii="Times New Roman" w:hAnsi="Times New Roman" w:cs="Times New Roman"/>
              </w:rPr>
              <w:t>是否属于基金管理人及管理人关联方所管理的基金</w:t>
            </w:r>
          </w:p>
        </w:tc>
      </w:tr>
      <w:tr w:rsidR="00FA4ECC">
        <w:tc>
          <w:tcPr>
            <w:tcW w:w="835" w:type="dxa"/>
            <w:vAlign w:val="center"/>
          </w:tcPr>
          <w:p w:rsidR="00FA4ECC" w:rsidRDefault="00900445">
            <w:pPr>
              <w:jc w:val="center"/>
            </w:pPr>
            <w:r>
              <w:rPr>
                <w:sz w:val="24"/>
                <w:szCs w:val="24"/>
              </w:rPr>
              <w:t>1</w:t>
            </w:r>
          </w:p>
        </w:tc>
        <w:tc>
          <w:tcPr>
            <w:tcW w:w="1159" w:type="dxa"/>
            <w:vAlign w:val="center"/>
          </w:tcPr>
          <w:p w:rsidR="00FA4ECC" w:rsidRDefault="00900445">
            <w:pPr>
              <w:jc w:val="center"/>
            </w:pPr>
            <w:r>
              <w:rPr>
                <w:sz w:val="24"/>
                <w:szCs w:val="24"/>
              </w:rPr>
              <w:t>377240</w:t>
            </w:r>
          </w:p>
        </w:tc>
        <w:tc>
          <w:tcPr>
            <w:tcW w:w="1161" w:type="dxa"/>
            <w:vAlign w:val="center"/>
          </w:tcPr>
          <w:p w:rsidR="00FA4ECC" w:rsidRDefault="00900445">
            <w:pPr>
              <w:jc w:val="center"/>
            </w:pPr>
            <w:r>
              <w:rPr>
                <w:sz w:val="24"/>
                <w:szCs w:val="24"/>
              </w:rPr>
              <w:t>上投摩根新兴动力混合型证券投资基金</w:t>
            </w:r>
            <w:r>
              <w:rPr>
                <w:sz w:val="24"/>
                <w:szCs w:val="24"/>
              </w:rPr>
              <w:t>A</w:t>
            </w:r>
          </w:p>
        </w:tc>
        <w:tc>
          <w:tcPr>
            <w:tcW w:w="1161" w:type="dxa"/>
            <w:vAlign w:val="center"/>
          </w:tcPr>
          <w:p w:rsidR="00FA4ECC" w:rsidRDefault="00900445">
            <w:pPr>
              <w:jc w:val="center"/>
            </w:pPr>
            <w:r>
              <w:rPr>
                <w:sz w:val="24"/>
                <w:szCs w:val="24"/>
              </w:rPr>
              <w:t>契约型开放式</w:t>
            </w:r>
          </w:p>
        </w:tc>
        <w:tc>
          <w:tcPr>
            <w:tcW w:w="1159" w:type="dxa"/>
            <w:vAlign w:val="center"/>
          </w:tcPr>
          <w:p w:rsidR="00FA4ECC" w:rsidRDefault="00900445">
            <w:pPr>
              <w:jc w:val="center"/>
            </w:pPr>
            <w:r>
              <w:rPr>
                <w:sz w:val="24"/>
                <w:szCs w:val="24"/>
              </w:rPr>
              <w:t>1,220,015.44</w:t>
            </w:r>
          </w:p>
        </w:tc>
        <w:tc>
          <w:tcPr>
            <w:tcW w:w="1305" w:type="dxa"/>
            <w:vAlign w:val="center"/>
          </w:tcPr>
          <w:p w:rsidR="00FA4ECC" w:rsidRDefault="00900445">
            <w:pPr>
              <w:jc w:val="center"/>
            </w:pPr>
            <w:r>
              <w:rPr>
                <w:sz w:val="24"/>
                <w:szCs w:val="24"/>
              </w:rPr>
              <w:t>3,940,649.87</w:t>
            </w:r>
          </w:p>
        </w:tc>
        <w:tc>
          <w:tcPr>
            <w:tcW w:w="1161" w:type="dxa"/>
            <w:vAlign w:val="center"/>
          </w:tcPr>
          <w:p w:rsidR="00FA4ECC" w:rsidRDefault="00900445">
            <w:pPr>
              <w:jc w:val="center"/>
            </w:pPr>
            <w:r>
              <w:rPr>
                <w:sz w:val="24"/>
                <w:szCs w:val="24"/>
              </w:rPr>
              <w:t>11.63%</w:t>
            </w:r>
          </w:p>
        </w:tc>
        <w:tc>
          <w:tcPr>
            <w:tcW w:w="1301" w:type="dxa"/>
            <w:vAlign w:val="center"/>
          </w:tcPr>
          <w:p w:rsidR="00FA4ECC" w:rsidRDefault="00900445">
            <w:pPr>
              <w:jc w:val="center"/>
            </w:pPr>
            <w:r>
              <w:rPr>
                <w:sz w:val="24"/>
                <w:szCs w:val="24"/>
              </w:rPr>
              <w:t>是</w:t>
            </w:r>
          </w:p>
        </w:tc>
      </w:tr>
      <w:tr w:rsidR="00FA4ECC">
        <w:tc>
          <w:tcPr>
            <w:tcW w:w="835" w:type="dxa"/>
            <w:vAlign w:val="center"/>
          </w:tcPr>
          <w:p w:rsidR="00FA4ECC" w:rsidRDefault="00900445">
            <w:pPr>
              <w:jc w:val="center"/>
            </w:pPr>
            <w:r>
              <w:rPr>
                <w:sz w:val="24"/>
                <w:szCs w:val="24"/>
              </w:rPr>
              <w:t>2</w:t>
            </w:r>
          </w:p>
        </w:tc>
        <w:tc>
          <w:tcPr>
            <w:tcW w:w="1159" w:type="dxa"/>
            <w:vAlign w:val="center"/>
          </w:tcPr>
          <w:p w:rsidR="00FA4ECC" w:rsidRDefault="00900445">
            <w:pPr>
              <w:jc w:val="center"/>
            </w:pPr>
            <w:r>
              <w:rPr>
                <w:sz w:val="24"/>
                <w:szCs w:val="24"/>
              </w:rPr>
              <w:t>377010</w:t>
            </w:r>
          </w:p>
        </w:tc>
        <w:tc>
          <w:tcPr>
            <w:tcW w:w="1161" w:type="dxa"/>
            <w:vAlign w:val="center"/>
          </w:tcPr>
          <w:p w:rsidR="00FA4ECC" w:rsidRDefault="00900445">
            <w:pPr>
              <w:jc w:val="center"/>
            </w:pPr>
            <w:r>
              <w:rPr>
                <w:sz w:val="24"/>
                <w:szCs w:val="24"/>
              </w:rPr>
              <w:t>上投摩根阿尔法混合型证券投资基金</w:t>
            </w:r>
          </w:p>
        </w:tc>
        <w:tc>
          <w:tcPr>
            <w:tcW w:w="1161" w:type="dxa"/>
            <w:vAlign w:val="center"/>
          </w:tcPr>
          <w:p w:rsidR="00FA4ECC" w:rsidRDefault="00900445">
            <w:pPr>
              <w:jc w:val="center"/>
            </w:pPr>
            <w:r>
              <w:rPr>
                <w:sz w:val="24"/>
                <w:szCs w:val="24"/>
              </w:rPr>
              <w:t>契约型开放式</w:t>
            </w:r>
          </w:p>
        </w:tc>
        <w:tc>
          <w:tcPr>
            <w:tcW w:w="1159" w:type="dxa"/>
            <w:vAlign w:val="center"/>
          </w:tcPr>
          <w:p w:rsidR="00FA4ECC" w:rsidRDefault="00900445">
            <w:pPr>
              <w:jc w:val="center"/>
            </w:pPr>
            <w:r>
              <w:rPr>
                <w:sz w:val="24"/>
                <w:szCs w:val="24"/>
              </w:rPr>
              <w:t>836,926.78</w:t>
            </w:r>
          </w:p>
        </w:tc>
        <w:tc>
          <w:tcPr>
            <w:tcW w:w="1305" w:type="dxa"/>
            <w:vAlign w:val="center"/>
          </w:tcPr>
          <w:p w:rsidR="00FA4ECC" w:rsidRDefault="00900445">
            <w:pPr>
              <w:jc w:val="center"/>
            </w:pPr>
            <w:r>
              <w:rPr>
                <w:sz w:val="24"/>
                <w:szCs w:val="24"/>
              </w:rPr>
              <w:t>2,867,897.00</w:t>
            </w:r>
          </w:p>
        </w:tc>
        <w:tc>
          <w:tcPr>
            <w:tcW w:w="1161" w:type="dxa"/>
            <w:vAlign w:val="center"/>
          </w:tcPr>
          <w:p w:rsidR="00FA4ECC" w:rsidRDefault="00900445">
            <w:pPr>
              <w:jc w:val="center"/>
            </w:pPr>
            <w:r>
              <w:rPr>
                <w:sz w:val="24"/>
                <w:szCs w:val="24"/>
              </w:rPr>
              <w:t>8.46%</w:t>
            </w:r>
          </w:p>
        </w:tc>
        <w:tc>
          <w:tcPr>
            <w:tcW w:w="1301" w:type="dxa"/>
            <w:vAlign w:val="center"/>
          </w:tcPr>
          <w:p w:rsidR="00FA4ECC" w:rsidRDefault="00900445">
            <w:pPr>
              <w:jc w:val="center"/>
            </w:pPr>
            <w:r>
              <w:rPr>
                <w:sz w:val="24"/>
                <w:szCs w:val="24"/>
              </w:rPr>
              <w:t>是</w:t>
            </w:r>
          </w:p>
        </w:tc>
      </w:tr>
      <w:tr w:rsidR="00FA4ECC">
        <w:tc>
          <w:tcPr>
            <w:tcW w:w="835" w:type="dxa"/>
            <w:vAlign w:val="center"/>
          </w:tcPr>
          <w:p w:rsidR="00FA4ECC" w:rsidRDefault="00900445">
            <w:pPr>
              <w:jc w:val="center"/>
            </w:pPr>
            <w:r>
              <w:rPr>
                <w:sz w:val="24"/>
                <w:szCs w:val="24"/>
              </w:rPr>
              <w:t>3</w:t>
            </w:r>
          </w:p>
        </w:tc>
        <w:tc>
          <w:tcPr>
            <w:tcW w:w="1159" w:type="dxa"/>
            <w:vAlign w:val="center"/>
          </w:tcPr>
          <w:p w:rsidR="00FA4ECC" w:rsidRDefault="00900445">
            <w:pPr>
              <w:jc w:val="center"/>
            </w:pPr>
            <w:r>
              <w:rPr>
                <w:sz w:val="24"/>
                <w:szCs w:val="24"/>
              </w:rPr>
              <w:t>512800</w:t>
            </w:r>
          </w:p>
        </w:tc>
        <w:tc>
          <w:tcPr>
            <w:tcW w:w="1161" w:type="dxa"/>
            <w:vAlign w:val="center"/>
          </w:tcPr>
          <w:p w:rsidR="00FA4ECC" w:rsidRDefault="00900445">
            <w:pPr>
              <w:jc w:val="center"/>
            </w:pPr>
            <w:r>
              <w:rPr>
                <w:sz w:val="24"/>
                <w:szCs w:val="24"/>
              </w:rPr>
              <w:t>华宝中证银行交易型开放式指数证券投资基金</w:t>
            </w:r>
          </w:p>
        </w:tc>
        <w:tc>
          <w:tcPr>
            <w:tcW w:w="1161" w:type="dxa"/>
            <w:vAlign w:val="center"/>
          </w:tcPr>
          <w:p w:rsidR="00FA4ECC" w:rsidRDefault="00900445">
            <w:pPr>
              <w:jc w:val="center"/>
            </w:pPr>
            <w:r>
              <w:rPr>
                <w:sz w:val="24"/>
                <w:szCs w:val="24"/>
              </w:rPr>
              <w:t>契约型开放式</w:t>
            </w:r>
          </w:p>
        </w:tc>
        <w:tc>
          <w:tcPr>
            <w:tcW w:w="1159" w:type="dxa"/>
            <w:vAlign w:val="center"/>
          </w:tcPr>
          <w:p w:rsidR="00FA4ECC" w:rsidRDefault="00900445">
            <w:pPr>
              <w:jc w:val="center"/>
            </w:pPr>
            <w:r>
              <w:rPr>
                <w:sz w:val="24"/>
                <w:szCs w:val="24"/>
              </w:rPr>
              <w:t>2,266,100.00</w:t>
            </w:r>
          </w:p>
        </w:tc>
        <w:tc>
          <w:tcPr>
            <w:tcW w:w="1305" w:type="dxa"/>
            <w:vAlign w:val="center"/>
          </w:tcPr>
          <w:p w:rsidR="00FA4ECC" w:rsidRDefault="00900445">
            <w:pPr>
              <w:jc w:val="center"/>
            </w:pPr>
            <w:r>
              <w:rPr>
                <w:sz w:val="24"/>
                <w:szCs w:val="24"/>
              </w:rPr>
              <w:t>2,565,225.20</w:t>
            </w:r>
          </w:p>
        </w:tc>
        <w:tc>
          <w:tcPr>
            <w:tcW w:w="1161" w:type="dxa"/>
            <w:vAlign w:val="center"/>
          </w:tcPr>
          <w:p w:rsidR="00FA4ECC" w:rsidRDefault="00900445">
            <w:pPr>
              <w:jc w:val="center"/>
            </w:pPr>
            <w:r>
              <w:rPr>
                <w:sz w:val="24"/>
                <w:szCs w:val="24"/>
              </w:rPr>
              <w:t>7.57%</w:t>
            </w:r>
          </w:p>
        </w:tc>
        <w:tc>
          <w:tcPr>
            <w:tcW w:w="1301" w:type="dxa"/>
            <w:vAlign w:val="center"/>
          </w:tcPr>
          <w:p w:rsidR="00FA4ECC" w:rsidRDefault="00900445">
            <w:pPr>
              <w:jc w:val="center"/>
            </w:pPr>
            <w:r>
              <w:rPr>
                <w:sz w:val="24"/>
                <w:szCs w:val="24"/>
              </w:rPr>
              <w:t>否</w:t>
            </w:r>
          </w:p>
        </w:tc>
      </w:tr>
      <w:tr w:rsidR="00FA4ECC">
        <w:tc>
          <w:tcPr>
            <w:tcW w:w="835" w:type="dxa"/>
            <w:vAlign w:val="center"/>
          </w:tcPr>
          <w:p w:rsidR="00FA4ECC" w:rsidRDefault="00900445">
            <w:pPr>
              <w:jc w:val="center"/>
            </w:pPr>
            <w:r>
              <w:rPr>
                <w:sz w:val="24"/>
                <w:szCs w:val="24"/>
              </w:rPr>
              <w:t>4</w:t>
            </w:r>
          </w:p>
        </w:tc>
        <w:tc>
          <w:tcPr>
            <w:tcW w:w="1159" w:type="dxa"/>
            <w:vAlign w:val="center"/>
          </w:tcPr>
          <w:p w:rsidR="00FA4ECC" w:rsidRDefault="00900445">
            <w:pPr>
              <w:jc w:val="center"/>
            </w:pPr>
            <w:r>
              <w:rPr>
                <w:sz w:val="24"/>
                <w:szCs w:val="24"/>
              </w:rPr>
              <w:t>005613</w:t>
            </w:r>
          </w:p>
        </w:tc>
        <w:tc>
          <w:tcPr>
            <w:tcW w:w="1161" w:type="dxa"/>
            <w:vAlign w:val="center"/>
          </w:tcPr>
          <w:p w:rsidR="00FA4ECC" w:rsidRDefault="00900445">
            <w:pPr>
              <w:jc w:val="center"/>
            </w:pPr>
            <w:r>
              <w:rPr>
                <w:sz w:val="24"/>
                <w:szCs w:val="24"/>
              </w:rPr>
              <w:t>上投摩根富时发达市场</w:t>
            </w:r>
            <w:r>
              <w:rPr>
                <w:sz w:val="24"/>
                <w:szCs w:val="24"/>
              </w:rPr>
              <w:t>REITs</w:t>
            </w:r>
            <w:r>
              <w:rPr>
                <w:sz w:val="24"/>
                <w:szCs w:val="24"/>
              </w:rPr>
              <w:t>指数型证券投资基金（</w:t>
            </w:r>
            <w:r>
              <w:rPr>
                <w:sz w:val="24"/>
                <w:szCs w:val="24"/>
              </w:rPr>
              <w:t>QDII</w:t>
            </w:r>
            <w:r>
              <w:rPr>
                <w:sz w:val="24"/>
                <w:szCs w:val="24"/>
              </w:rPr>
              <w:t>）</w:t>
            </w:r>
          </w:p>
        </w:tc>
        <w:tc>
          <w:tcPr>
            <w:tcW w:w="1161" w:type="dxa"/>
            <w:vAlign w:val="center"/>
          </w:tcPr>
          <w:p w:rsidR="00FA4ECC" w:rsidRDefault="00900445">
            <w:pPr>
              <w:jc w:val="center"/>
            </w:pPr>
            <w:r>
              <w:rPr>
                <w:sz w:val="24"/>
                <w:szCs w:val="24"/>
              </w:rPr>
              <w:t>契约型开放式</w:t>
            </w:r>
          </w:p>
        </w:tc>
        <w:tc>
          <w:tcPr>
            <w:tcW w:w="1159" w:type="dxa"/>
            <w:vAlign w:val="center"/>
          </w:tcPr>
          <w:p w:rsidR="00FA4ECC" w:rsidRDefault="00900445">
            <w:pPr>
              <w:jc w:val="center"/>
            </w:pPr>
            <w:r>
              <w:rPr>
                <w:sz w:val="24"/>
                <w:szCs w:val="24"/>
              </w:rPr>
              <w:t>1,689,612.49</w:t>
            </w:r>
          </w:p>
        </w:tc>
        <w:tc>
          <w:tcPr>
            <w:tcW w:w="1305" w:type="dxa"/>
            <w:vAlign w:val="center"/>
          </w:tcPr>
          <w:p w:rsidR="00FA4ECC" w:rsidRDefault="00900445">
            <w:pPr>
              <w:jc w:val="center"/>
            </w:pPr>
            <w:r>
              <w:rPr>
                <w:sz w:val="24"/>
                <w:szCs w:val="24"/>
              </w:rPr>
              <w:t>2,178,248.42</w:t>
            </w:r>
          </w:p>
        </w:tc>
        <w:tc>
          <w:tcPr>
            <w:tcW w:w="1161" w:type="dxa"/>
            <w:vAlign w:val="center"/>
          </w:tcPr>
          <w:p w:rsidR="00FA4ECC" w:rsidRDefault="00900445">
            <w:pPr>
              <w:jc w:val="center"/>
            </w:pPr>
            <w:r>
              <w:rPr>
                <w:sz w:val="24"/>
                <w:szCs w:val="24"/>
              </w:rPr>
              <w:t>6.43%</w:t>
            </w:r>
          </w:p>
        </w:tc>
        <w:tc>
          <w:tcPr>
            <w:tcW w:w="1301" w:type="dxa"/>
            <w:vAlign w:val="center"/>
          </w:tcPr>
          <w:p w:rsidR="00FA4ECC" w:rsidRDefault="00900445">
            <w:pPr>
              <w:jc w:val="center"/>
            </w:pPr>
            <w:r>
              <w:rPr>
                <w:sz w:val="24"/>
                <w:szCs w:val="24"/>
              </w:rPr>
              <w:t>是</w:t>
            </w:r>
          </w:p>
        </w:tc>
      </w:tr>
      <w:tr w:rsidR="00FA4ECC">
        <w:tc>
          <w:tcPr>
            <w:tcW w:w="835" w:type="dxa"/>
            <w:vAlign w:val="center"/>
          </w:tcPr>
          <w:p w:rsidR="00FA4ECC" w:rsidRDefault="00900445">
            <w:pPr>
              <w:jc w:val="center"/>
            </w:pPr>
            <w:r>
              <w:rPr>
                <w:sz w:val="24"/>
                <w:szCs w:val="24"/>
              </w:rPr>
              <w:t>5</w:t>
            </w:r>
          </w:p>
        </w:tc>
        <w:tc>
          <w:tcPr>
            <w:tcW w:w="1159" w:type="dxa"/>
            <w:vAlign w:val="center"/>
          </w:tcPr>
          <w:p w:rsidR="00FA4ECC" w:rsidRDefault="00900445">
            <w:pPr>
              <w:jc w:val="center"/>
            </w:pPr>
            <w:r>
              <w:rPr>
                <w:sz w:val="24"/>
                <w:szCs w:val="24"/>
              </w:rPr>
              <w:t>004738</w:t>
            </w:r>
          </w:p>
        </w:tc>
        <w:tc>
          <w:tcPr>
            <w:tcW w:w="1161" w:type="dxa"/>
            <w:vAlign w:val="center"/>
          </w:tcPr>
          <w:p w:rsidR="00FA4ECC" w:rsidRDefault="00900445">
            <w:pPr>
              <w:jc w:val="center"/>
            </w:pPr>
            <w:r>
              <w:rPr>
                <w:sz w:val="24"/>
                <w:szCs w:val="24"/>
              </w:rPr>
              <w:t>上投摩根安隆回报混合型证券投资基金</w:t>
            </w:r>
            <w:r>
              <w:rPr>
                <w:sz w:val="24"/>
                <w:szCs w:val="24"/>
              </w:rPr>
              <w:t>A</w:t>
            </w:r>
          </w:p>
        </w:tc>
        <w:tc>
          <w:tcPr>
            <w:tcW w:w="1161" w:type="dxa"/>
            <w:vAlign w:val="center"/>
          </w:tcPr>
          <w:p w:rsidR="00FA4ECC" w:rsidRDefault="00900445">
            <w:pPr>
              <w:jc w:val="center"/>
            </w:pPr>
            <w:r>
              <w:rPr>
                <w:sz w:val="24"/>
                <w:szCs w:val="24"/>
              </w:rPr>
              <w:t>契约型开放式</w:t>
            </w:r>
          </w:p>
        </w:tc>
        <w:tc>
          <w:tcPr>
            <w:tcW w:w="1159" w:type="dxa"/>
            <w:vAlign w:val="center"/>
          </w:tcPr>
          <w:p w:rsidR="00FA4ECC" w:rsidRDefault="00900445">
            <w:pPr>
              <w:jc w:val="center"/>
            </w:pPr>
            <w:r>
              <w:rPr>
                <w:sz w:val="24"/>
                <w:szCs w:val="24"/>
              </w:rPr>
              <w:t>1,777,372.85</w:t>
            </w:r>
          </w:p>
        </w:tc>
        <w:tc>
          <w:tcPr>
            <w:tcW w:w="1305" w:type="dxa"/>
            <w:vAlign w:val="center"/>
          </w:tcPr>
          <w:p w:rsidR="00FA4ECC" w:rsidRDefault="00900445">
            <w:pPr>
              <w:jc w:val="center"/>
            </w:pPr>
            <w:r>
              <w:rPr>
                <w:sz w:val="24"/>
                <w:szCs w:val="24"/>
              </w:rPr>
              <w:t>1,987,458.32</w:t>
            </w:r>
          </w:p>
        </w:tc>
        <w:tc>
          <w:tcPr>
            <w:tcW w:w="1161" w:type="dxa"/>
            <w:vAlign w:val="center"/>
          </w:tcPr>
          <w:p w:rsidR="00FA4ECC" w:rsidRDefault="00900445">
            <w:pPr>
              <w:jc w:val="center"/>
            </w:pPr>
            <w:r>
              <w:rPr>
                <w:sz w:val="24"/>
                <w:szCs w:val="24"/>
              </w:rPr>
              <w:t>5.86%</w:t>
            </w:r>
          </w:p>
        </w:tc>
        <w:tc>
          <w:tcPr>
            <w:tcW w:w="1301" w:type="dxa"/>
            <w:vAlign w:val="center"/>
          </w:tcPr>
          <w:p w:rsidR="00FA4ECC" w:rsidRDefault="00900445">
            <w:pPr>
              <w:jc w:val="center"/>
            </w:pPr>
            <w:r>
              <w:rPr>
                <w:sz w:val="24"/>
                <w:szCs w:val="24"/>
              </w:rPr>
              <w:t>是</w:t>
            </w:r>
          </w:p>
        </w:tc>
      </w:tr>
      <w:tr w:rsidR="00FA4ECC">
        <w:tc>
          <w:tcPr>
            <w:tcW w:w="835" w:type="dxa"/>
            <w:vAlign w:val="center"/>
          </w:tcPr>
          <w:p w:rsidR="00FA4ECC" w:rsidRDefault="00900445">
            <w:pPr>
              <w:jc w:val="center"/>
            </w:pPr>
            <w:r>
              <w:rPr>
                <w:sz w:val="24"/>
                <w:szCs w:val="24"/>
              </w:rPr>
              <w:t>6</w:t>
            </w:r>
          </w:p>
        </w:tc>
        <w:tc>
          <w:tcPr>
            <w:tcW w:w="1159" w:type="dxa"/>
            <w:vAlign w:val="center"/>
          </w:tcPr>
          <w:p w:rsidR="00FA4ECC" w:rsidRDefault="00900445">
            <w:pPr>
              <w:jc w:val="center"/>
            </w:pPr>
            <w:r>
              <w:rPr>
                <w:sz w:val="24"/>
                <w:szCs w:val="24"/>
              </w:rPr>
              <w:t>377016</w:t>
            </w:r>
          </w:p>
        </w:tc>
        <w:tc>
          <w:tcPr>
            <w:tcW w:w="1161" w:type="dxa"/>
            <w:vAlign w:val="center"/>
          </w:tcPr>
          <w:p w:rsidR="00FA4ECC" w:rsidRDefault="00900445">
            <w:pPr>
              <w:jc w:val="center"/>
            </w:pPr>
            <w:r>
              <w:rPr>
                <w:sz w:val="24"/>
                <w:szCs w:val="24"/>
              </w:rPr>
              <w:t>上投摩根亚太优势混合型证券投资基金</w:t>
            </w:r>
          </w:p>
        </w:tc>
        <w:tc>
          <w:tcPr>
            <w:tcW w:w="1161" w:type="dxa"/>
            <w:vAlign w:val="center"/>
          </w:tcPr>
          <w:p w:rsidR="00FA4ECC" w:rsidRDefault="00900445">
            <w:pPr>
              <w:jc w:val="center"/>
            </w:pPr>
            <w:r>
              <w:rPr>
                <w:sz w:val="24"/>
                <w:szCs w:val="24"/>
              </w:rPr>
              <w:t>契约型开放式</w:t>
            </w:r>
          </w:p>
        </w:tc>
        <w:tc>
          <w:tcPr>
            <w:tcW w:w="1159" w:type="dxa"/>
            <w:vAlign w:val="center"/>
          </w:tcPr>
          <w:p w:rsidR="00FA4ECC" w:rsidRDefault="00900445">
            <w:pPr>
              <w:jc w:val="center"/>
            </w:pPr>
            <w:r>
              <w:rPr>
                <w:sz w:val="24"/>
                <w:szCs w:val="24"/>
              </w:rPr>
              <w:t>1,857,564.47</w:t>
            </w:r>
          </w:p>
        </w:tc>
        <w:tc>
          <w:tcPr>
            <w:tcW w:w="1305" w:type="dxa"/>
            <w:vAlign w:val="center"/>
          </w:tcPr>
          <w:p w:rsidR="00FA4ECC" w:rsidRDefault="00900445">
            <w:pPr>
              <w:jc w:val="center"/>
            </w:pPr>
            <w:r>
              <w:rPr>
                <w:sz w:val="24"/>
                <w:szCs w:val="24"/>
              </w:rPr>
              <w:t>1,593,790.32</w:t>
            </w:r>
          </w:p>
        </w:tc>
        <w:tc>
          <w:tcPr>
            <w:tcW w:w="1161" w:type="dxa"/>
            <w:vAlign w:val="center"/>
          </w:tcPr>
          <w:p w:rsidR="00FA4ECC" w:rsidRDefault="00900445">
            <w:pPr>
              <w:jc w:val="center"/>
            </w:pPr>
            <w:r>
              <w:rPr>
                <w:sz w:val="24"/>
                <w:szCs w:val="24"/>
              </w:rPr>
              <w:t>4.70%</w:t>
            </w:r>
          </w:p>
        </w:tc>
        <w:tc>
          <w:tcPr>
            <w:tcW w:w="1301" w:type="dxa"/>
            <w:vAlign w:val="center"/>
          </w:tcPr>
          <w:p w:rsidR="00FA4ECC" w:rsidRDefault="00900445">
            <w:pPr>
              <w:jc w:val="center"/>
            </w:pPr>
            <w:r>
              <w:rPr>
                <w:sz w:val="24"/>
                <w:szCs w:val="24"/>
              </w:rPr>
              <w:t>是</w:t>
            </w:r>
          </w:p>
        </w:tc>
      </w:tr>
      <w:tr w:rsidR="00FA4ECC">
        <w:tc>
          <w:tcPr>
            <w:tcW w:w="835" w:type="dxa"/>
            <w:vAlign w:val="center"/>
          </w:tcPr>
          <w:p w:rsidR="00FA4ECC" w:rsidRDefault="00900445">
            <w:pPr>
              <w:jc w:val="center"/>
            </w:pPr>
            <w:r>
              <w:rPr>
                <w:sz w:val="24"/>
                <w:szCs w:val="24"/>
              </w:rPr>
              <w:t>7</w:t>
            </w:r>
          </w:p>
        </w:tc>
        <w:tc>
          <w:tcPr>
            <w:tcW w:w="1159" w:type="dxa"/>
            <w:vAlign w:val="center"/>
          </w:tcPr>
          <w:p w:rsidR="00FA4ECC" w:rsidRDefault="00900445">
            <w:pPr>
              <w:jc w:val="center"/>
            </w:pPr>
            <w:r>
              <w:rPr>
                <w:sz w:val="24"/>
                <w:szCs w:val="24"/>
              </w:rPr>
              <w:t>512000</w:t>
            </w:r>
          </w:p>
        </w:tc>
        <w:tc>
          <w:tcPr>
            <w:tcW w:w="1161" w:type="dxa"/>
            <w:vAlign w:val="center"/>
          </w:tcPr>
          <w:p w:rsidR="00FA4ECC" w:rsidRDefault="00900445">
            <w:pPr>
              <w:jc w:val="center"/>
            </w:pPr>
            <w:r>
              <w:rPr>
                <w:sz w:val="24"/>
                <w:szCs w:val="24"/>
              </w:rPr>
              <w:t>华宝中证全指证券公司交易型开放式指数证券投资基金</w:t>
            </w:r>
          </w:p>
        </w:tc>
        <w:tc>
          <w:tcPr>
            <w:tcW w:w="1161" w:type="dxa"/>
            <w:vAlign w:val="center"/>
          </w:tcPr>
          <w:p w:rsidR="00FA4ECC" w:rsidRDefault="00900445">
            <w:pPr>
              <w:jc w:val="center"/>
            </w:pPr>
            <w:r>
              <w:rPr>
                <w:sz w:val="24"/>
                <w:szCs w:val="24"/>
              </w:rPr>
              <w:t>契约型开放式</w:t>
            </w:r>
          </w:p>
        </w:tc>
        <w:tc>
          <w:tcPr>
            <w:tcW w:w="1159" w:type="dxa"/>
            <w:vAlign w:val="center"/>
          </w:tcPr>
          <w:p w:rsidR="00FA4ECC" w:rsidRDefault="00900445">
            <w:pPr>
              <w:jc w:val="center"/>
            </w:pPr>
            <w:r>
              <w:rPr>
                <w:sz w:val="24"/>
                <w:szCs w:val="24"/>
              </w:rPr>
              <w:t>1,600,000.00</w:t>
            </w:r>
          </w:p>
        </w:tc>
        <w:tc>
          <w:tcPr>
            <w:tcW w:w="1305" w:type="dxa"/>
            <w:vAlign w:val="center"/>
          </w:tcPr>
          <w:p w:rsidR="00FA4ECC" w:rsidRDefault="00900445">
            <w:pPr>
              <w:jc w:val="center"/>
            </w:pPr>
            <w:r>
              <w:rPr>
                <w:sz w:val="24"/>
                <w:szCs w:val="24"/>
              </w:rPr>
              <w:t>1,585,600.00</w:t>
            </w:r>
          </w:p>
        </w:tc>
        <w:tc>
          <w:tcPr>
            <w:tcW w:w="1161" w:type="dxa"/>
            <w:vAlign w:val="center"/>
          </w:tcPr>
          <w:p w:rsidR="00FA4ECC" w:rsidRDefault="00900445">
            <w:pPr>
              <w:jc w:val="center"/>
            </w:pPr>
            <w:r>
              <w:rPr>
                <w:sz w:val="24"/>
                <w:szCs w:val="24"/>
              </w:rPr>
              <w:t>4.68%</w:t>
            </w:r>
          </w:p>
        </w:tc>
        <w:tc>
          <w:tcPr>
            <w:tcW w:w="1301" w:type="dxa"/>
            <w:vAlign w:val="center"/>
          </w:tcPr>
          <w:p w:rsidR="00FA4ECC" w:rsidRDefault="00900445">
            <w:pPr>
              <w:jc w:val="center"/>
            </w:pPr>
            <w:r>
              <w:rPr>
                <w:sz w:val="24"/>
                <w:szCs w:val="24"/>
              </w:rPr>
              <w:t>否</w:t>
            </w:r>
          </w:p>
        </w:tc>
      </w:tr>
      <w:tr w:rsidR="00FA4ECC">
        <w:tc>
          <w:tcPr>
            <w:tcW w:w="835" w:type="dxa"/>
            <w:vAlign w:val="center"/>
          </w:tcPr>
          <w:p w:rsidR="00FA4ECC" w:rsidRDefault="00900445">
            <w:pPr>
              <w:jc w:val="center"/>
            </w:pPr>
            <w:r>
              <w:rPr>
                <w:sz w:val="24"/>
                <w:szCs w:val="24"/>
              </w:rPr>
              <w:t>8</w:t>
            </w:r>
          </w:p>
        </w:tc>
        <w:tc>
          <w:tcPr>
            <w:tcW w:w="1159" w:type="dxa"/>
            <w:vAlign w:val="center"/>
          </w:tcPr>
          <w:p w:rsidR="00FA4ECC" w:rsidRDefault="00900445">
            <w:pPr>
              <w:jc w:val="center"/>
            </w:pPr>
            <w:r>
              <w:rPr>
                <w:sz w:val="24"/>
                <w:szCs w:val="24"/>
              </w:rPr>
              <w:t>511880</w:t>
            </w:r>
          </w:p>
        </w:tc>
        <w:tc>
          <w:tcPr>
            <w:tcW w:w="1161" w:type="dxa"/>
            <w:vAlign w:val="center"/>
          </w:tcPr>
          <w:p w:rsidR="00FA4ECC" w:rsidRDefault="00900445">
            <w:pPr>
              <w:jc w:val="center"/>
            </w:pPr>
            <w:r>
              <w:rPr>
                <w:sz w:val="24"/>
                <w:szCs w:val="24"/>
              </w:rPr>
              <w:t>银华交易型货币市场基金</w:t>
            </w:r>
            <w:r>
              <w:rPr>
                <w:sz w:val="24"/>
                <w:szCs w:val="24"/>
              </w:rPr>
              <w:t>A</w:t>
            </w:r>
          </w:p>
        </w:tc>
        <w:tc>
          <w:tcPr>
            <w:tcW w:w="1161" w:type="dxa"/>
            <w:vAlign w:val="center"/>
          </w:tcPr>
          <w:p w:rsidR="00FA4ECC" w:rsidRDefault="00900445">
            <w:pPr>
              <w:jc w:val="center"/>
            </w:pPr>
            <w:r>
              <w:rPr>
                <w:sz w:val="24"/>
                <w:szCs w:val="24"/>
              </w:rPr>
              <w:t>契约型开放式</w:t>
            </w:r>
          </w:p>
        </w:tc>
        <w:tc>
          <w:tcPr>
            <w:tcW w:w="1159" w:type="dxa"/>
            <w:vAlign w:val="center"/>
          </w:tcPr>
          <w:p w:rsidR="00FA4ECC" w:rsidRDefault="00900445">
            <w:pPr>
              <w:jc w:val="center"/>
            </w:pPr>
            <w:r>
              <w:rPr>
                <w:sz w:val="24"/>
                <w:szCs w:val="24"/>
              </w:rPr>
              <w:t>15,000.00</w:t>
            </w:r>
          </w:p>
        </w:tc>
        <w:tc>
          <w:tcPr>
            <w:tcW w:w="1305" w:type="dxa"/>
            <w:vAlign w:val="center"/>
          </w:tcPr>
          <w:p w:rsidR="00FA4ECC" w:rsidRDefault="00900445">
            <w:pPr>
              <w:jc w:val="center"/>
            </w:pPr>
            <w:r>
              <w:rPr>
                <w:sz w:val="24"/>
                <w:szCs w:val="24"/>
              </w:rPr>
              <w:t>1,501,860.00</w:t>
            </w:r>
          </w:p>
        </w:tc>
        <w:tc>
          <w:tcPr>
            <w:tcW w:w="1161" w:type="dxa"/>
            <w:vAlign w:val="center"/>
          </w:tcPr>
          <w:p w:rsidR="00FA4ECC" w:rsidRDefault="00900445">
            <w:pPr>
              <w:jc w:val="center"/>
            </w:pPr>
            <w:r>
              <w:rPr>
                <w:sz w:val="24"/>
                <w:szCs w:val="24"/>
              </w:rPr>
              <w:t>4.43%</w:t>
            </w:r>
          </w:p>
        </w:tc>
        <w:tc>
          <w:tcPr>
            <w:tcW w:w="1301" w:type="dxa"/>
            <w:vAlign w:val="center"/>
          </w:tcPr>
          <w:p w:rsidR="00FA4ECC" w:rsidRDefault="00900445">
            <w:pPr>
              <w:jc w:val="center"/>
            </w:pPr>
            <w:r>
              <w:rPr>
                <w:sz w:val="24"/>
                <w:szCs w:val="24"/>
              </w:rPr>
              <w:t>否</w:t>
            </w:r>
          </w:p>
        </w:tc>
      </w:tr>
      <w:tr w:rsidR="00FA4ECC">
        <w:tc>
          <w:tcPr>
            <w:tcW w:w="835" w:type="dxa"/>
            <w:vAlign w:val="center"/>
          </w:tcPr>
          <w:p w:rsidR="00FA4ECC" w:rsidRDefault="00900445">
            <w:pPr>
              <w:jc w:val="center"/>
            </w:pPr>
            <w:r>
              <w:rPr>
                <w:sz w:val="24"/>
                <w:szCs w:val="24"/>
              </w:rPr>
              <w:t>9</w:t>
            </w:r>
          </w:p>
        </w:tc>
        <w:tc>
          <w:tcPr>
            <w:tcW w:w="1159" w:type="dxa"/>
            <w:vAlign w:val="center"/>
          </w:tcPr>
          <w:p w:rsidR="00FA4ECC" w:rsidRDefault="00900445">
            <w:pPr>
              <w:jc w:val="center"/>
            </w:pPr>
            <w:r>
              <w:rPr>
                <w:sz w:val="24"/>
                <w:szCs w:val="24"/>
              </w:rPr>
              <w:t>510880</w:t>
            </w:r>
          </w:p>
        </w:tc>
        <w:tc>
          <w:tcPr>
            <w:tcW w:w="1161" w:type="dxa"/>
            <w:vAlign w:val="center"/>
          </w:tcPr>
          <w:p w:rsidR="00FA4ECC" w:rsidRDefault="00900445">
            <w:pPr>
              <w:jc w:val="center"/>
            </w:pPr>
            <w:r>
              <w:rPr>
                <w:sz w:val="24"/>
                <w:szCs w:val="24"/>
              </w:rPr>
              <w:t>上证红利交易型开放式指数证券投资基金</w:t>
            </w:r>
          </w:p>
        </w:tc>
        <w:tc>
          <w:tcPr>
            <w:tcW w:w="1161" w:type="dxa"/>
            <w:vAlign w:val="center"/>
          </w:tcPr>
          <w:p w:rsidR="00FA4ECC" w:rsidRDefault="00900445">
            <w:pPr>
              <w:jc w:val="center"/>
            </w:pPr>
            <w:r>
              <w:rPr>
                <w:sz w:val="24"/>
                <w:szCs w:val="24"/>
              </w:rPr>
              <w:t>契约型开放式</w:t>
            </w:r>
          </w:p>
        </w:tc>
        <w:tc>
          <w:tcPr>
            <w:tcW w:w="1159" w:type="dxa"/>
            <w:vAlign w:val="center"/>
          </w:tcPr>
          <w:p w:rsidR="00FA4ECC" w:rsidRDefault="00900445">
            <w:pPr>
              <w:jc w:val="center"/>
            </w:pPr>
            <w:r>
              <w:rPr>
                <w:sz w:val="24"/>
                <w:szCs w:val="24"/>
              </w:rPr>
              <w:t>500,000.00</w:t>
            </w:r>
          </w:p>
        </w:tc>
        <w:tc>
          <w:tcPr>
            <w:tcW w:w="1305" w:type="dxa"/>
            <w:vAlign w:val="center"/>
          </w:tcPr>
          <w:p w:rsidR="00FA4ECC" w:rsidRDefault="00900445">
            <w:pPr>
              <w:jc w:val="center"/>
            </w:pPr>
            <w:r>
              <w:rPr>
                <w:sz w:val="24"/>
                <w:szCs w:val="24"/>
              </w:rPr>
              <w:t>1,448,500.00</w:t>
            </w:r>
          </w:p>
        </w:tc>
        <w:tc>
          <w:tcPr>
            <w:tcW w:w="1161" w:type="dxa"/>
            <w:vAlign w:val="center"/>
          </w:tcPr>
          <w:p w:rsidR="00FA4ECC" w:rsidRDefault="00900445">
            <w:pPr>
              <w:jc w:val="center"/>
            </w:pPr>
            <w:r>
              <w:rPr>
                <w:sz w:val="24"/>
                <w:szCs w:val="24"/>
              </w:rPr>
              <w:t>4.27%</w:t>
            </w:r>
          </w:p>
        </w:tc>
        <w:tc>
          <w:tcPr>
            <w:tcW w:w="1301" w:type="dxa"/>
            <w:vAlign w:val="center"/>
          </w:tcPr>
          <w:p w:rsidR="00FA4ECC" w:rsidRDefault="00900445">
            <w:pPr>
              <w:jc w:val="center"/>
            </w:pPr>
            <w:r>
              <w:rPr>
                <w:sz w:val="24"/>
                <w:szCs w:val="24"/>
              </w:rPr>
              <w:t>否</w:t>
            </w:r>
          </w:p>
        </w:tc>
      </w:tr>
      <w:tr w:rsidR="00FA4ECC">
        <w:tc>
          <w:tcPr>
            <w:tcW w:w="835" w:type="dxa"/>
            <w:vAlign w:val="center"/>
          </w:tcPr>
          <w:p w:rsidR="00FA4ECC" w:rsidRDefault="00900445">
            <w:pPr>
              <w:jc w:val="center"/>
            </w:pPr>
            <w:r>
              <w:rPr>
                <w:sz w:val="24"/>
                <w:szCs w:val="24"/>
              </w:rPr>
              <w:t>10</w:t>
            </w:r>
          </w:p>
        </w:tc>
        <w:tc>
          <w:tcPr>
            <w:tcW w:w="1159" w:type="dxa"/>
            <w:vAlign w:val="center"/>
          </w:tcPr>
          <w:p w:rsidR="00FA4ECC" w:rsidRDefault="00900445">
            <w:pPr>
              <w:jc w:val="center"/>
            </w:pPr>
            <w:r>
              <w:rPr>
                <w:sz w:val="24"/>
                <w:szCs w:val="24"/>
              </w:rPr>
              <w:t>512400</w:t>
            </w:r>
          </w:p>
        </w:tc>
        <w:tc>
          <w:tcPr>
            <w:tcW w:w="1161" w:type="dxa"/>
            <w:vAlign w:val="center"/>
          </w:tcPr>
          <w:p w:rsidR="00FA4ECC" w:rsidRDefault="00900445">
            <w:pPr>
              <w:jc w:val="center"/>
            </w:pPr>
            <w:r>
              <w:rPr>
                <w:sz w:val="24"/>
                <w:szCs w:val="24"/>
              </w:rPr>
              <w:t>南方中证申万有色金属交易型开放式指数证券投资基金</w:t>
            </w:r>
          </w:p>
        </w:tc>
        <w:tc>
          <w:tcPr>
            <w:tcW w:w="1161" w:type="dxa"/>
            <w:vAlign w:val="center"/>
          </w:tcPr>
          <w:p w:rsidR="00FA4ECC" w:rsidRDefault="00900445">
            <w:pPr>
              <w:jc w:val="center"/>
            </w:pPr>
            <w:r>
              <w:rPr>
                <w:sz w:val="24"/>
                <w:szCs w:val="24"/>
              </w:rPr>
              <w:t>契约型开放式</w:t>
            </w:r>
          </w:p>
        </w:tc>
        <w:tc>
          <w:tcPr>
            <w:tcW w:w="1159" w:type="dxa"/>
            <w:vAlign w:val="center"/>
          </w:tcPr>
          <w:p w:rsidR="00FA4ECC" w:rsidRDefault="00900445">
            <w:pPr>
              <w:jc w:val="center"/>
            </w:pPr>
            <w:r>
              <w:rPr>
                <w:sz w:val="24"/>
                <w:szCs w:val="24"/>
              </w:rPr>
              <w:t>1,758,500.00</w:t>
            </w:r>
          </w:p>
        </w:tc>
        <w:tc>
          <w:tcPr>
            <w:tcW w:w="1305" w:type="dxa"/>
            <w:vAlign w:val="center"/>
          </w:tcPr>
          <w:p w:rsidR="00FA4ECC" w:rsidRDefault="00900445">
            <w:pPr>
              <w:jc w:val="center"/>
            </w:pPr>
            <w:r>
              <w:rPr>
                <w:sz w:val="24"/>
                <w:szCs w:val="24"/>
              </w:rPr>
              <w:t>1,276,671.00</w:t>
            </w:r>
          </w:p>
        </w:tc>
        <w:tc>
          <w:tcPr>
            <w:tcW w:w="1161" w:type="dxa"/>
            <w:vAlign w:val="center"/>
          </w:tcPr>
          <w:p w:rsidR="00FA4ECC" w:rsidRDefault="00900445">
            <w:pPr>
              <w:jc w:val="center"/>
            </w:pPr>
            <w:r>
              <w:rPr>
                <w:sz w:val="24"/>
                <w:szCs w:val="24"/>
              </w:rPr>
              <w:t>3.77%</w:t>
            </w:r>
          </w:p>
        </w:tc>
        <w:tc>
          <w:tcPr>
            <w:tcW w:w="1301" w:type="dxa"/>
            <w:vAlign w:val="center"/>
          </w:tcPr>
          <w:p w:rsidR="00FA4ECC" w:rsidRDefault="00900445">
            <w:pPr>
              <w:jc w:val="center"/>
            </w:pPr>
            <w:r>
              <w:rPr>
                <w:sz w:val="24"/>
                <w:szCs w:val="24"/>
              </w:rPr>
              <w:t>否</w:t>
            </w:r>
          </w:p>
        </w:tc>
      </w:tr>
    </w:tbl>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tbl>
      <w:tblPr>
        <w:tblStyle w:val="af7"/>
        <w:tblW w:w="0" w:type="auto"/>
        <w:tblLayout w:type="fixed"/>
        <w:tblLook w:val="04A0" w:firstRow="1" w:lastRow="0" w:firstColumn="1" w:lastColumn="0" w:noHBand="0" w:noVBand="1"/>
      </w:tblPr>
      <w:tblGrid>
        <w:gridCol w:w="3012"/>
        <w:gridCol w:w="3012"/>
        <w:gridCol w:w="3012"/>
      </w:tblGrid>
      <w:tr w:rsidR="001F3E2A" w:rsidRPr="00575270" w:rsidTr="00CD14C0">
        <w:tc>
          <w:tcPr>
            <w:tcW w:w="3012" w:type="dxa"/>
            <w:vAlign w:val="center"/>
          </w:tcPr>
          <w:p w:rsidR="001F3E2A" w:rsidRPr="00575270" w:rsidRDefault="001F3E2A" w:rsidP="0011537B">
            <w:pPr>
              <w:adjustRightInd w:val="0"/>
              <w:snapToGrid w:val="0"/>
              <w:spacing w:beforeLines="50" w:before="156" w:line="276" w:lineRule="auto"/>
              <w:jc w:val="center"/>
              <w:rPr>
                <w:rFonts w:eastAsiaTheme="minorEastAsia"/>
                <w:color w:val="000000" w:themeColor="text1"/>
                <w:sz w:val="24"/>
                <w:szCs w:val="24"/>
              </w:rPr>
            </w:pPr>
            <w:r w:rsidRPr="00575270">
              <w:rPr>
                <w:sz w:val="24"/>
                <w:szCs w:val="24"/>
              </w:rPr>
              <w:t>项目</w:t>
            </w:r>
          </w:p>
        </w:tc>
        <w:tc>
          <w:tcPr>
            <w:tcW w:w="3012" w:type="dxa"/>
            <w:vAlign w:val="center"/>
          </w:tcPr>
          <w:p w:rsidR="001F3E2A" w:rsidRPr="00575270" w:rsidRDefault="001F3E2A" w:rsidP="00CD14C0">
            <w:pPr>
              <w:spacing w:line="276" w:lineRule="auto"/>
              <w:jc w:val="center"/>
              <w:rPr>
                <w:sz w:val="24"/>
                <w:szCs w:val="24"/>
              </w:rPr>
            </w:pPr>
            <w:r w:rsidRPr="00575270">
              <w:rPr>
                <w:sz w:val="24"/>
                <w:szCs w:val="24"/>
              </w:rPr>
              <w:t>本期费用</w:t>
            </w:r>
          </w:p>
        </w:tc>
        <w:tc>
          <w:tcPr>
            <w:tcW w:w="3012" w:type="dxa"/>
            <w:vAlign w:val="center"/>
          </w:tcPr>
          <w:p w:rsidR="001F3E2A" w:rsidRPr="00575270" w:rsidRDefault="001F3E2A" w:rsidP="00CD14C0">
            <w:pPr>
              <w:spacing w:line="276" w:lineRule="auto"/>
              <w:jc w:val="center"/>
              <w:rPr>
                <w:sz w:val="24"/>
                <w:szCs w:val="24"/>
              </w:rPr>
            </w:pPr>
            <w:r w:rsidRPr="00575270">
              <w:rPr>
                <w:sz w:val="24"/>
                <w:szCs w:val="24"/>
              </w:rPr>
              <w:t>其中：交易及持有基金管理人以及管理人关联方所管理基金产生的费用</w:t>
            </w:r>
          </w:p>
        </w:tc>
      </w:tr>
      <w:tr w:rsidR="001F3E2A" w:rsidRPr="00575270" w:rsidTr="00CD14C0">
        <w:tc>
          <w:tcPr>
            <w:tcW w:w="3012" w:type="dxa"/>
            <w:vAlign w:val="center"/>
          </w:tcPr>
          <w:p w:rsidR="001F3E2A" w:rsidRPr="00575270" w:rsidRDefault="001F3E2A" w:rsidP="0011537B">
            <w:pPr>
              <w:adjustRightInd w:val="0"/>
              <w:snapToGrid w:val="0"/>
              <w:spacing w:beforeLines="50" w:before="156" w:line="276" w:lineRule="auto"/>
              <w:rPr>
                <w:rFonts w:eastAsiaTheme="minorEastAsia"/>
                <w:color w:val="000000" w:themeColor="text1"/>
                <w:sz w:val="24"/>
                <w:szCs w:val="24"/>
              </w:rPr>
            </w:pPr>
            <w:r w:rsidRPr="00575270">
              <w:rPr>
                <w:sz w:val="24"/>
                <w:szCs w:val="24"/>
              </w:rPr>
              <w:t>当期交易基金产生的申购费</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w:t>
            </w:r>
          </w:p>
        </w:tc>
      </w:tr>
      <w:tr w:rsidR="001F3E2A" w:rsidRPr="00575270" w:rsidTr="00CD14C0">
        <w:tc>
          <w:tcPr>
            <w:tcW w:w="3012" w:type="dxa"/>
            <w:vAlign w:val="center"/>
          </w:tcPr>
          <w:p w:rsidR="001F3E2A" w:rsidRPr="00575270" w:rsidRDefault="001F3E2A" w:rsidP="0011537B">
            <w:pPr>
              <w:adjustRightInd w:val="0"/>
              <w:snapToGrid w:val="0"/>
              <w:spacing w:beforeLines="50" w:before="156" w:line="276" w:lineRule="auto"/>
              <w:rPr>
                <w:rFonts w:eastAsiaTheme="minorEastAsia"/>
                <w:color w:val="000000" w:themeColor="text1"/>
                <w:sz w:val="24"/>
                <w:szCs w:val="24"/>
              </w:rPr>
            </w:pPr>
            <w:r w:rsidRPr="00575270">
              <w:rPr>
                <w:sz w:val="24"/>
                <w:szCs w:val="24"/>
              </w:rPr>
              <w:t>当期交易基金产生的赎回费（元）</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10,719.08</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10,719.08</w:t>
            </w:r>
          </w:p>
        </w:tc>
      </w:tr>
      <w:tr w:rsidR="001F3E2A" w:rsidRPr="00575270" w:rsidTr="00CD14C0">
        <w:tc>
          <w:tcPr>
            <w:tcW w:w="3012" w:type="dxa"/>
            <w:vAlign w:val="center"/>
          </w:tcPr>
          <w:p w:rsidR="001F3E2A" w:rsidRPr="00575270" w:rsidRDefault="001F3E2A" w:rsidP="0011537B">
            <w:pPr>
              <w:adjustRightInd w:val="0"/>
              <w:snapToGrid w:val="0"/>
              <w:spacing w:beforeLines="50" w:before="156" w:line="276" w:lineRule="auto"/>
              <w:rPr>
                <w:rFonts w:eastAsiaTheme="minorEastAsia"/>
                <w:color w:val="000000" w:themeColor="text1"/>
                <w:sz w:val="24"/>
                <w:szCs w:val="24"/>
              </w:rPr>
            </w:pPr>
            <w:r w:rsidRPr="00575270">
              <w:rPr>
                <w:sz w:val="24"/>
                <w:szCs w:val="24"/>
              </w:rPr>
              <w:t>当期持有基金产生的应支付销售服务费（元）</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w:t>
            </w:r>
          </w:p>
        </w:tc>
      </w:tr>
      <w:tr w:rsidR="001F3E2A" w:rsidRPr="00575270" w:rsidTr="00CD14C0">
        <w:tc>
          <w:tcPr>
            <w:tcW w:w="3012" w:type="dxa"/>
            <w:vAlign w:val="center"/>
          </w:tcPr>
          <w:p w:rsidR="001F3E2A" w:rsidRPr="00575270" w:rsidRDefault="001F3E2A" w:rsidP="0011537B">
            <w:pPr>
              <w:adjustRightInd w:val="0"/>
              <w:snapToGrid w:val="0"/>
              <w:spacing w:beforeLines="50" w:before="156" w:line="276" w:lineRule="auto"/>
              <w:rPr>
                <w:rFonts w:eastAsiaTheme="minorEastAsia"/>
                <w:color w:val="000000" w:themeColor="text1"/>
                <w:sz w:val="24"/>
                <w:szCs w:val="24"/>
              </w:rPr>
            </w:pPr>
            <w:r w:rsidRPr="00575270">
              <w:rPr>
                <w:sz w:val="24"/>
                <w:szCs w:val="24"/>
              </w:rPr>
              <w:t>当期持有基金产生的应支付管理费（元）</w:t>
            </w:r>
          </w:p>
        </w:tc>
        <w:tc>
          <w:tcPr>
            <w:tcW w:w="3012" w:type="dxa"/>
            <w:vAlign w:val="center"/>
          </w:tcPr>
          <w:p w:rsidR="001F3E2A" w:rsidRPr="00575270" w:rsidRDefault="00900445" w:rsidP="0011537B">
            <w:pPr>
              <w:adjustRightInd w:val="0"/>
              <w:snapToGrid w:val="0"/>
              <w:spacing w:beforeLines="50" w:before="156" w:line="276" w:lineRule="auto"/>
              <w:jc w:val="right"/>
              <w:rPr>
                <w:rFonts w:eastAsiaTheme="minorEastAsia"/>
                <w:color w:val="000000" w:themeColor="text1"/>
                <w:sz w:val="24"/>
                <w:szCs w:val="24"/>
              </w:rPr>
            </w:pPr>
            <w:r>
              <w:rPr>
                <w:rFonts w:eastAsiaTheme="minorEastAsia" w:hint="eastAsia"/>
                <w:color w:val="000000" w:themeColor="text1"/>
                <w:sz w:val="24"/>
                <w:szCs w:val="24"/>
              </w:rPr>
              <w:t>62</w:t>
            </w:r>
            <w:r>
              <w:rPr>
                <w:rFonts w:eastAsiaTheme="minorEastAsia"/>
                <w:color w:val="000000" w:themeColor="text1"/>
                <w:sz w:val="24"/>
                <w:szCs w:val="24"/>
              </w:rPr>
              <w:t>,</w:t>
            </w:r>
            <w:r>
              <w:rPr>
                <w:rFonts w:eastAsiaTheme="minorEastAsia" w:hint="eastAsia"/>
                <w:color w:val="000000" w:themeColor="text1"/>
                <w:sz w:val="24"/>
                <w:szCs w:val="24"/>
              </w:rPr>
              <w:t>361.92</w:t>
            </w:r>
          </w:p>
        </w:tc>
        <w:tc>
          <w:tcPr>
            <w:tcW w:w="3012" w:type="dxa"/>
            <w:vAlign w:val="center"/>
          </w:tcPr>
          <w:p w:rsidR="001F3E2A" w:rsidRPr="00575270" w:rsidRDefault="00900445" w:rsidP="0011537B">
            <w:pPr>
              <w:adjustRightInd w:val="0"/>
              <w:snapToGrid w:val="0"/>
              <w:spacing w:beforeLines="50" w:before="156" w:line="276" w:lineRule="auto"/>
              <w:jc w:val="right"/>
              <w:rPr>
                <w:rFonts w:eastAsiaTheme="minorEastAsia"/>
                <w:color w:val="000000" w:themeColor="text1"/>
                <w:sz w:val="24"/>
                <w:szCs w:val="24"/>
              </w:rPr>
            </w:pPr>
            <w:r>
              <w:rPr>
                <w:rFonts w:eastAsiaTheme="minorEastAsia" w:hint="eastAsia"/>
                <w:color w:val="000000" w:themeColor="text1"/>
                <w:sz w:val="24"/>
                <w:szCs w:val="24"/>
              </w:rPr>
              <w:t>51</w:t>
            </w:r>
            <w:r>
              <w:rPr>
                <w:rFonts w:eastAsiaTheme="minorEastAsia"/>
                <w:color w:val="000000" w:themeColor="text1"/>
                <w:sz w:val="24"/>
                <w:szCs w:val="24"/>
              </w:rPr>
              <w:t>,</w:t>
            </w:r>
            <w:r>
              <w:rPr>
                <w:rFonts w:eastAsiaTheme="minorEastAsia" w:hint="eastAsia"/>
                <w:color w:val="000000" w:themeColor="text1"/>
                <w:sz w:val="24"/>
                <w:szCs w:val="24"/>
              </w:rPr>
              <w:t>022.85</w:t>
            </w:r>
          </w:p>
        </w:tc>
      </w:tr>
      <w:tr w:rsidR="001F3E2A" w:rsidRPr="00575270" w:rsidTr="00CD14C0">
        <w:tc>
          <w:tcPr>
            <w:tcW w:w="3012" w:type="dxa"/>
            <w:vAlign w:val="center"/>
          </w:tcPr>
          <w:p w:rsidR="001F3E2A" w:rsidRPr="00575270" w:rsidRDefault="001F3E2A" w:rsidP="0011537B">
            <w:pPr>
              <w:adjustRightInd w:val="0"/>
              <w:snapToGrid w:val="0"/>
              <w:spacing w:beforeLines="50" w:before="156" w:line="276" w:lineRule="auto"/>
              <w:rPr>
                <w:rFonts w:eastAsiaTheme="minorEastAsia"/>
                <w:color w:val="000000" w:themeColor="text1"/>
                <w:sz w:val="24"/>
                <w:szCs w:val="24"/>
              </w:rPr>
            </w:pPr>
            <w:r w:rsidRPr="00575270">
              <w:rPr>
                <w:sz w:val="24"/>
                <w:szCs w:val="24"/>
              </w:rPr>
              <w:t>当期持有基金产生的应支付托管费（元）</w:t>
            </w:r>
          </w:p>
        </w:tc>
        <w:tc>
          <w:tcPr>
            <w:tcW w:w="3012" w:type="dxa"/>
            <w:vAlign w:val="center"/>
          </w:tcPr>
          <w:p w:rsidR="001F3E2A" w:rsidRPr="00575270" w:rsidRDefault="00900445" w:rsidP="0011537B">
            <w:pPr>
              <w:adjustRightInd w:val="0"/>
              <w:snapToGrid w:val="0"/>
              <w:spacing w:beforeLines="50" w:before="156" w:line="276" w:lineRule="auto"/>
              <w:jc w:val="right"/>
              <w:rPr>
                <w:rFonts w:eastAsiaTheme="minorEastAsia"/>
                <w:color w:val="000000" w:themeColor="text1"/>
                <w:sz w:val="24"/>
                <w:szCs w:val="24"/>
              </w:rPr>
            </w:pPr>
            <w:r>
              <w:rPr>
                <w:rFonts w:eastAsiaTheme="minorEastAsia" w:hint="eastAsia"/>
                <w:color w:val="000000" w:themeColor="text1"/>
                <w:sz w:val="24"/>
                <w:szCs w:val="24"/>
              </w:rPr>
              <w:t>12</w:t>
            </w:r>
            <w:r>
              <w:rPr>
                <w:rFonts w:eastAsiaTheme="minorEastAsia"/>
                <w:color w:val="000000" w:themeColor="text1"/>
                <w:sz w:val="24"/>
                <w:szCs w:val="24"/>
              </w:rPr>
              <w:t>,</w:t>
            </w:r>
            <w:r>
              <w:rPr>
                <w:rFonts w:eastAsiaTheme="minorEastAsia" w:hint="eastAsia"/>
                <w:color w:val="000000" w:themeColor="text1"/>
                <w:sz w:val="24"/>
                <w:szCs w:val="24"/>
              </w:rPr>
              <w:t>188.70</w:t>
            </w:r>
          </w:p>
        </w:tc>
        <w:tc>
          <w:tcPr>
            <w:tcW w:w="3012" w:type="dxa"/>
            <w:vAlign w:val="center"/>
          </w:tcPr>
          <w:p w:rsidR="001F3E2A" w:rsidRPr="00575270" w:rsidRDefault="00900445" w:rsidP="0011537B">
            <w:pPr>
              <w:adjustRightInd w:val="0"/>
              <w:snapToGrid w:val="0"/>
              <w:spacing w:beforeLines="50" w:before="156" w:line="276" w:lineRule="auto"/>
              <w:jc w:val="right"/>
              <w:rPr>
                <w:rFonts w:eastAsiaTheme="minorEastAsia"/>
                <w:color w:val="000000" w:themeColor="text1"/>
                <w:sz w:val="24"/>
                <w:szCs w:val="24"/>
              </w:rPr>
            </w:pPr>
            <w:r>
              <w:rPr>
                <w:rFonts w:eastAsiaTheme="minorEastAsia" w:hint="eastAsia"/>
                <w:color w:val="000000" w:themeColor="text1"/>
                <w:sz w:val="24"/>
                <w:szCs w:val="24"/>
              </w:rPr>
              <w:t>9</w:t>
            </w:r>
            <w:r>
              <w:rPr>
                <w:rFonts w:eastAsiaTheme="minorEastAsia"/>
                <w:color w:val="000000" w:themeColor="text1"/>
                <w:sz w:val="24"/>
                <w:szCs w:val="24"/>
              </w:rPr>
              <w:t>,</w:t>
            </w:r>
            <w:r>
              <w:rPr>
                <w:rFonts w:eastAsiaTheme="minorEastAsia" w:hint="eastAsia"/>
                <w:color w:val="000000" w:themeColor="text1"/>
                <w:sz w:val="24"/>
                <w:szCs w:val="24"/>
              </w:rPr>
              <w:t>554.65</w:t>
            </w:r>
          </w:p>
        </w:tc>
      </w:tr>
      <w:tr w:rsidR="00FA4ECC">
        <w:tc>
          <w:tcPr>
            <w:tcW w:w="3012" w:type="dxa"/>
            <w:vAlign w:val="center"/>
          </w:tcPr>
          <w:p w:rsidR="00FA4ECC" w:rsidRDefault="00900445">
            <w:pPr>
              <w:jc w:val="left"/>
            </w:pPr>
            <w:r>
              <w:rPr>
                <w:rFonts w:eastAsiaTheme="minorEastAsia"/>
                <w:color w:val="000000" w:themeColor="text1"/>
                <w:sz w:val="24"/>
                <w:szCs w:val="24"/>
              </w:rPr>
              <w:t>当期交易基金产生的交易费（元）</w:t>
            </w:r>
          </w:p>
        </w:tc>
        <w:tc>
          <w:tcPr>
            <w:tcW w:w="3012" w:type="dxa"/>
            <w:vAlign w:val="center"/>
          </w:tcPr>
          <w:p w:rsidR="00FA4ECC" w:rsidRDefault="00900445">
            <w:pPr>
              <w:jc w:val="right"/>
            </w:pPr>
            <w:r>
              <w:rPr>
                <w:rFonts w:eastAsiaTheme="minorEastAsia"/>
                <w:color w:val="000000" w:themeColor="text1"/>
                <w:sz w:val="24"/>
                <w:szCs w:val="24"/>
              </w:rPr>
              <w:t>12,895.10</w:t>
            </w:r>
          </w:p>
        </w:tc>
        <w:tc>
          <w:tcPr>
            <w:tcW w:w="3012" w:type="dxa"/>
            <w:vAlign w:val="center"/>
          </w:tcPr>
          <w:p w:rsidR="00FA4ECC" w:rsidRDefault="00900445">
            <w:pPr>
              <w:jc w:val="right"/>
            </w:pPr>
            <w:r>
              <w:rPr>
                <w:rFonts w:eastAsiaTheme="minorEastAsia"/>
                <w:color w:val="000000" w:themeColor="text1"/>
                <w:sz w:val="24"/>
                <w:szCs w:val="24"/>
              </w:rPr>
              <w:t>-</w:t>
            </w:r>
          </w:p>
        </w:tc>
      </w:tr>
    </w:tbl>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hint="eastAsia"/>
          <w:color w:val="000000" w:themeColor="text1"/>
          <w:sz w:val="24"/>
          <w:szCs w:val="24"/>
        </w:rPr>
        <w:t>无。</w:t>
      </w: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25,469,381.74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8,056,554.12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5,178,764.86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28,347,171.00</w:t>
            </w:r>
          </w:p>
        </w:tc>
      </w:tr>
    </w:tbl>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无。</w:t>
      </w:r>
    </w:p>
    <w:p w:rsidR="00410630" w:rsidRDefault="00410630" w:rsidP="00C15CAC">
      <w:pPr>
        <w:autoSpaceDE w:val="0"/>
        <w:autoSpaceDN w:val="0"/>
        <w:adjustRightInd w:val="0"/>
        <w:spacing w:before="29" w:line="288" w:lineRule="auto"/>
        <w:jc w:val="left"/>
        <w:rPr>
          <w:rFonts w:eastAsiaTheme="minorEastAsia"/>
          <w:color w:val="000000"/>
          <w:sz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FA4ECC" w:rsidRDefault="00900445">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、中国证监会批准上投摩根尚睿混合型基金中基金</w:t>
      </w:r>
      <w:r>
        <w:rPr>
          <w:color w:val="000000"/>
          <w:sz w:val="24"/>
          <w:szCs w:val="24"/>
        </w:rPr>
        <w:t>(FOF)</w:t>
      </w:r>
      <w:r>
        <w:rPr>
          <w:color w:val="000000"/>
          <w:sz w:val="24"/>
          <w:szCs w:val="24"/>
        </w:rPr>
        <w:t>设立的文件；</w:t>
      </w:r>
      <w:r>
        <w:rPr>
          <w:color w:val="000000"/>
          <w:sz w:val="24"/>
          <w:szCs w:val="24"/>
        </w:rPr>
        <w:t xml:space="preserve"> </w:t>
      </w:r>
    </w:p>
    <w:p w:rsidR="00FA4ECC" w:rsidRDefault="00900445">
      <w:pPr>
        <w:spacing w:before="29" w:line="288" w:lineRule="auto"/>
        <w:ind w:firstLineChars="200" w:firstLine="480"/>
        <w:rPr>
          <w:color w:val="000000"/>
          <w:sz w:val="24"/>
          <w:szCs w:val="24"/>
        </w:rPr>
      </w:pPr>
      <w:r>
        <w:rPr>
          <w:color w:val="000000"/>
          <w:sz w:val="24"/>
          <w:szCs w:val="24"/>
        </w:rPr>
        <w:t>2</w:t>
      </w:r>
      <w:r>
        <w:rPr>
          <w:color w:val="000000"/>
          <w:sz w:val="24"/>
          <w:szCs w:val="24"/>
        </w:rPr>
        <w:t>、《上投摩根尚睿混合型基金中基金</w:t>
      </w:r>
      <w:r>
        <w:rPr>
          <w:color w:val="000000"/>
          <w:sz w:val="24"/>
          <w:szCs w:val="24"/>
        </w:rPr>
        <w:t>(FOF)</w:t>
      </w:r>
      <w:r>
        <w:rPr>
          <w:color w:val="000000"/>
          <w:sz w:val="24"/>
          <w:szCs w:val="24"/>
        </w:rPr>
        <w:t>基金合同》；</w:t>
      </w:r>
      <w:r>
        <w:rPr>
          <w:color w:val="000000"/>
          <w:sz w:val="24"/>
          <w:szCs w:val="24"/>
        </w:rPr>
        <w:t xml:space="preserve"> </w:t>
      </w:r>
    </w:p>
    <w:p w:rsidR="00FA4ECC" w:rsidRDefault="00900445">
      <w:pPr>
        <w:spacing w:before="29" w:line="288" w:lineRule="auto"/>
        <w:ind w:firstLineChars="200" w:firstLine="480"/>
        <w:rPr>
          <w:color w:val="000000"/>
          <w:sz w:val="24"/>
          <w:szCs w:val="24"/>
        </w:rPr>
      </w:pPr>
      <w:r>
        <w:rPr>
          <w:color w:val="000000"/>
          <w:sz w:val="24"/>
          <w:szCs w:val="24"/>
        </w:rPr>
        <w:t>3</w:t>
      </w:r>
      <w:r>
        <w:rPr>
          <w:color w:val="000000"/>
          <w:sz w:val="24"/>
          <w:szCs w:val="24"/>
        </w:rPr>
        <w:t>、《上投摩根尚睿混合型基金中基金</w:t>
      </w:r>
      <w:r>
        <w:rPr>
          <w:color w:val="000000"/>
          <w:sz w:val="24"/>
          <w:szCs w:val="24"/>
        </w:rPr>
        <w:t>(FOF)</w:t>
      </w:r>
      <w:r>
        <w:rPr>
          <w:color w:val="000000"/>
          <w:sz w:val="24"/>
          <w:szCs w:val="24"/>
        </w:rPr>
        <w:t>托管协议》；</w:t>
      </w:r>
      <w:r>
        <w:rPr>
          <w:color w:val="000000"/>
          <w:sz w:val="24"/>
          <w:szCs w:val="24"/>
        </w:rPr>
        <w:t xml:space="preserve"> </w:t>
      </w:r>
    </w:p>
    <w:p w:rsidR="00FA4ECC" w:rsidRDefault="00900445">
      <w:pPr>
        <w:spacing w:before="29" w:line="288" w:lineRule="auto"/>
        <w:ind w:firstLineChars="200" w:firstLine="480"/>
        <w:rPr>
          <w:color w:val="000000"/>
          <w:sz w:val="24"/>
          <w:szCs w:val="24"/>
        </w:rPr>
      </w:pPr>
      <w:r>
        <w:rPr>
          <w:color w:val="000000"/>
          <w:sz w:val="24"/>
          <w:szCs w:val="24"/>
        </w:rPr>
        <w:t>4</w:t>
      </w:r>
      <w:r>
        <w:rPr>
          <w:color w:val="000000"/>
          <w:sz w:val="24"/>
          <w:szCs w:val="24"/>
        </w:rPr>
        <w:t>、《上投摩根开放式基金业务规则》；</w:t>
      </w:r>
      <w:r>
        <w:rPr>
          <w:color w:val="000000"/>
          <w:sz w:val="24"/>
          <w:szCs w:val="24"/>
        </w:rPr>
        <w:t xml:space="preserve"> </w:t>
      </w:r>
    </w:p>
    <w:p w:rsidR="00FA4ECC" w:rsidRDefault="00900445">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6</w:t>
      </w:r>
      <w:r w:rsidRPr="00414345">
        <w:rPr>
          <w:color w:val="000000"/>
          <w:sz w:val="24"/>
          <w:szCs w:val="24"/>
        </w:rPr>
        <w:t>、基金托管人业务资格批件和营业执照。</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基金管理人或基金托管人处。</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投资者可在营业时间免费查阅，也可按工本费购买复印件。</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AF4" w:rsidRDefault="004B2AF4" w:rsidP="00876D65">
      <w:r>
        <w:separator/>
      </w:r>
    </w:p>
  </w:endnote>
  <w:endnote w:type="continuationSeparator" w:id="0">
    <w:p w:rsidR="004B2AF4" w:rsidRDefault="004B2AF4"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832586">
      <w:rPr>
        <w:noProof/>
        <w:kern w:val="0"/>
        <w:szCs w:val="21"/>
      </w:rPr>
      <w:t>3</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832586">
      <w:rPr>
        <w:noProof/>
        <w:kern w:val="0"/>
        <w:szCs w:val="21"/>
      </w:rPr>
      <w:t>14</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AF4" w:rsidRDefault="004B2AF4" w:rsidP="00876D65">
      <w:r>
        <w:separator/>
      </w:r>
    </w:p>
  </w:footnote>
  <w:footnote w:type="continuationSeparator" w:id="0">
    <w:p w:rsidR="004B2AF4" w:rsidRDefault="004B2AF4"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上投摩根尚睿混合型基金中基金</w:t>
    </w:r>
    <w:r w:rsidRPr="003E676C">
      <w:rPr>
        <w:sz w:val="24"/>
        <w:szCs w:val="24"/>
      </w:rPr>
      <w:t>(FOF)2019</w:t>
    </w:r>
    <w:r w:rsidRPr="003E676C">
      <w:rPr>
        <w:sz w:val="24"/>
        <w:szCs w:val="24"/>
      </w:rPr>
      <w:t>年第</w:t>
    </w:r>
    <w:r w:rsidRPr="003E676C">
      <w:rPr>
        <w:sz w:val="24"/>
        <w:szCs w:val="24"/>
      </w:rPr>
      <w:t>4</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586"/>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0445"/>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0774"/>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4ECC"/>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74E385CA-4318-4996-AB23-B27244A43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0570D-57BD-44D7-942B-20C23DFE8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1811</TotalTime>
  <Pages>14</Pages>
  <Words>1234</Words>
  <Characters>7035</Characters>
  <Application>Microsoft Office Word</Application>
  <DocSecurity>0</DocSecurity>
  <Lines>58</Lines>
  <Paragraphs>16</Paragraphs>
  <ScaleCrop>false</ScaleCrop>
  <Company/>
  <LinksUpToDate>false</LinksUpToDate>
  <CharactersWithSpaces>8253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WenYu Qiu</cp:lastModifiedBy>
  <cp:revision>581</cp:revision>
  <dcterms:created xsi:type="dcterms:W3CDTF">2012-10-16T06:07:00Z</dcterms:created>
  <dcterms:modified xsi:type="dcterms:W3CDTF">2020-01-16T10:55:00Z</dcterms:modified>
</cp:coreProperties>
</file>