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上投摩根尚睿混合型基金中基金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二〇一九年一月二十二日</w:t>
      </w:r>
    </w:p>
    <w:p w:rsidR="004061AC" w:rsidRPr="00414345" w:rsidRDefault="004061AC" w:rsidP="0014204A">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14D1D" w:rsidRDefault="002B10F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14D1D" w:rsidRDefault="002B10F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14D1D" w:rsidRDefault="002B10F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14D1D" w:rsidRDefault="002B10F9">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C14D1D" w:rsidRDefault="002B10F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4204A">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上投摩根尚睿混合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006042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006042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48,048,299.72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通过优选基金，并结合严格的风险控制，实现基金资产的长期稳健增值。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C14D1D" w:rsidRDefault="002B10F9">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、资产配置策略</w:t>
            </w:r>
          </w:p>
          <w:p w:rsidR="00C14D1D" w:rsidRDefault="002B10F9">
            <w:pPr>
              <w:adjustRightInd w:val="0"/>
              <w:spacing w:before="29" w:line="288" w:lineRule="auto"/>
              <w:ind w:left="17"/>
              <w:jc w:val="left"/>
              <w:rPr>
                <w:color w:val="000000"/>
                <w:sz w:val="24"/>
                <w:szCs w:val="24"/>
              </w:rPr>
            </w:pPr>
            <w:r>
              <w:rPr>
                <w:color w:val="000000"/>
                <w:kern w:val="0"/>
                <w:sz w:val="24"/>
                <w:szCs w:val="24"/>
              </w:rPr>
              <w:t>在大类资产配置上，结合产品定位、风险收益特征以及管理人的长期资本市场观点确定基金的资产配置方案。</w:t>
            </w:r>
          </w:p>
          <w:p w:rsidR="00C14D1D" w:rsidRDefault="002B10F9">
            <w:pPr>
              <w:adjustRightInd w:val="0"/>
              <w:spacing w:before="29" w:line="288" w:lineRule="auto"/>
              <w:ind w:left="17"/>
              <w:jc w:val="left"/>
              <w:rPr>
                <w:color w:val="000000"/>
                <w:sz w:val="24"/>
                <w:szCs w:val="24"/>
              </w:rPr>
            </w:pPr>
            <w:r>
              <w:rPr>
                <w:color w:val="000000"/>
                <w:kern w:val="0"/>
                <w:sz w:val="24"/>
                <w:szCs w:val="24"/>
              </w:rPr>
              <w:t>首先，管理人将根据基金业绩基准确定产品的风险收益特征。其次，根据投</w:t>
            </w:r>
            <w:proofErr w:type="gramStart"/>
            <w:r>
              <w:rPr>
                <w:color w:val="000000"/>
                <w:kern w:val="0"/>
                <w:sz w:val="24"/>
                <w:szCs w:val="24"/>
              </w:rPr>
              <w:t>研</w:t>
            </w:r>
            <w:proofErr w:type="gramEnd"/>
            <w:r>
              <w:rPr>
                <w:color w:val="000000"/>
                <w:kern w:val="0"/>
                <w:sz w:val="24"/>
                <w:szCs w:val="24"/>
              </w:rPr>
              <w:t>团队的长期资本市场观点对各类型资产的风险收益特征进行判断。最后，结合本基金以及各资产类别的风险收益特征、现代投资组合理论，模拟得出各大类资产的长期战略配置比例。</w:t>
            </w:r>
          </w:p>
          <w:p w:rsidR="00C14D1D" w:rsidRDefault="002B10F9">
            <w:pPr>
              <w:adjustRightInd w:val="0"/>
              <w:spacing w:before="29" w:line="288" w:lineRule="auto"/>
              <w:ind w:left="17"/>
              <w:jc w:val="left"/>
              <w:rPr>
                <w:color w:val="000000"/>
                <w:sz w:val="24"/>
                <w:szCs w:val="24"/>
              </w:rPr>
            </w:pPr>
            <w:r>
              <w:rPr>
                <w:color w:val="000000"/>
                <w:kern w:val="0"/>
                <w:sz w:val="24"/>
                <w:szCs w:val="24"/>
              </w:rPr>
              <w:t>密切关注市场风险的变化以及各资产类别的风险收益</w:t>
            </w:r>
            <w:r>
              <w:rPr>
                <w:color w:val="000000"/>
                <w:kern w:val="0"/>
                <w:sz w:val="24"/>
                <w:szCs w:val="24"/>
              </w:rPr>
              <w:lastRenderedPageBreak/>
              <w:t>的相对变化趋势，适度调整中长期战略配置比例。当资本市场发生重大变化且管理人认为将影响各类资产的预期时，根据实际情况调整资产配置比例。</w:t>
            </w:r>
          </w:p>
          <w:p w:rsidR="00C14D1D" w:rsidRDefault="002B10F9">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w:t>
            </w:r>
          </w:p>
          <w:p w:rsidR="00C14D1D" w:rsidRDefault="002B10F9">
            <w:pPr>
              <w:adjustRightInd w:val="0"/>
              <w:spacing w:before="29" w:line="288" w:lineRule="auto"/>
              <w:ind w:left="17"/>
              <w:jc w:val="left"/>
              <w:rPr>
                <w:color w:val="000000"/>
                <w:sz w:val="24"/>
                <w:szCs w:val="24"/>
              </w:rPr>
            </w:pPr>
            <w:r>
              <w:rPr>
                <w:color w:val="000000"/>
                <w:kern w:val="0"/>
                <w:sz w:val="24"/>
                <w:szCs w:val="24"/>
              </w:rPr>
              <w:t>综合运用定量分析和定性分析的方式，通过层层筛选，优选能持续创造超额收益的基金构建投资组合。</w:t>
            </w:r>
          </w:p>
          <w:p w:rsidR="00C14D1D" w:rsidRDefault="002B10F9">
            <w:pPr>
              <w:adjustRightInd w:val="0"/>
              <w:spacing w:before="29" w:line="288" w:lineRule="auto"/>
              <w:ind w:left="17"/>
              <w:jc w:val="left"/>
              <w:rPr>
                <w:color w:val="000000"/>
                <w:sz w:val="24"/>
                <w:szCs w:val="24"/>
              </w:rPr>
            </w:pPr>
            <w:r>
              <w:rPr>
                <w:color w:val="000000"/>
                <w:kern w:val="0"/>
                <w:sz w:val="24"/>
                <w:szCs w:val="24"/>
              </w:rPr>
              <w:t>首先，通过初步的定量指标筛选出历史业绩表现良好、规模适中、流动性较好的基金。在初步筛选的基础上，进一步通过尽职调查在基金管理公司层面进行考察，形成基金筛选基础池。</w:t>
            </w:r>
          </w:p>
          <w:p w:rsidR="00C14D1D" w:rsidRDefault="002B10F9">
            <w:pPr>
              <w:adjustRightInd w:val="0"/>
              <w:spacing w:before="29" w:line="288" w:lineRule="auto"/>
              <w:ind w:left="17"/>
              <w:jc w:val="left"/>
              <w:rPr>
                <w:color w:val="000000"/>
                <w:sz w:val="24"/>
                <w:szCs w:val="24"/>
              </w:rPr>
            </w:pPr>
            <w:r>
              <w:rPr>
                <w:color w:val="000000"/>
                <w:kern w:val="0"/>
                <w:sz w:val="24"/>
                <w:szCs w:val="24"/>
              </w:rPr>
              <w:t>其次，结合尽职调查结果以及公开数据，对基金经理进行深度访谈，筛选后将不同投资风格</w:t>
            </w:r>
            <w:r>
              <w:rPr>
                <w:color w:val="000000"/>
                <w:kern w:val="0"/>
                <w:sz w:val="24"/>
                <w:szCs w:val="24"/>
              </w:rPr>
              <w:t>/</w:t>
            </w:r>
            <w:r>
              <w:rPr>
                <w:color w:val="000000"/>
                <w:kern w:val="0"/>
                <w:sz w:val="24"/>
                <w:szCs w:val="24"/>
              </w:rPr>
              <w:t>策略的代表性基金列入未来基金构建投资组合的核心池。</w:t>
            </w:r>
          </w:p>
          <w:p w:rsidR="00C14D1D" w:rsidRDefault="002B10F9">
            <w:pPr>
              <w:adjustRightInd w:val="0"/>
              <w:spacing w:before="29" w:line="288" w:lineRule="auto"/>
              <w:ind w:left="17"/>
              <w:jc w:val="left"/>
              <w:rPr>
                <w:color w:val="000000"/>
                <w:sz w:val="24"/>
                <w:szCs w:val="24"/>
              </w:rPr>
            </w:pPr>
            <w:r>
              <w:rPr>
                <w:color w:val="000000"/>
                <w:kern w:val="0"/>
                <w:sz w:val="24"/>
                <w:szCs w:val="24"/>
              </w:rPr>
              <w:t>本基金目前将主要投资于本基金管理人旗下的公募基金，并根据定量及定性分析策略优选标的基金。未来本基金管理人本着审慎尽职的原则，可将投资范围逐步扩展至其他管理人旗下的公募基金。</w:t>
            </w:r>
          </w:p>
          <w:p w:rsidR="00C14D1D" w:rsidRDefault="002B10F9">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w:t>
            </w:r>
          </w:p>
          <w:p w:rsidR="00C14D1D" w:rsidRDefault="002B10F9">
            <w:pPr>
              <w:adjustRightInd w:val="0"/>
              <w:spacing w:before="29" w:line="288" w:lineRule="auto"/>
              <w:ind w:left="17"/>
              <w:jc w:val="left"/>
              <w:rPr>
                <w:color w:val="000000"/>
                <w:sz w:val="24"/>
                <w:szCs w:val="24"/>
              </w:rPr>
            </w:pPr>
            <w:r>
              <w:rPr>
                <w:color w:val="000000"/>
                <w:kern w:val="0"/>
                <w:sz w:val="24"/>
                <w:szCs w:val="24"/>
              </w:rPr>
              <w:t>通过对国内外宏观经济、经济结构转型的方向、国家经济政策、产业政策导向的深入研究，优选中长期</w:t>
            </w:r>
            <w:proofErr w:type="gramStart"/>
            <w:r>
              <w:rPr>
                <w:color w:val="000000"/>
                <w:kern w:val="0"/>
                <w:sz w:val="24"/>
                <w:szCs w:val="24"/>
              </w:rPr>
              <w:t>景气向好的指数</w:t>
            </w:r>
            <w:proofErr w:type="gramEnd"/>
            <w:r>
              <w:rPr>
                <w:color w:val="000000"/>
                <w:kern w:val="0"/>
                <w:sz w:val="24"/>
                <w:szCs w:val="24"/>
              </w:rPr>
              <w:t>基金进行配置。此外，基于对市场未来运行趋势和风格的预判，积极参与包括行业主题、风格或策略指数等在内的各类指数基金的投资，把握市场阶段性投资机会。</w:t>
            </w:r>
          </w:p>
          <w:p w:rsidR="00C14D1D" w:rsidRDefault="002B10F9">
            <w:pPr>
              <w:adjustRightInd w:val="0"/>
              <w:spacing w:before="29" w:line="288" w:lineRule="auto"/>
              <w:ind w:left="17"/>
              <w:jc w:val="left"/>
              <w:rPr>
                <w:color w:val="000000"/>
                <w:sz w:val="24"/>
                <w:szCs w:val="24"/>
              </w:rPr>
            </w:pPr>
            <w:r>
              <w:rPr>
                <w:color w:val="000000"/>
                <w:kern w:val="0"/>
                <w:sz w:val="24"/>
                <w:szCs w:val="24"/>
              </w:rPr>
              <w:t>4</w:t>
            </w:r>
            <w:r>
              <w:rPr>
                <w:color w:val="000000"/>
                <w:kern w:val="0"/>
                <w:sz w:val="24"/>
                <w:szCs w:val="24"/>
              </w:rPr>
              <w:t>、债券投资策略</w:t>
            </w:r>
          </w:p>
          <w:p w:rsidR="00C14D1D" w:rsidRDefault="002B10F9">
            <w:pPr>
              <w:adjustRightInd w:val="0"/>
              <w:spacing w:before="29" w:line="288" w:lineRule="auto"/>
              <w:ind w:left="17"/>
              <w:jc w:val="left"/>
              <w:rPr>
                <w:color w:val="000000"/>
                <w:sz w:val="24"/>
                <w:szCs w:val="24"/>
              </w:rPr>
            </w:pPr>
            <w:r>
              <w:rPr>
                <w:color w:val="000000"/>
                <w:kern w:val="0"/>
                <w:sz w:val="24"/>
                <w:szCs w:val="24"/>
              </w:rPr>
              <w:t>结合不同债券品种的到期收益率、流动性、市场规模等情况，并根据对债券收益率曲线形态、息</w:t>
            </w:r>
            <w:proofErr w:type="gramStart"/>
            <w:r>
              <w:rPr>
                <w:color w:val="000000"/>
                <w:kern w:val="0"/>
                <w:sz w:val="24"/>
                <w:szCs w:val="24"/>
              </w:rPr>
              <w:t>差变化</w:t>
            </w:r>
            <w:proofErr w:type="gramEnd"/>
            <w:r>
              <w:rPr>
                <w:color w:val="000000"/>
                <w:kern w:val="0"/>
                <w:sz w:val="24"/>
                <w:szCs w:val="24"/>
              </w:rPr>
              <w:t>的预测，对债券组合进行动态调整。</w:t>
            </w:r>
          </w:p>
          <w:p w:rsidR="00C14D1D" w:rsidRDefault="002B10F9">
            <w:pPr>
              <w:adjustRightInd w:val="0"/>
              <w:spacing w:before="29" w:line="288" w:lineRule="auto"/>
              <w:ind w:left="17"/>
              <w:jc w:val="left"/>
              <w:rPr>
                <w:color w:val="000000"/>
                <w:sz w:val="24"/>
                <w:szCs w:val="24"/>
              </w:rPr>
            </w:pPr>
            <w:r>
              <w:rPr>
                <w:color w:val="000000"/>
                <w:kern w:val="0"/>
                <w:sz w:val="24"/>
                <w:szCs w:val="24"/>
              </w:rPr>
              <w:t>5</w:t>
            </w:r>
            <w:r>
              <w:rPr>
                <w:color w:val="000000"/>
                <w:kern w:val="0"/>
                <w:sz w:val="24"/>
                <w:szCs w:val="24"/>
              </w:rPr>
              <w:t>、中小企业私募债投资策略</w:t>
            </w:r>
          </w:p>
          <w:p w:rsidR="00C14D1D" w:rsidRDefault="002B10F9">
            <w:pPr>
              <w:adjustRightInd w:val="0"/>
              <w:spacing w:before="29" w:line="288" w:lineRule="auto"/>
              <w:ind w:left="17"/>
              <w:jc w:val="left"/>
              <w:rPr>
                <w:color w:val="000000"/>
                <w:sz w:val="24"/>
                <w:szCs w:val="24"/>
              </w:rPr>
            </w:pPr>
            <w:r>
              <w:rPr>
                <w:color w:val="000000"/>
                <w:kern w:val="0"/>
                <w:sz w:val="24"/>
                <w:szCs w:val="24"/>
              </w:rPr>
              <w:t>本基金对中小企业私募债的投资主要从自上而下判断景气周期和自下而上精选标的两个角度出发，结合信用分析和信用评估进行。</w:t>
            </w:r>
          </w:p>
          <w:p w:rsidR="00C14D1D" w:rsidRDefault="002B10F9">
            <w:pPr>
              <w:adjustRightInd w:val="0"/>
              <w:spacing w:before="29" w:line="288" w:lineRule="auto"/>
              <w:ind w:left="17"/>
              <w:jc w:val="left"/>
              <w:rPr>
                <w:color w:val="000000"/>
                <w:sz w:val="24"/>
                <w:szCs w:val="24"/>
              </w:rPr>
            </w:pPr>
            <w:r>
              <w:rPr>
                <w:color w:val="000000"/>
                <w:kern w:val="0"/>
                <w:sz w:val="24"/>
                <w:szCs w:val="24"/>
              </w:rPr>
              <w:t>6</w:t>
            </w:r>
            <w:r>
              <w:rPr>
                <w:color w:val="000000"/>
                <w:kern w:val="0"/>
                <w:sz w:val="24"/>
                <w:szCs w:val="24"/>
              </w:rPr>
              <w:t>、证券公司短期公司债投资策略</w:t>
            </w:r>
          </w:p>
          <w:p w:rsidR="00C14D1D" w:rsidRDefault="002B10F9">
            <w:pPr>
              <w:adjustRightInd w:val="0"/>
              <w:spacing w:before="29" w:line="288" w:lineRule="auto"/>
              <w:ind w:left="17"/>
              <w:jc w:val="left"/>
              <w:rPr>
                <w:color w:val="000000"/>
                <w:sz w:val="24"/>
                <w:szCs w:val="24"/>
              </w:rPr>
            </w:pPr>
            <w:r>
              <w:rPr>
                <w:color w:val="000000"/>
                <w:kern w:val="0"/>
                <w:sz w:val="24"/>
                <w:szCs w:val="24"/>
              </w:rPr>
              <w:t>主要从分析证券行业整体情况、证券公司基本面情况入手，分析证券公司短期公司债券的违约风险及合理的利差水平，对其进行独立、客观的价值评估。</w:t>
            </w:r>
          </w:p>
          <w:p w:rsidR="00C14D1D" w:rsidRDefault="002B10F9">
            <w:pPr>
              <w:adjustRightInd w:val="0"/>
              <w:spacing w:before="29" w:line="288" w:lineRule="auto"/>
              <w:ind w:left="17"/>
              <w:jc w:val="left"/>
              <w:rPr>
                <w:color w:val="000000"/>
                <w:sz w:val="24"/>
                <w:szCs w:val="24"/>
              </w:rPr>
            </w:pPr>
            <w:r>
              <w:rPr>
                <w:color w:val="000000"/>
                <w:kern w:val="0"/>
                <w:sz w:val="24"/>
                <w:szCs w:val="24"/>
              </w:rPr>
              <w:lastRenderedPageBreak/>
              <w:t>7</w:t>
            </w:r>
            <w:r>
              <w:rPr>
                <w:color w:val="000000"/>
                <w:kern w:val="0"/>
                <w:sz w:val="24"/>
                <w:szCs w:val="24"/>
              </w:rPr>
              <w:t>、资产支持证券投资策略</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综合考虑市场利率、发行条款、支持资产的构成及质量等因素，对资产支持证券的风险与收益状况进行评估，确定资产合理配置比例。</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本基金的业绩比较基准为：中证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w:t>
            </w:r>
            <w:proofErr w:type="gramStart"/>
            <w:r w:rsidRPr="00414345">
              <w:rPr>
                <w:color w:val="000000"/>
                <w:kern w:val="0"/>
                <w:sz w:val="24"/>
                <w:szCs w:val="24"/>
              </w:rPr>
              <w:t>债指数</w:t>
            </w:r>
            <w:proofErr w:type="gramEnd"/>
            <w:r w:rsidRPr="00414345">
              <w:rPr>
                <w:color w:val="000000"/>
                <w:kern w:val="0"/>
                <w:sz w:val="24"/>
                <w:szCs w:val="24"/>
              </w:rPr>
              <w:t>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本基金属于混合型基金中基金，预期风险和收益水平低于股票型基金，高于债券型和货币市场基金，属于较高风险收益水平的基金产品。</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4204A">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2B10F9" w:rsidRPr="00414345" w:rsidTr="002B10F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B10F9" w:rsidRPr="00414345" w:rsidTr="002B10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753,103.43</w:t>
            </w:r>
          </w:p>
        </w:tc>
      </w:tr>
      <w:tr w:rsidR="002B10F9" w:rsidRPr="00414345" w:rsidTr="002B10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-1,629,346.26</w:t>
            </w:r>
          </w:p>
        </w:tc>
      </w:tr>
      <w:tr w:rsidR="002B10F9" w:rsidRPr="00414345" w:rsidTr="002B10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-0.0294</w:t>
            </w:r>
          </w:p>
        </w:tc>
      </w:tr>
      <w:tr w:rsidR="002B10F9" w:rsidRPr="00414345" w:rsidTr="002B10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47,170,964.74</w:t>
            </w:r>
          </w:p>
        </w:tc>
      </w:tr>
      <w:tr w:rsidR="002B10F9" w:rsidRPr="00414345" w:rsidTr="002B10F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083"/>
        <w:gridCol w:w="1009"/>
      </w:tblGrid>
      <w:tr w:rsidR="00EF6FA5" w:rsidRPr="00414345" w:rsidTr="008A6976">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14D1D" w:rsidTr="008A6976">
        <w:trPr>
          <w:jc w:val="center"/>
        </w:trPr>
        <w:tc>
          <w:tcPr>
            <w:tcW w:w="1701" w:type="dxa"/>
            <w:vAlign w:val="center"/>
          </w:tcPr>
          <w:p w:rsidR="00C14D1D" w:rsidRDefault="002B10F9">
            <w:pPr>
              <w:jc w:val="left"/>
            </w:pPr>
            <w:r>
              <w:rPr>
                <w:color w:val="000000"/>
                <w:sz w:val="24"/>
                <w:szCs w:val="24"/>
              </w:rPr>
              <w:t>过去三个月</w:t>
            </w:r>
          </w:p>
        </w:tc>
        <w:tc>
          <w:tcPr>
            <w:tcW w:w="1045" w:type="dxa"/>
            <w:vAlign w:val="center"/>
          </w:tcPr>
          <w:p w:rsidR="00C14D1D" w:rsidRDefault="002B10F9">
            <w:pPr>
              <w:jc w:val="center"/>
            </w:pPr>
            <w:r>
              <w:rPr>
                <w:color w:val="000000"/>
                <w:sz w:val="24"/>
                <w:szCs w:val="24"/>
              </w:rPr>
              <w:t>-2.73%</w:t>
            </w:r>
          </w:p>
        </w:tc>
        <w:tc>
          <w:tcPr>
            <w:tcW w:w="1344" w:type="dxa"/>
            <w:vAlign w:val="center"/>
          </w:tcPr>
          <w:p w:rsidR="00C14D1D" w:rsidRDefault="002B10F9">
            <w:pPr>
              <w:jc w:val="center"/>
            </w:pPr>
            <w:r>
              <w:rPr>
                <w:color w:val="000000"/>
                <w:sz w:val="24"/>
                <w:szCs w:val="24"/>
              </w:rPr>
              <w:t>0.26%</w:t>
            </w:r>
          </w:p>
        </w:tc>
        <w:tc>
          <w:tcPr>
            <w:tcW w:w="1194" w:type="dxa"/>
            <w:vAlign w:val="center"/>
          </w:tcPr>
          <w:p w:rsidR="00C14D1D" w:rsidRDefault="002B10F9">
            <w:pPr>
              <w:jc w:val="center"/>
            </w:pPr>
            <w:r>
              <w:rPr>
                <w:color w:val="000000"/>
                <w:sz w:val="24"/>
                <w:szCs w:val="24"/>
              </w:rPr>
              <w:t>-6.54%</w:t>
            </w:r>
          </w:p>
        </w:tc>
        <w:tc>
          <w:tcPr>
            <w:tcW w:w="1492" w:type="dxa"/>
            <w:vAlign w:val="center"/>
          </w:tcPr>
          <w:p w:rsidR="00C14D1D" w:rsidRDefault="002B10F9">
            <w:pPr>
              <w:jc w:val="center"/>
            </w:pPr>
            <w:r>
              <w:rPr>
                <w:color w:val="000000"/>
                <w:sz w:val="24"/>
                <w:szCs w:val="24"/>
              </w:rPr>
              <w:t>0.99%</w:t>
            </w:r>
          </w:p>
        </w:tc>
        <w:tc>
          <w:tcPr>
            <w:tcW w:w="1083" w:type="dxa"/>
            <w:vAlign w:val="center"/>
          </w:tcPr>
          <w:p w:rsidR="00C14D1D" w:rsidRDefault="002B10F9">
            <w:pPr>
              <w:jc w:val="center"/>
            </w:pPr>
            <w:r>
              <w:rPr>
                <w:color w:val="000000"/>
                <w:sz w:val="24"/>
                <w:szCs w:val="24"/>
              </w:rPr>
              <w:t>3.81%</w:t>
            </w:r>
          </w:p>
        </w:tc>
        <w:tc>
          <w:tcPr>
            <w:tcW w:w="1009" w:type="dxa"/>
            <w:vAlign w:val="center"/>
          </w:tcPr>
          <w:p w:rsidR="00C14D1D" w:rsidRDefault="002B10F9">
            <w:pPr>
              <w:jc w:val="center"/>
            </w:pPr>
            <w:r>
              <w:rPr>
                <w:color w:val="000000"/>
                <w:sz w:val="24"/>
                <w:szCs w:val="24"/>
              </w:rPr>
              <w:t>-0.73%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上投摩根尚睿混合型基金中基金</w:t>
      </w:r>
      <w:r w:rsidRPr="00414345">
        <w:rPr>
          <w:color w:val="000000"/>
          <w:sz w:val="24"/>
          <w:szCs w:val="24"/>
        </w:rPr>
        <w:t>(FOF)</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C14D1D" w:rsidRDefault="002B10F9">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日，截至报告期末本基金合同生效未满一年。</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本基金建仓期自</w:t>
      </w:r>
      <w:r w:rsidRPr="00414345">
        <w:rPr>
          <w:color w:val="000000"/>
          <w:sz w:val="24"/>
          <w:szCs w:val="24"/>
        </w:rPr>
        <w:t>2018</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15</w:t>
      </w:r>
      <w:r w:rsidRPr="00414345">
        <w:rPr>
          <w:color w:val="000000"/>
          <w:sz w:val="24"/>
          <w:szCs w:val="24"/>
        </w:rPr>
        <w:t>日至</w:t>
      </w:r>
      <w:r w:rsidRPr="00414345">
        <w:rPr>
          <w:color w:val="000000"/>
          <w:sz w:val="24"/>
          <w:szCs w:val="24"/>
        </w:rPr>
        <w:t>2019</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14</w:t>
      </w:r>
      <w:r w:rsidRPr="00414345">
        <w:rPr>
          <w:color w:val="000000"/>
          <w:sz w:val="24"/>
          <w:szCs w:val="24"/>
        </w:rPr>
        <w:t>日，本基金报告期内仍处于建仓期。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4204A">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14D1D">
        <w:trPr>
          <w:jc w:val="center"/>
        </w:trPr>
        <w:tc>
          <w:tcPr>
            <w:tcW w:w="846" w:type="dxa"/>
            <w:vAlign w:val="center"/>
          </w:tcPr>
          <w:p w:rsidR="00C14D1D" w:rsidRDefault="002B10F9">
            <w:pPr>
              <w:jc w:val="center"/>
            </w:pPr>
            <w:proofErr w:type="gramStart"/>
            <w:r>
              <w:rPr>
                <w:color w:val="000000"/>
                <w:sz w:val="24"/>
                <w:szCs w:val="24"/>
              </w:rPr>
              <w:t>孟鸣</w:t>
            </w:r>
            <w:proofErr w:type="gramEnd"/>
          </w:p>
        </w:tc>
        <w:tc>
          <w:tcPr>
            <w:tcW w:w="845" w:type="dxa"/>
            <w:vAlign w:val="center"/>
          </w:tcPr>
          <w:p w:rsidR="00C14D1D" w:rsidRDefault="002B10F9">
            <w:pPr>
              <w:jc w:val="center"/>
            </w:pPr>
            <w:r>
              <w:rPr>
                <w:color w:val="000000"/>
                <w:sz w:val="24"/>
                <w:szCs w:val="24"/>
              </w:rPr>
              <w:t>本</w:t>
            </w:r>
            <w:proofErr w:type="gramStart"/>
            <w:r>
              <w:rPr>
                <w:color w:val="000000"/>
                <w:sz w:val="24"/>
                <w:szCs w:val="24"/>
              </w:rPr>
              <w:t>基金基金</w:t>
            </w:r>
            <w:proofErr w:type="gramEnd"/>
            <w:r>
              <w:rPr>
                <w:color w:val="000000"/>
                <w:sz w:val="24"/>
                <w:szCs w:val="24"/>
              </w:rPr>
              <w:t>经理</w:t>
            </w:r>
          </w:p>
        </w:tc>
        <w:tc>
          <w:tcPr>
            <w:tcW w:w="1549" w:type="dxa"/>
            <w:vAlign w:val="center"/>
          </w:tcPr>
          <w:p w:rsidR="00C14D1D" w:rsidRDefault="002B10F9">
            <w:pPr>
              <w:jc w:val="center"/>
            </w:pPr>
            <w:r>
              <w:rPr>
                <w:color w:val="000000"/>
                <w:sz w:val="24"/>
                <w:szCs w:val="24"/>
              </w:rPr>
              <w:t>2018-08-15</w:t>
            </w:r>
          </w:p>
        </w:tc>
        <w:tc>
          <w:tcPr>
            <w:tcW w:w="1548" w:type="dxa"/>
            <w:vAlign w:val="center"/>
          </w:tcPr>
          <w:p w:rsidR="00C14D1D" w:rsidRDefault="002B10F9">
            <w:pPr>
              <w:jc w:val="center"/>
            </w:pPr>
            <w:r>
              <w:rPr>
                <w:color w:val="000000"/>
                <w:sz w:val="24"/>
                <w:szCs w:val="24"/>
              </w:rPr>
              <w:t>-</w:t>
            </w:r>
          </w:p>
        </w:tc>
        <w:tc>
          <w:tcPr>
            <w:tcW w:w="1407" w:type="dxa"/>
            <w:vAlign w:val="center"/>
          </w:tcPr>
          <w:p w:rsidR="00C14D1D" w:rsidRDefault="002B10F9">
            <w:pPr>
              <w:jc w:val="center"/>
            </w:pPr>
            <w:r>
              <w:rPr>
                <w:color w:val="000000"/>
                <w:sz w:val="24"/>
                <w:szCs w:val="24"/>
              </w:rPr>
              <w:t>5</w:t>
            </w:r>
            <w:r>
              <w:rPr>
                <w:color w:val="000000"/>
                <w:sz w:val="24"/>
                <w:szCs w:val="24"/>
              </w:rPr>
              <w:t>年</w:t>
            </w:r>
          </w:p>
        </w:tc>
        <w:tc>
          <w:tcPr>
            <w:tcW w:w="2673" w:type="dxa"/>
            <w:vAlign w:val="center"/>
          </w:tcPr>
          <w:p w:rsidR="00C14D1D" w:rsidRDefault="002B10F9">
            <w:r>
              <w:rPr>
                <w:color w:val="000000"/>
                <w:sz w:val="24"/>
                <w:szCs w:val="24"/>
              </w:rPr>
              <w:t>孟鸣先生，上海外国语大学日本文化经济本科。自</w:t>
            </w:r>
            <w:r>
              <w:rPr>
                <w:color w:val="000000"/>
                <w:sz w:val="24"/>
                <w:szCs w:val="24"/>
              </w:rPr>
              <w:t>2001</w:t>
            </w:r>
            <w:r>
              <w:rPr>
                <w:color w:val="000000"/>
                <w:sz w:val="24"/>
                <w:szCs w:val="24"/>
              </w:rPr>
              <w:t>年</w:t>
            </w:r>
            <w:r>
              <w:rPr>
                <w:color w:val="000000"/>
                <w:sz w:val="24"/>
                <w:szCs w:val="24"/>
              </w:rPr>
              <w:t>6</w:t>
            </w:r>
            <w:r>
              <w:rPr>
                <w:color w:val="000000"/>
                <w:sz w:val="24"/>
                <w:szCs w:val="24"/>
              </w:rPr>
              <w:t>月至</w:t>
            </w:r>
            <w:r>
              <w:rPr>
                <w:color w:val="000000"/>
                <w:sz w:val="24"/>
                <w:szCs w:val="24"/>
              </w:rPr>
              <w:t>2003</w:t>
            </w:r>
            <w:r>
              <w:rPr>
                <w:color w:val="000000"/>
                <w:sz w:val="24"/>
                <w:szCs w:val="24"/>
              </w:rPr>
              <w:t>年</w:t>
            </w:r>
            <w:r>
              <w:rPr>
                <w:color w:val="000000"/>
                <w:sz w:val="24"/>
                <w:szCs w:val="24"/>
              </w:rPr>
              <w:t>7</w:t>
            </w:r>
            <w:r>
              <w:rPr>
                <w:color w:val="000000"/>
                <w:sz w:val="24"/>
                <w:szCs w:val="24"/>
              </w:rPr>
              <w:t>月，在三菱</w:t>
            </w:r>
            <w:r>
              <w:rPr>
                <w:color w:val="000000"/>
                <w:sz w:val="24"/>
                <w:szCs w:val="24"/>
              </w:rPr>
              <w:t>UFJ</w:t>
            </w:r>
            <w:r>
              <w:rPr>
                <w:color w:val="000000"/>
                <w:sz w:val="24"/>
                <w:szCs w:val="24"/>
              </w:rPr>
              <w:t>银行担任职员；自</w:t>
            </w:r>
            <w:r>
              <w:rPr>
                <w:color w:val="000000"/>
                <w:sz w:val="24"/>
                <w:szCs w:val="24"/>
              </w:rPr>
              <w:t>2003</w:t>
            </w:r>
            <w:r>
              <w:rPr>
                <w:color w:val="000000"/>
                <w:sz w:val="24"/>
                <w:szCs w:val="24"/>
              </w:rPr>
              <w:t>年</w:t>
            </w:r>
            <w:r>
              <w:rPr>
                <w:color w:val="000000"/>
                <w:sz w:val="24"/>
                <w:szCs w:val="24"/>
              </w:rPr>
              <w:t>8</w:t>
            </w:r>
            <w:r>
              <w:rPr>
                <w:color w:val="000000"/>
                <w:sz w:val="24"/>
                <w:szCs w:val="24"/>
              </w:rPr>
              <w:t>月至</w:t>
            </w:r>
            <w:r>
              <w:rPr>
                <w:color w:val="000000"/>
                <w:sz w:val="24"/>
                <w:szCs w:val="24"/>
              </w:rPr>
              <w:t>2004</w:t>
            </w:r>
            <w:r>
              <w:rPr>
                <w:color w:val="000000"/>
                <w:sz w:val="24"/>
                <w:szCs w:val="24"/>
              </w:rPr>
              <w:t>年</w:t>
            </w:r>
            <w:r>
              <w:rPr>
                <w:color w:val="000000"/>
                <w:sz w:val="24"/>
                <w:szCs w:val="24"/>
              </w:rPr>
              <w:t>10</w:t>
            </w:r>
            <w:r>
              <w:rPr>
                <w:color w:val="000000"/>
                <w:sz w:val="24"/>
                <w:szCs w:val="24"/>
              </w:rPr>
              <w:t>月，在麦肯光明传播集团担任客户经理；自</w:t>
            </w:r>
            <w:r>
              <w:rPr>
                <w:color w:val="000000"/>
                <w:sz w:val="24"/>
                <w:szCs w:val="24"/>
              </w:rPr>
              <w:t>2004</w:t>
            </w:r>
            <w:r>
              <w:rPr>
                <w:color w:val="000000"/>
                <w:sz w:val="24"/>
                <w:szCs w:val="24"/>
              </w:rPr>
              <w:t>年</w:t>
            </w:r>
            <w:r>
              <w:rPr>
                <w:color w:val="000000"/>
                <w:sz w:val="24"/>
                <w:szCs w:val="24"/>
              </w:rPr>
              <w:t>10</w:t>
            </w:r>
            <w:r>
              <w:rPr>
                <w:color w:val="000000"/>
                <w:sz w:val="24"/>
                <w:szCs w:val="24"/>
              </w:rPr>
              <w:t>月加入埃森哲，</w:t>
            </w:r>
            <w:r>
              <w:rPr>
                <w:color w:val="000000"/>
                <w:sz w:val="24"/>
                <w:szCs w:val="24"/>
              </w:rPr>
              <w:t>2004</w:t>
            </w:r>
            <w:r>
              <w:rPr>
                <w:color w:val="000000"/>
                <w:sz w:val="24"/>
                <w:szCs w:val="24"/>
              </w:rPr>
              <w:t>年</w:t>
            </w:r>
            <w:r>
              <w:rPr>
                <w:color w:val="000000"/>
                <w:sz w:val="24"/>
                <w:szCs w:val="24"/>
              </w:rPr>
              <w:t>10</w:t>
            </w:r>
            <w:r>
              <w:rPr>
                <w:color w:val="000000"/>
                <w:sz w:val="24"/>
                <w:szCs w:val="24"/>
              </w:rPr>
              <w:t>月至</w:t>
            </w:r>
            <w:r>
              <w:rPr>
                <w:color w:val="000000"/>
                <w:sz w:val="24"/>
                <w:szCs w:val="24"/>
              </w:rPr>
              <w:t>2006</w:t>
            </w:r>
            <w:r>
              <w:rPr>
                <w:color w:val="000000"/>
                <w:sz w:val="24"/>
                <w:szCs w:val="24"/>
              </w:rPr>
              <w:t>年</w:t>
            </w:r>
            <w:r>
              <w:rPr>
                <w:color w:val="000000"/>
                <w:sz w:val="24"/>
                <w:szCs w:val="24"/>
              </w:rPr>
              <w:t>8</w:t>
            </w:r>
            <w:r>
              <w:rPr>
                <w:color w:val="000000"/>
                <w:sz w:val="24"/>
                <w:szCs w:val="24"/>
              </w:rPr>
              <w:t>月，由埃森</w:t>
            </w:r>
            <w:proofErr w:type="gramStart"/>
            <w:r>
              <w:rPr>
                <w:color w:val="000000"/>
                <w:sz w:val="24"/>
                <w:szCs w:val="24"/>
              </w:rPr>
              <w:t>哲</w:t>
            </w:r>
            <w:proofErr w:type="gramEnd"/>
            <w:r>
              <w:rPr>
                <w:color w:val="000000"/>
                <w:sz w:val="24"/>
                <w:szCs w:val="24"/>
              </w:rPr>
              <w:t>派出为美国证券托管清算机构服务，</w:t>
            </w:r>
            <w:r>
              <w:rPr>
                <w:color w:val="000000"/>
                <w:sz w:val="24"/>
                <w:szCs w:val="24"/>
              </w:rPr>
              <w:lastRenderedPageBreak/>
              <w:t>担任金融信息咨询部研究组长；自</w:t>
            </w:r>
            <w:r>
              <w:rPr>
                <w:color w:val="000000"/>
                <w:sz w:val="24"/>
                <w:szCs w:val="24"/>
              </w:rPr>
              <w:t>2006</w:t>
            </w:r>
            <w:r>
              <w:rPr>
                <w:color w:val="000000"/>
                <w:sz w:val="24"/>
                <w:szCs w:val="24"/>
              </w:rPr>
              <w:t>年</w:t>
            </w:r>
            <w:r>
              <w:rPr>
                <w:color w:val="000000"/>
                <w:sz w:val="24"/>
                <w:szCs w:val="24"/>
              </w:rPr>
              <w:t>9</w:t>
            </w:r>
            <w:r>
              <w:rPr>
                <w:color w:val="000000"/>
                <w:sz w:val="24"/>
                <w:szCs w:val="24"/>
              </w:rPr>
              <w:t>月到</w:t>
            </w:r>
            <w:r>
              <w:rPr>
                <w:color w:val="000000"/>
                <w:sz w:val="24"/>
                <w:szCs w:val="24"/>
              </w:rPr>
              <w:t>2015</w:t>
            </w:r>
            <w:r>
              <w:rPr>
                <w:color w:val="000000"/>
                <w:sz w:val="24"/>
                <w:szCs w:val="24"/>
              </w:rPr>
              <w:t>年</w:t>
            </w:r>
            <w:r>
              <w:rPr>
                <w:color w:val="000000"/>
                <w:sz w:val="24"/>
                <w:szCs w:val="24"/>
              </w:rPr>
              <w:t>1</w:t>
            </w:r>
            <w:r>
              <w:rPr>
                <w:color w:val="000000"/>
                <w:sz w:val="24"/>
                <w:szCs w:val="24"/>
              </w:rPr>
              <w:t>月，服务于德意志银行股票研究团队，担任证券研究</w:t>
            </w:r>
            <w:proofErr w:type="gramStart"/>
            <w:r>
              <w:rPr>
                <w:color w:val="000000"/>
                <w:sz w:val="24"/>
                <w:szCs w:val="24"/>
              </w:rPr>
              <w:t>部</w:t>
            </w:r>
            <w:proofErr w:type="gramEnd"/>
            <w:r>
              <w:rPr>
                <w:color w:val="000000"/>
                <w:sz w:val="24"/>
                <w:szCs w:val="24"/>
              </w:rPr>
              <w:t>部门负责人，其间由于合同关系变更，</w:t>
            </w:r>
            <w:r>
              <w:rPr>
                <w:color w:val="000000"/>
                <w:sz w:val="24"/>
                <w:szCs w:val="24"/>
              </w:rPr>
              <w:t>2013</w:t>
            </w:r>
            <w:r>
              <w:rPr>
                <w:color w:val="000000"/>
                <w:sz w:val="24"/>
                <w:szCs w:val="24"/>
              </w:rPr>
              <w:t>年</w:t>
            </w:r>
            <w:r>
              <w:rPr>
                <w:color w:val="000000"/>
                <w:sz w:val="24"/>
                <w:szCs w:val="24"/>
              </w:rPr>
              <w:t>11</w:t>
            </w:r>
            <w:r>
              <w:rPr>
                <w:color w:val="000000"/>
                <w:sz w:val="24"/>
                <w:szCs w:val="24"/>
              </w:rPr>
              <w:t>月至</w:t>
            </w:r>
            <w:r>
              <w:rPr>
                <w:color w:val="000000"/>
                <w:sz w:val="24"/>
                <w:szCs w:val="24"/>
              </w:rPr>
              <w:t>2015</w:t>
            </w:r>
            <w:r>
              <w:rPr>
                <w:color w:val="000000"/>
                <w:sz w:val="24"/>
                <w:szCs w:val="24"/>
              </w:rPr>
              <w:t>年</w:t>
            </w:r>
            <w:r>
              <w:rPr>
                <w:color w:val="000000"/>
                <w:sz w:val="24"/>
                <w:szCs w:val="24"/>
              </w:rPr>
              <w:t>1</w:t>
            </w:r>
            <w:r>
              <w:rPr>
                <w:color w:val="000000"/>
                <w:sz w:val="24"/>
                <w:szCs w:val="24"/>
              </w:rPr>
              <w:t>月受雇于</w:t>
            </w:r>
            <w:proofErr w:type="gramStart"/>
            <w:r>
              <w:rPr>
                <w:color w:val="000000"/>
                <w:sz w:val="24"/>
                <w:szCs w:val="24"/>
              </w:rPr>
              <w:t>易唯思</w:t>
            </w:r>
            <w:proofErr w:type="gramEnd"/>
            <w:r>
              <w:rPr>
                <w:color w:val="000000"/>
                <w:sz w:val="24"/>
                <w:szCs w:val="24"/>
              </w:rPr>
              <w:t>商务咨询；自</w:t>
            </w:r>
            <w:r>
              <w:rPr>
                <w:color w:val="000000"/>
                <w:sz w:val="24"/>
                <w:szCs w:val="24"/>
              </w:rPr>
              <w:t>2015</w:t>
            </w:r>
            <w:r>
              <w:rPr>
                <w:color w:val="000000"/>
                <w:sz w:val="24"/>
                <w:szCs w:val="24"/>
              </w:rPr>
              <w:t>年</w:t>
            </w:r>
            <w:r>
              <w:rPr>
                <w:color w:val="000000"/>
                <w:sz w:val="24"/>
                <w:szCs w:val="24"/>
              </w:rPr>
              <w:t>1</w:t>
            </w:r>
            <w:r>
              <w:rPr>
                <w:color w:val="000000"/>
                <w:sz w:val="24"/>
                <w:szCs w:val="24"/>
              </w:rPr>
              <w:t>月起加入上投摩根基金管理有限公司，历任公司高级投资组合经理，现担任资深投资组合经理；自</w:t>
            </w:r>
            <w:r>
              <w:rPr>
                <w:color w:val="000000"/>
                <w:sz w:val="24"/>
                <w:szCs w:val="24"/>
              </w:rPr>
              <w:t>2018</w:t>
            </w:r>
            <w:r>
              <w:rPr>
                <w:color w:val="000000"/>
                <w:sz w:val="24"/>
                <w:szCs w:val="24"/>
              </w:rPr>
              <w:t>年</w:t>
            </w:r>
            <w:r>
              <w:rPr>
                <w:color w:val="000000"/>
                <w:sz w:val="24"/>
                <w:szCs w:val="24"/>
              </w:rPr>
              <w:t>8</w:t>
            </w:r>
            <w:r>
              <w:rPr>
                <w:color w:val="000000"/>
                <w:sz w:val="24"/>
                <w:szCs w:val="24"/>
              </w:rPr>
              <w:t>月起担任上投摩根尚睿混合型基金中基金（</w:t>
            </w:r>
            <w:r>
              <w:rPr>
                <w:color w:val="000000"/>
                <w:sz w:val="24"/>
                <w:szCs w:val="24"/>
              </w:rPr>
              <w:t>FOF</w:t>
            </w:r>
            <w:r>
              <w:rPr>
                <w:color w:val="000000"/>
                <w:sz w:val="24"/>
                <w:szCs w:val="24"/>
              </w:rPr>
              <w:t>）基金经理。</w:t>
            </w:r>
          </w:p>
        </w:tc>
      </w:tr>
      <w:tr w:rsidR="00C14D1D">
        <w:trPr>
          <w:jc w:val="center"/>
        </w:trPr>
        <w:tc>
          <w:tcPr>
            <w:tcW w:w="846" w:type="dxa"/>
            <w:vAlign w:val="center"/>
          </w:tcPr>
          <w:p w:rsidR="00C14D1D" w:rsidRDefault="002B10F9">
            <w:pPr>
              <w:jc w:val="center"/>
            </w:pPr>
            <w:r>
              <w:rPr>
                <w:color w:val="000000"/>
                <w:sz w:val="24"/>
                <w:szCs w:val="24"/>
              </w:rPr>
              <w:lastRenderedPageBreak/>
              <w:t>刘凌云</w:t>
            </w:r>
          </w:p>
        </w:tc>
        <w:tc>
          <w:tcPr>
            <w:tcW w:w="845" w:type="dxa"/>
            <w:vAlign w:val="center"/>
          </w:tcPr>
          <w:p w:rsidR="00C14D1D" w:rsidRDefault="002B10F9">
            <w:pPr>
              <w:jc w:val="center"/>
            </w:pPr>
            <w:r>
              <w:rPr>
                <w:color w:val="000000"/>
                <w:sz w:val="24"/>
                <w:szCs w:val="24"/>
              </w:rPr>
              <w:t>本</w:t>
            </w:r>
            <w:proofErr w:type="gramStart"/>
            <w:r>
              <w:rPr>
                <w:color w:val="000000"/>
                <w:sz w:val="24"/>
                <w:szCs w:val="24"/>
              </w:rPr>
              <w:t>基金基金</w:t>
            </w:r>
            <w:proofErr w:type="gramEnd"/>
            <w:r>
              <w:rPr>
                <w:color w:val="000000"/>
                <w:sz w:val="24"/>
                <w:szCs w:val="24"/>
              </w:rPr>
              <w:t>经理</w:t>
            </w:r>
          </w:p>
        </w:tc>
        <w:tc>
          <w:tcPr>
            <w:tcW w:w="1549" w:type="dxa"/>
            <w:vAlign w:val="center"/>
          </w:tcPr>
          <w:p w:rsidR="00C14D1D" w:rsidRDefault="002B10F9">
            <w:pPr>
              <w:jc w:val="center"/>
            </w:pPr>
            <w:r>
              <w:rPr>
                <w:color w:val="000000"/>
                <w:sz w:val="24"/>
                <w:szCs w:val="24"/>
              </w:rPr>
              <w:t>2018-08-15</w:t>
            </w:r>
          </w:p>
        </w:tc>
        <w:tc>
          <w:tcPr>
            <w:tcW w:w="1548" w:type="dxa"/>
            <w:vAlign w:val="center"/>
          </w:tcPr>
          <w:p w:rsidR="00C14D1D" w:rsidRDefault="002B10F9">
            <w:pPr>
              <w:jc w:val="center"/>
            </w:pPr>
            <w:r>
              <w:rPr>
                <w:color w:val="000000"/>
                <w:sz w:val="24"/>
                <w:szCs w:val="24"/>
              </w:rPr>
              <w:t>-</w:t>
            </w:r>
          </w:p>
        </w:tc>
        <w:tc>
          <w:tcPr>
            <w:tcW w:w="1407" w:type="dxa"/>
            <w:vAlign w:val="center"/>
          </w:tcPr>
          <w:p w:rsidR="00C14D1D" w:rsidRDefault="002B10F9">
            <w:pPr>
              <w:jc w:val="center"/>
            </w:pPr>
            <w:r>
              <w:rPr>
                <w:color w:val="000000"/>
                <w:sz w:val="24"/>
                <w:szCs w:val="24"/>
              </w:rPr>
              <w:t>11</w:t>
            </w:r>
            <w:r>
              <w:rPr>
                <w:color w:val="000000"/>
                <w:sz w:val="24"/>
                <w:szCs w:val="24"/>
              </w:rPr>
              <w:t>年</w:t>
            </w:r>
          </w:p>
        </w:tc>
        <w:tc>
          <w:tcPr>
            <w:tcW w:w="2673" w:type="dxa"/>
            <w:vAlign w:val="center"/>
          </w:tcPr>
          <w:p w:rsidR="00C14D1D" w:rsidRDefault="002B10F9">
            <w:r>
              <w:rPr>
                <w:color w:val="000000"/>
                <w:sz w:val="24"/>
                <w:szCs w:val="24"/>
              </w:rPr>
              <w:t>刘凌云女士，自</w:t>
            </w:r>
            <w:r>
              <w:rPr>
                <w:color w:val="000000"/>
                <w:sz w:val="24"/>
                <w:szCs w:val="24"/>
              </w:rPr>
              <w:t>2008</w:t>
            </w:r>
            <w:r>
              <w:rPr>
                <w:color w:val="000000"/>
                <w:sz w:val="24"/>
                <w:szCs w:val="24"/>
              </w:rPr>
              <w:t>年</w:t>
            </w:r>
            <w:r>
              <w:rPr>
                <w:color w:val="000000"/>
                <w:sz w:val="24"/>
                <w:szCs w:val="24"/>
              </w:rPr>
              <w:t>6</w:t>
            </w:r>
            <w:r>
              <w:rPr>
                <w:color w:val="000000"/>
                <w:sz w:val="24"/>
                <w:szCs w:val="24"/>
              </w:rPr>
              <w:t>月至</w:t>
            </w:r>
            <w:r>
              <w:rPr>
                <w:color w:val="000000"/>
                <w:sz w:val="24"/>
                <w:szCs w:val="24"/>
              </w:rPr>
              <w:t>2009</w:t>
            </w:r>
            <w:r>
              <w:rPr>
                <w:color w:val="000000"/>
                <w:sz w:val="24"/>
                <w:szCs w:val="24"/>
              </w:rPr>
              <w:t>年</w:t>
            </w:r>
            <w:r>
              <w:rPr>
                <w:color w:val="000000"/>
                <w:sz w:val="24"/>
                <w:szCs w:val="24"/>
              </w:rPr>
              <w:t>7</w:t>
            </w:r>
            <w:r>
              <w:rPr>
                <w:color w:val="000000"/>
                <w:sz w:val="24"/>
                <w:szCs w:val="24"/>
              </w:rPr>
              <w:t>月，在中</w:t>
            </w:r>
            <w:proofErr w:type="gramStart"/>
            <w:r>
              <w:rPr>
                <w:color w:val="000000"/>
                <w:sz w:val="24"/>
                <w:szCs w:val="24"/>
              </w:rPr>
              <w:t>海基金</w:t>
            </w:r>
            <w:proofErr w:type="gramEnd"/>
            <w:r>
              <w:rPr>
                <w:color w:val="000000"/>
                <w:sz w:val="24"/>
                <w:szCs w:val="24"/>
              </w:rPr>
              <w:t>管理有限公司担任产品研发经理，负责策略及产品设计；自</w:t>
            </w:r>
            <w:r>
              <w:rPr>
                <w:color w:val="000000"/>
                <w:sz w:val="24"/>
                <w:szCs w:val="24"/>
              </w:rPr>
              <w:t>2009</w:t>
            </w:r>
            <w:r>
              <w:rPr>
                <w:color w:val="000000"/>
                <w:sz w:val="24"/>
                <w:szCs w:val="24"/>
              </w:rPr>
              <w:t>年</w:t>
            </w:r>
            <w:r>
              <w:rPr>
                <w:color w:val="000000"/>
                <w:sz w:val="24"/>
                <w:szCs w:val="24"/>
              </w:rPr>
              <w:t>7</w:t>
            </w:r>
            <w:r>
              <w:rPr>
                <w:color w:val="000000"/>
                <w:sz w:val="24"/>
                <w:szCs w:val="24"/>
              </w:rPr>
              <w:t>月起加入上投摩根基金管理有限公司，历任产品经理、高级投资组合经理、客户投资组合总监、组合基金投资部总监；自</w:t>
            </w:r>
            <w:r>
              <w:rPr>
                <w:color w:val="000000"/>
                <w:sz w:val="24"/>
                <w:szCs w:val="24"/>
              </w:rPr>
              <w:t>2018</w:t>
            </w:r>
            <w:r>
              <w:rPr>
                <w:color w:val="000000"/>
                <w:sz w:val="24"/>
                <w:szCs w:val="24"/>
              </w:rPr>
              <w:t>年</w:t>
            </w:r>
            <w:r>
              <w:rPr>
                <w:color w:val="000000"/>
                <w:sz w:val="24"/>
                <w:szCs w:val="24"/>
              </w:rPr>
              <w:t>8</w:t>
            </w:r>
            <w:r>
              <w:rPr>
                <w:color w:val="000000"/>
                <w:sz w:val="24"/>
                <w:szCs w:val="24"/>
              </w:rPr>
              <w:t>月起担任上投摩根尚睿混合型基金中基金（</w:t>
            </w:r>
            <w:r>
              <w:rPr>
                <w:color w:val="000000"/>
                <w:sz w:val="24"/>
                <w:szCs w:val="24"/>
              </w:rPr>
              <w:t>FOF</w:t>
            </w:r>
            <w:r>
              <w:rPr>
                <w:color w:val="000000"/>
                <w:sz w:val="24"/>
                <w:szCs w:val="24"/>
              </w:rPr>
              <w:t>）基金经理。</w:t>
            </w:r>
          </w:p>
        </w:tc>
      </w:tr>
    </w:tbl>
    <w:p w:rsidR="00C14D1D" w:rsidRDefault="002B10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1. </w:t>
      </w:r>
      <w:r>
        <w:rPr>
          <w:color w:val="000000"/>
          <w:sz w:val="24"/>
          <w:szCs w:val="24"/>
        </w:rPr>
        <w:t>任职日期和离任日期均指根据公司决定确定的聘任日期和解聘日期。</w:t>
      </w:r>
    </w:p>
    <w:p w:rsidR="00C14D1D" w:rsidRDefault="002B10F9">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孟鸣先生</w:t>
      </w:r>
      <w:r>
        <w:rPr>
          <w:color w:val="000000"/>
          <w:sz w:val="24"/>
          <w:szCs w:val="24"/>
        </w:rPr>
        <w:t>,</w:t>
      </w:r>
      <w:r>
        <w:rPr>
          <w:color w:val="000000"/>
          <w:sz w:val="24"/>
          <w:szCs w:val="24"/>
        </w:rPr>
        <w:t>刘凌云女士为本基金</w:t>
      </w:r>
      <w:proofErr w:type="gramStart"/>
      <w:r>
        <w:rPr>
          <w:color w:val="000000"/>
          <w:sz w:val="24"/>
          <w:szCs w:val="24"/>
        </w:rPr>
        <w:t>首任基金</w:t>
      </w:r>
      <w:proofErr w:type="gramEnd"/>
      <w:r>
        <w:rPr>
          <w:color w:val="000000"/>
          <w:sz w:val="24"/>
          <w:szCs w:val="24"/>
        </w:rPr>
        <w:t>经理，其任职日期为本</w:t>
      </w:r>
      <w:proofErr w:type="gramStart"/>
      <w:r>
        <w:rPr>
          <w:color w:val="000000"/>
          <w:sz w:val="24"/>
          <w:szCs w:val="24"/>
        </w:rPr>
        <w:t>基金基金</w:t>
      </w:r>
      <w:proofErr w:type="gramEnd"/>
      <w:r>
        <w:rPr>
          <w:color w:val="000000"/>
          <w:sz w:val="24"/>
          <w:szCs w:val="24"/>
        </w:rPr>
        <w:t>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在本报告期内，基金管理人不存在损害基金份额持有人利益的行为，勤勉尽责地为基金份额持有人谋求利益。基金管理人遵守了《证券投资基金法》及其他有关法律法规、《上投摩根尚睿混合型基金中基金</w:t>
      </w:r>
      <w:r w:rsidRPr="00414345">
        <w:rPr>
          <w:color w:val="000000"/>
          <w:sz w:val="24"/>
          <w:szCs w:val="24"/>
        </w:rPr>
        <w:t>(FOF)</w:t>
      </w:r>
      <w:r w:rsidRPr="00414345">
        <w:rPr>
          <w:color w:val="000000"/>
          <w:sz w:val="24"/>
          <w:szCs w:val="24"/>
        </w:rPr>
        <w:t>基金合同》的规定。基金经理对个股和投资组合的比例遵循了投资决策委员会的授权限制，基金投资比例符合基金合同和法律法规的</w:t>
      </w:r>
      <w:r w:rsidRPr="00414345">
        <w:rPr>
          <w:color w:val="000000"/>
          <w:sz w:val="24"/>
          <w:szCs w:val="24"/>
        </w:rPr>
        <w:lastRenderedPageBreak/>
        <w:t>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14D1D" w:rsidRDefault="002B10F9">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14D1D" w:rsidRDefault="002B10F9">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C14D1D" w:rsidRDefault="002B10F9">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14D1D" w:rsidRDefault="002B10F9">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年四季度，国内经济增速下行压力凸显，库存周期进入被动补库存阶段，伴随</w:t>
      </w:r>
      <w:r>
        <w:rPr>
          <w:color w:val="000000"/>
          <w:sz w:val="24"/>
          <w:szCs w:val="24"/>
        </w:rPr>
        <w:t>PPI</w:t>
      </w:r>
      <w:r>
        <w:rPr>
          <w:color w:val="000000"/>
          <w:sz w:val="24"/>
          <w:szCs w:val="24"/>
        </w:rPr>
        <w:t>数据回落，企业盈利也如预期下降，工业企业利润增速于</w:t>
      </w:r>
      <w:r>
        <w:rPr>
          <w:color w:val="000000"/>
          <w:sz w:val="24"/>
          <w:szCs w:val="24"/>
        </w:rPr>
        <w:t>11</w:t>
      </w:r>
      <w:r>
        <w:rPr>
          <w:color w:val="000000"/>
          <w:sz w:val="24"/>
          <w:szCs w:val="24"/>
        </w:rPr>
        <w:t>月已出现单月负增长。国内宏观政策实施逆周期调节，货币政策逐步稳健，财政政策减税降费，以稳定经济增长。各大类资产维持</w:t>
      </w:r>
      <w:proofErr w:type="gramStart"/>
      <w:r>
        <w:rPr>
          <w:color w:val="000000"/>
          <w:sz w:val="24"/>
          <w:szCs w:val="24"/>
        </w:rPr>
        <w:t>债强股</w:t>
      </w:r>
      <w:proofErr w:type="gramEnd"/>
      <w:r>
        <w:rPr>
          <w:color w:val="000000"/>
          <w:sz w:val="24"/>
          <w:szCs w:val="24"/>
        </w:rPr>
        <w:t>弱、低风险资产好于高风险资产的格局，其中，</w:t>
      </w:r>
      <w:r>
        <w:rPr>
          <w:color w:val="000000"/>
          <w:sz w:val="24"/>
          <w:szCs w:val="24"/>
        </w:rPr>
        <w:t>A</w:t>
      </w:r>
      <w:r>
        <w:rPr>
          <w:color w:val="000000"/>
          <w:sz w:val="24"/>
          <w:szCs w:val="24"/>
        </w:rPr>
        <w:t>股市场出现较大调整，国内债券市场则表现较好，海外市场中美国股指和香港股指也出现较大回落，而具有避险功能的黄金价格表现最好，商品中原油价格调整幅度最大。四季度大类资产的表现依次为</w:t>
      </w:r>
      <w:r>
        <w:rPr>
          <w:color w:val="000000"/>
          <w:sz w:val="24"/>
          <w:szCs w:val="24"/>
        </w:rPr>
        <w:t xml:space="preserve"> </w:t>
      </w:r>
      <w:r>
        <w:rPr>
          <w:color w:val="000000"/>
          <w:sz w:val="24"/>
          <w:szCs w:val="24"/>
        </w:rPr>
        <w:t>黄金</w:t>
      </w:r>
      <w:r>
        <w:rPr>
          <w:color w:val="000000"/>
          <w:sz w:val="24"/>
          <w:szCs w:val="24"/>
        </w:rPr>
        <w:t xml:space="preserve">&gt; </w:t>
      </w:r>
      <w:r>
        <w:rPr>
          <w:color w:val="000000"/>
          <w:sz w:val="24"/>
          <w:szCs w:val="24"/>
        </w:rPr>
        <w:t>债券</w:t>
      </w:r>
      <w:r>
        <w:rPr>
          <w:color w:val="000000"/>
          <w:sz w:val="24"/>
          <w:szCs w:val="24"/>
        </w:rPr>
        <w:t xml:space="preserve"> &gt; </w:t>
      </w:r>
      <w:r>
        <w:rPr>
          <w:color w:val="000000"/>
          <w:sz w:val="24"/>
          <w:szCs w:val="24"/>
        </w:rPr>
        <w:t>现金</w:t>
      </w:r>
      <w:r>
        <w:rPr>
          <w:color w:val="000000"/>
          <w:sz w:val="24"/>
          <w:szCs w:val="24"/>
        </w:rPr>
        <w:t xml:space="preserve">&gt; </w:t>
      </w:r>
      <w:r>
        <w:rPr>
          <w:color w:val="000000"/>
          <w:sz w:val="24"/>
          <w:szCs w:val="24"/>
        </w:rPr>
        <w:t>股票</w:t>
      </w:r>
      <w:r>
        <w:rPr>
          <w:color w:val="000000"/>
          <w:sz w:val="24"/>
          <w:szCs w:val="24"/>
        </w:rPr>
        <w:t xml:space="preserve">&gt; </w:t>
      </w:r>
      <w:r>
        <w:rPr>
          <w:color w:val="000000"/>
          <w:sz w:val="24"/>
          <w:szCs w:val="24"/>
        </w:rPr>
        <w:t>商品（含原油）。</w:t>
      </w:r>
    </w:p>
    <w:p w:rsidR="00C14D1D" w:rsidRDefault="002B10F9">
      <w:pPr>
        <w:spacing w:before="29" w:line="288" w:lineRule="auto"/>
        <w:ind w:firstLineChars="200" w:firstLine="480"/>
        <w:rPr>
          <w:color w:val="000000"/>
          <w:sz w:val="24"/>
          <w:szCs w:val="24"/>
        </w:rPr>
      </w:pPr>
      <w:r>
        <w:rPr>
          <w:color w:val="000000"/>
          <w:sz w:val="24"/>
          <w:szCs w:val="24"/>
        </w:rPr>
        <w:t>本基金自</w:t>
      </w:r>
      <w:r>
        <w:rPr>
          <w:color w:val="000000"/>
          <w:sz w:val="24"/>
          <w:szCs w:val="24"/>
        </w:rPr>
        <w:t>8</w:t>
      </w:r>
      <w:r>
        <w:rPr>
          <w:color w:val="000000"/>
          <w:sz w:val="24"/>
          <w:szCs w:val="24"/>
        </w:rPr>
        <w:t>月建仓以来，考虑权益资产受宏观经济环境影响波动较大，对风险资产部位保持较为谨慎的建仓节奏，，并兼顾资产多元化和负相关性以降低组合波动性和回撤。截至</w:t>
      </w:r>
      <w:r>
        <w:rPr>
          <w:color w:val="000000"/>
          <w:sz w:val="24"/>
          <w:szCs w:val="24"/>
        </w:rPr>
        <w:t>12</w:t>
      </w:r>
      <w:r>
        <w:rPr>
          <w:color w:val="000000"/>
          <w:sz w:val="24"/>
          <w:szCs w:val="24"/>
        </w:rPr>
        <w:t>月底，组合以低风险资产和避险资产为主，并着重多元化配置。通过多元化配置和以低风险资产为主的建仓策略，在四季度跑</w:t>
      </w:r>
      <w:proofErr w:type="gramStart"/>
      <w:r>
        <w:rPr>
          <w:color w:val="000000"/>
          <w:sz w:val="24"/>
          <w:szCs w:val="24"/>
        </w:rPr>
        <w:t>赢业绩</w:t>
      </w:r>
      <w:proofErr w:type="gramEnd"/>
      <w:r>
        <w:rPr>
          <w:color w:val="000000"/>
          <w:sz w:val="24"/>
          <w:szCs w:val="24"/>
        </w:rPr>
        <w:t>基准，并将波动率和回撤控制在较低水平。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年一季度，中美经济周期由分化逐步收敛，全球发达市场经济降速，国</w:t>
      </w:r>
      <w:r w:rsidRPr="00414345">
        <w:rPr>
          <w:color w:val="000000"/>
          <w:sz w:val="24"/>
          <w:szCs w:val="24"/>
        </w:rPr>
        <w:lastRenderedPageBreak/>
        <w:t>内宏观经济增速下行压力将继续释放，国内库存周期进入主动去库存，而上市公司盈利下行、中美贸易谈判、美国经济预期下行等经济金融环境对风险资产仍有制约。这在大类资产配置上面，为债券等中低风险资产提供了较好表现的宏观环境。权益投资方面，国内货币政策与财政政策预计保持偏暖的整体环境，海外投资者也将继续提升对</w:t>
      </w:r>
      <w:r w:rsidRPr="00414345">
        <w:rPr>
          <w:color w:val="000000"/>
          <w:sz w:val="24"/>
          <w:szCs w:val="24"/>
        </w:rPr>
        <w:t>A</w:t>
      </w:r>
      <w:r w:rsidRPr="00414345">
        <w:rPr>
          <w:color w:val="000000"/>
          <w:sz w:val="24"/>
          <w:szCs w:val="24"/>
        </w:rPr>
        <w:t>股的配置，资金未来仍将持续流入</w:t>
      </w:r>
      <w:r w:rsidRPr="00414345">
        <w:rPr>
          <w:color w:val="000000"/>
          <w:sz w:val="24"/>
          <w:szCs w:val="24"/>
        </w:rPr>
        <w:t>A</w:t>
      </w:r>
      <w:r w:rsidRPr="00414345">
        <w:rPr>
          <w:color w:val="000000"/>
          <w:sz w:val="24"/>
          <w:szCs w:val="24"/>
        </w:rPr>
        <w:t>股。并且因</w:t>
      </w:r>
      <w:r w:rsidRPr="00414345">
        <w:rPr>
          <w:color w:val="000000"/>
          <w:sz w:val="24"/>
          <w:szCs w:val="24"/>
        </w:rPr>
        <w:t>2018</w:t>
      </w:r>
      <w:r w:rsidRPr="00414345">
        <w:rPr>
          <w:color w:val="000000"/>
          <w:sz w:val="24"/>
          <w:szCs w:val="24"/>
        </w:rPr>
        <w:t>年估值大幅下修</w:t>
      </w:r>
      <w:r w:rsidRPr="00414345">
        <w:rPr>
          <w:color w:val="000000"/>
          <w:sz w:val="24"/>
          <w:szCs w:val="24"/>
        </w:rPr>
        <w:t>A</w:t>
      </w:r>
      <w:r w:rsidRPr="00414345">
        <w:rPr>
          <w:color w:val="000000"/>
          <w:sz w:val="24"/>
          <w:szCs w:val="24"/>
        </w:rPr>
        <w:t>股已经处于中长期战略配置期，值得继续提升投资比例。战术上预计在一季度出现值得把握的春季反弹行情；海外美股经过四季度大幅调整不排除出现短期的企稳反弹，但经济增速趋缓对美股反弹形成较大制约。后续组合操作上，在</w:t>
      </w:r>
      <w:r w:rsidRPr="00414345">
        <w:rPr>
          <w:color w:val="000000"/>
          <w:sz w:val="24"/>
          <w:szCs w:val="24"/>
        </w:rPr>
        <w:t>A</w:t>
      </w:r>
      <w:r w:rsidRPr="00414345">
        <w:rPr>
          <w:color w:val="000000"/>
          <w:sz w:val="24"/>
          <w:szCs w:val="24"/>
        </w:rPr>
        <w:t>股</w:t>
      </w:r>
      <w:proofErr w:type="gramStart"/>
      <w:r w:rsidRPr="00414345">
        <w:rPr>
          <w:color w:val="000000"/>
          <w:sz w:val="24"/>
          <w:szCs w:val="24"/>
        </w:rPr>
        <w:t>继续磨底阶段</w:t>
      </w:r>
      <w:proofErr w:type="gramEnd"/>
      <w:r w:rsidRPr="00414345">
        <w:rPr>
          <w:color w:val="000000"/>
          <w:sz w:val="24"/>
          <w:szCs w:val="24"/>
        </w:rPr>
        <w:t>，本基金战略上将逐步提升权益组合的</w:t>
      </w:r>
      <w:proofErr w:type="gramStart"/>
      <w:r w:rsidRPr="00414345">
        <w:rPr>
          <w:color w:val="000000"/>
          <w:sz w:val="24"/>
          <w:szCs w:val="24"/>
        </w:rPr>
        <w:t>仓位</w:t>
      </w:r>
      <w:proofErr w:type="gramEnd"/>
      <w:r w:rsidRPr="00414345">
        <w:rPr>
          <w:color w:val="000000"/>
          <w:sz w:val="24"/>
          <w:szCs w:val="24"/>
        </w:rPr>
        <w:t>，并且考虑国内权益和其他风险资产之间的低相关性，保持风险资产的多样化和区域多元化；权益配置结构上，低</w:t>
      </w:r>
      <w:proofErr w:type="gramStart"/>
      <w:r w:rsidRPr="00414345">
        <w:rPr>
          <w:color w:val="000000"/>
          <w:sz w:val="24"/>
          <w:szCs w:val="24"/>
        </w:rPr>
        <w:t>配海外</w:t>
      </w:r>
      <w:proofErr w:type="gramEnd"/>
      <w:r w:rsidRPr="00414345">
        <w:rPr>
          <w:color w:val="000000"/>
          <w:sz w:val="24"/>
          <w:szCs w:val="24"/>
        </w:rPr>
        <w:t>而超配国内；黄金、债券、现金和短期流动性工具可以作为稳定</w:t>
      </w:r>
      <w:proofErr w:type="gramStart"/>
      <w:r w:rsidRPr="00414345">
        <w:rPr>
          <w:color w:val="000000"/>
          <w:sz w:val="24"/>
          <w:szCs w:val="24"/>
        </w:rPr>
        <w:t>器发挥</w:t>
      </w:r>
      <w:proofErr w:type="gramEnd"/>
      <w:r w:rsidRPr="00414345">
        <w:rPr>
          <w:color w:val="000000"/>
          <w:sz w:val="24"/>
          <w:szCs w:val="24"/>
        </w:rPr>
        <w:t>降低组合波动率、提高信息比率的作用。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本报告期本基金份额净值增长率为</w:t>
      </w:r>
      <w:r w:rsidRPr="00414345">
        <w:rPr>
          <w:color w:val="000000"/>
          <w:sz w:val="24"/>
          <w:szCs w:val="24"/>
        </w:rPr>
        <w:t>:-2.73%</w:t>
      </w:r>
      <w:r w:rsidRPr="00414345">
        <w:rPr>
          <w:color w:val="000000"/>
          <w:sz w:val="24"/>
          <w:szCs w:val="24"/>
        </w:rPr>
        <w:t>，同期业绩比较基准收益率为</w:t>
      </w:r>
      <w:r w:rsidRPr="00414345">
        <w:rPr>
          <w:color w:val="000000"/>
          <w:sz w:val="24"/>
          <w:szCs w:val="24"/>
        </w:rPr>
        <w:t>:-6.54%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4204A">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33,947,799.83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66.16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23.39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w:t>
            </w:r>
            <w:r w:rsidRPr="007B5F21">
              <w:rPr>
                <w:rFonts w:eastAsiaTheme="minorEastAsia"/>
                <w:color w:val="000000" w:themeColor="text1"/>
                <w:sz w:val="24"/>
                <w:szCs w:val="24"/>
              </w:rPr>
              <w:lastRenderedPageBreak/>
              <w:t>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5,329,434.27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10.39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30,594.44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51,307,828.54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2B10F9" w:rsidRDefault="002B10F9" w:rsidP="002B10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2B10F9" w:rsidRDefault="002B10F9" w:rsidP="002B10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958.35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1,039.10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15,426.68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11,670.26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1,500.05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30,594.44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w:t>
      </w:r>
      <w:r w:rsidRPr="00414345">
        <w:rPr>
          <w:color w:val="000000"/>
          <w:sz w:val="24"/>
          <w:szCs w:val="24"/>
        </w:rPr>
        <w:t>,</w:t>
      </w:r>
      <w:r w:rsidRPr="00414345">
        <w:rPr>
          <w:color w:val="000000"/>
          <w:sz w:val="24"/>
          <w:szCs w:val="24"/>
        </w:rPr>
        <w:t>投资组合报告中分项之和与合计可能存在尾差。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4204A">
      <w:pPr>
        <w:pStyle w:val="1"/>
        <w:spacing w:beforeLines="100" w:afterLines="100"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7"/>
        <w:tblW w:w="5000" w:type="pct"/>
        <w:tblLayout w:type="fixed"/>
        <w:tblLook w:val="04A0"/>
      </w:tblPr>
      <w:tblGrid>
        <w:gridCol w:w="835"/>
        <w:gridCol w:w="1159"/>
        <w:gridCol w:w="1161"/>
        <w:gridCol w:w="1065"/>
        <w:gridCol w:w="1257"/>
        <w:gridCol w:w="1305"/>
        <w:gridCol w:w="1161"/>
        <w:gridCol w:w="1299"/>
      </w:tblGrid>
      <w:tr w:rsidR="00523FB1" w:rsidRPr="00575270" w:rsidTr="001173C7">
        <w:tc>
          <w:tcPr>
            <w:tcW w:w="452" w:type="pct"/>
            <w:vAlign w:val="center"/>
          </w:tcPr>
          <w:p w:rsidR="00523FB1" w:rsidRPr="00575270" w:rsidRDefault="00523FB1" w:rsidP="00E50459">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523FB1" w:rsidRPr="00575270" w:rsidRDefault="00523FB1" w:rsidP="00E50459">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523FB1" w:rsidRPr="00575270" w:rsidRDefault="00523FB1" w:rsidP="00E50459">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576" w:type="pct"/>
            <w:vAlign w:val="center"/>
          </w:tcPr>
          <w:p w:rsidR="00523FB1" w:rsidRPr="00575270" w:rsidRDefault="00523FB1" w:rsidP="00E50459">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80" w:type="pct"/>
            <w:vAlign w:val="center"/>
          </w:tcPr>
          <w:p w:rsidR="00523FB1" w:rsidRPr="00575270" w:rsidRDefault="00523FB1" w:rsidP="00E50459">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523FB1" w:rsidRPr="00575270" w:rsidRDefault="00523FB1" w:rsidP="00E50459">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523FB1" w:rsidRPr="00575270" w:rsidRDefault="00523FB1" w:rsidP="00E50459">
            <w:pPr>
              <w:pStyle w:val="Default"/>
              <w:spacing w:line="276" w:lineRule="auto"/>
              <w:rPr>
                <w:rFonts w:ascii="Times New Roman" w:hAnsi="Times New Roman" w:cs="Times New Roman"/>
              </w:rPr>
            </w:pPr>
            <w:r w:rsidRPr="00575270">
              <w:rPr>
                <w:rFonts w:ascii="Times New Roman" w:hAnsi="Times New Roman" w:cs="Times New Roman"/>
              </w:rPr>
              <w:t>占基金资产净</w:t>
            </w:r>
            <w:r w:rsidRPr="00575270">
              <w:rPr>
                <w:rFonts w:ascii="Times New Roman" w:hAnsi="Times New Roman" w:cs="Times New Roman"/>
              </w:rPr>
              <w:lastRenderedPageBreak/>
              <w:t>值比例</w:t>
            </w:r>
          </w:p>
        </w:tc>
        <w:tc>
          <w:tcPr>
            <w:tcW w:w="704" w:type="pct"/>
            <w:vAlign w:val="center"/>
          </w:tcPr>
          <w:p w:rsidR="00523FB1" w:rsidRPr="00575270" w:rsidRDefault="00523FB1" w:rsidP="00E50459">
            <w:pPr>
              <w:pStyle w:val="Default"/>
              <w:spacing w:line="276" w:lineRule="auto"/>
              <w:rPr>
                <w:rFonts w:ascii="Times New Roman" w:hAnsi="Times New Roman" w:cs="Times New Roman"/>
              </w:rPr>
            </w:pPr>
            <w:r w:rsidRPr="00575270">
              <w:rPr>
                <w:rFonts w:ascii="Times New Roman" w:hAnsi="Times New Roman" w:cs="Times New Roman"/>
              </w:rPr>
              <w:lastRenderedPageBreak/>
              <w:t>是否属于基金管理</w:t>
            </w:r>
            <w:r w:rsidRPr="00575270">
              <w:rPr>
                <w:rFonts w:ascii="Times New Roman" w:hAnsi="Times New Roman" w:cs="Times New Roman"/>
              </w:rPr>
              <w:lastRenderedPageBreak/>
              <w:t>人及管理人关联方所管理的基金</w:t>
            </w:r>
          </w:p>
        </w:tc>
      </w:tr>
      <w:tr w:rsidR="00523FB1" w:rsidTr="001173C7">
        <w:tc>
          <w:tcPr>
            <w:tcW w:w="452" w:type="pct"/>
            <w:vAlign w:val="center"/>
          </w:tcPr>
          <w:p w:rsidR="00523FB1" w:rsidRDefault="00523FB1" w:rsidP="00E50459">
            <w:pPr>
              <w:jc w:val="center"/>
            </w:pPr>
            <w:r>
              <w:rPr>
                <w:sz w:val="24"/>
                <w:szCs w:val="24"/>
              </w:rPr>
              <w:lastRenderedPageBreak/>
              <w:t>1</w:t>
            </w:r>
          </w:p>
        </w:tc>
        <w:tc>
          <w:tcPr>
            <w:tcW w:w="627" w:type="pct"/>
            <w:vAlign w:val="center"/>
          </w:tcPr>
          <w:p w:rsidR="00523FB1" w:rsidRDefault="00523FB1" w:rsidP="00E50459">
            <w:pPr>
              <w:jc w:val="center"/>
            </w:pPr>
            <w:r>
              <w:rPr>
                <w:sz w:val="24"/>
                <w:szCs w:val="24"/>
              </w:rPr>
              <w:t>371020</w:t>
            </w:r>
          </w:p>
        </w:tc>
        <w:tc>
          <w:tcPr>
            <w:tcW w:w="628" w:type="pct"/>
            <w:vAlign w:val="center"/>
          </w:tcPr>
          <w:p w:rsidR="00523FB1" w:rsidRDefault="00523FB1" w:rsidP="00E50459">
            <w:pPr>
              <w:jc w:val="center"/>
            </w:pPr>
            <w:r>
              <w:rPr>
                <w:sz w:val="24"/>
                <w:szCs w:val="24"/>
              </w:rPr>
              <w:t>上投</w:t>
            </w:r>
            <w:proofErr w:type="gramStart"/>
            <w:r>
              <w:rPr>
                <w:sz w:val="24"/>
                <w:szCs w:val="24"/>
              </w:rPr>
              <w:t>摩根纯债债券</w:t>
            </w:r>
            <w:proofErr w:type="gramEnd"/>
            <w:r>
              <w:rPr>
                <w:sz w:val="24"/>
                <w:szCs w:val="24"/>
              </w:rPr>
              <w:t>型证券投资基金</w:t>
            </w:r>
            <w:r>
              <w:rPr>
                <w:sz w:val="24"/>
                <w:szCs w:val="24"/>
              </w:rPr>
              <w:t>A</w:t>
            </w:r>
          </w:p>
        </w:tc>
        <w:tc>
          <w:tcPr>
            <w:tcW w:w="576" w:type="pct"/>
            <w:vAlign w:val="center"/>
          </w:tcPr>
          <w:p w:rsidR="00523FB1" w:rsidRDefault="001173C7" w:rsidP="00E50459">
            <w:pPr>
              <w:jc w:val="center"/>
            </w:pPr>
            <w:r>
              <w:rPr>
                <w:rFonts w:hint="eastAsia"/>
                <w:sz w:val="24"/>
                <w:szCs w:val="24"/>
              </w:rPr>
              <w:t>契约型</w:t>
            </w:r>
            <w:r w:rsidR="00523FB1">
              <w:rPr>
                <w:sz w:val="24"/>
                <w:szCs w:val="24"/>
              </w:rPr>
              <w:t>开放式</w:t>
            </w:r>
          </w:p>
        </w:tc>
        <w:tc>
          <w:tcPr>
            <w:tcW w:w="680" w:type="pct"/>
            <w:vAlign w:val="center"/>
          </w:tcPr>
          <w:p w:rsidR="00523FB1" w:rsidRDefault="00523FB1" w:rsidP="00E50459">
            <w:pPr>
              <w:jc w:val="center"/>
            </w:pPr>
            <w:r>
              <w:rPr>
                <w:sz w:val="24"/>
                <w:szCs w:val="24"/>
              </w:rPr>
              <w:t>6,223,441.44</w:t>
            </w:r>
          </w:p>
        </w:tc>
        <w:tc>
          <w:tcPr>
            <w:tcW w:w="706" w:type="pct"/>
            <w:vAlign w:val="center"/>
          </w:tcPr>
          <w:p w:rsidR="00523FB1" w:rsidRDefault="00523FB1" w:rsidP="00E50459">
            <w:pPr>
              <w:jc w:val="center"/>
            </w:pPr>
            <w:r>
              <w:rPr>
                <w:sz w:val="24"/>
                <w:szCs w:val="24"/>
              </w:rPr>
              <w:t>7,748,184.59</w:t>
            </w:r>
          </w:p>
        </w:tc>
        <w:tc>
          <w:tcPr>
            <w:tcW w:w="628" w:type="pct"/>
            <w:vAlign w:val="center"/>
          </w:tcPr>
          <w:p w:rsidR="00523FB1" w:rsidRDefault="00523FB1" w:rsidP="00E50459">
            <w:pPr>
              <w:jc w:val="center"/>
            </w:pPr>
            <w:r>
              <w:rPr>
                <w:sz w:val="24"/>
                <w:szCs w:val="24"/>
              </w:rPr>
              <w:t>16.43%</w:t>
            </w:r>
          </w:p>
        </w:tc>
        <w:tc>
          <w:tcPr>
            <w:tcW w:w="704" w:type="pct"/>
            <w:vAlign w:val="center"/>
          </w:tcPr>
          <w:p w:rsidR="00523FB1" w:rsidRDefault="00523FB1" w:rsidP="00E50459">
            <w:pPr>
              <w:jc w:val="center"/>
            </w:pPr>
            <w:r>
              <w:rPr>
                <w:sz w:val="24"/>
                <w:szCs w:val="24"/>
              </w:rPr>
              <w:t>是</w:t>
            </w:r>
          </w:p>
        </w:tc>
      </w:tr>
      <w:tr w:rsidR="00523FB1" w:rsidTr="001173C7">
        <w:tc>
          <w:tcPr>
            <w:tcW w:w="452" w:type="pct"/>
            <w:vAlign w:val="center"/>
          </w:tcPr>
          <w:p w:rsidR="00523FB1" w:rsidRDefault="00523FB1" w:rsidP="00E50459">
            <w:pPr>
              <w:jc w:val="center"/>
            </w:pPr>
            <w:r>
              <w:rPr>
                <w:sz w:val="24"/>
                <w:szCs w:val="24"/>
              </w:rPr>
              <w:t>2</w:t>
            </w:r>
          </w:p>
        </w:tc>
        <w:tc>
          <w:tcPr>
            <w:tcW w:w="627" w:type="pct"/>
            <w:vAlign w:val="center"/>
          </w:tcPr>
          <w:p w:rsidR="00523FB1" w:rsidRDefault="00523FB1" w:rsidP="00E50459">
            <w:pPr>
              <w:jc w:val="center"/>
            </w:pPr>
            <w:r>
              <w:rPr>
                <w:sz w:val="24"/>
                <w:szCs w:val="24"/>
              </w:rPr>
              <w:t>005366</w:t>
            </w:r>
          </w:p>
        </w:tc>
        <w:tc>
          <w:tcPr>
            <w:tcW w:w="628" w:type="pct"/>
            <w:vAlign w:val="center"/>
          </w:tcPr>
          <w:p w:rsidR="00523FB1" w:rsidRDefault="00523FB1" w:rsidP="00E50459">
            <w:pPr>
              <w:jc w:val="center"/>
            </w:pPr>
            <w:r>
              <w:rPr>
                <w:sz w:val="24"/>
                <w:szCs w:val="24"/>
              </w:rPr>
              <w:t>上投摩根丰瑞债券型证券投资基金</w:t>
            </w:r>
            <w:r>
              <w:rPr>
                <w:sz w:val="24"/>
                <w:szCs w:val="24"/>
              </w:rPr>
              <w:t>A</w:t>
            </w:r>
          </w:p>
        </w:tc>
        <w:tc>
          <w:tcPr>
            <w:tcW w:w="576" w:type="pct"/>
            <w:vAlign w:val="center"/>
          </w:tcPr>
          <w:p w:rsidR="00523FB1" w:rsidRDefault="001173C7" w:rsidP="00E50459">
            <w:pPr>
              <w:jc w:val="center"/>
            </w:pPr>
            <w:r>
              <w:rPr>
                <w:rFonts w:hint="eastAsia"/>
                <w:sz w:val="24"/>
                <w:szCs w:val="24"/>
              </w:rPr>
              <w:t>契约型</w:t>
            </w:r>
            <w:r>
              <w:rPr>
                <w:sz w:val="24"/>
                <w:szCs w:val="24"/>
              </w:rPr>
              <w:t>开放式</w:t>
            </w:r>
          </w:p>
        </w:tc>
        <w:tc>
          <w:tcPr>
            <w:tcW w:w="680" w:type="pct"/>
            <w:vAlign w:val="center"/>
          </w:tcPr>
          <w:p w:rsidR="00523FB1" w:rsidRDefault="00523FB1" w:rsidP="00E50459">
            <w:pPr>
              <w:jc w:val="center"/>
            </w:pPr>
            <w:r>
              <w:rPr>
                <w:sz w:val="24"/>
                <w:szCs w:val="24"/>
              </w:rPr>
              <w:t>7,320,683.30</w:t>
            </w:r>
          </w:p>
        </w:tc>
        <w:tc>
          <w:tcPr>
            <w:tcW w:w="706" w:type="pct"/>
            <w:vAlign w:val="center"/>
          </w:tcPr>
          <w:p w:rsidR="00523FB1" w:rsidRDefault="00523FB1" w:rsidP="00E50459">
            <w:pPr>
              <w:jc w:val="center"/>
            </w:pPr>
            <w:r>
              <w:rPr>
                <w:sz w:val="24"/>
                <w:szCs w:val="24"/>
              </w:rPr>
              <w:t>7,647,185.78</w:t>
            </w:r>
          </w:p>
        </w:tc>
        <w:tc>
          <w:tcPr>
            <w:tcW w:w="628" w:type="pct"/>
            <w:vAlign w:val="center"/>
          </w:tcPr>
          <w:p w:rsidR="00523FB1" w:rsidRDefault="00523FB1" w:rsidP="00E50459">
            <w:pPr>
              <w:jc w:val="center"/>
            </w:pPr>
            <w:r>
              <w:rPr>
                <w:sz w:val="24"/>
                <w:szCs w:val="24"/>
              </w:rPr>
              <w:t>16.21%</w:t>
            </w:r>
          </w:p>
        </w:tc>
        <w:tc>
          <w:tcPr>
            <w:tcW w:w="704" w:type="pct"/>
            <w:vAlign w:val="center"/>
          </w:tcPr>
          <w:p w:rsidR="00523FB1" w:rsidRDefault="00523FB1" w:rsidP="00E50459">
            <w:pPr>
              <w:jc w:val="center"/>
            </w:pPr>
            <w:r>
              <w:rPr>
                <w:sz w:val="24"/>
                <w:szCs w:val="24"/>
              </w:rPr>
              <w:t>是</w:t>
            </w:r>
          </w:p>
        </w:tc>
      </w:tr>
      <w:tr w:rsidR="00523FB1" w:rsidTr="001173C7">
        <w:tc>
          <w:tcPr>
            <w:tcW w:w="452" w:type="pct"/>
            <w:vAlign w:val="center"/>
          </w:tcPr>
          <w:p w:rsidR="00523FB1" w:rsidRDefault="00523FB1" w:rsidP="00E50459">
            <w:pPr>
              <w:jc w:val="center"/>
            </w:pPr>
            <w:r>
              <w:rPr>
                <w:sz w:val="24"/>
                <w:szCs w:val="24"/>
              </w:rPr>
              <w:t>3</w:t>
            </w:r>
          </w:p>
        </w:tc>
        <w:tc>
          <w:tcPr>
            <w:tcW w:w="627" w:type="pct"/>
            <w:vAlign w:val="center"/>
          </w:tcPr>
          <w:p w:rsidR="00523FB1" w:rsidRDefault="00523FB1" w:rsidP="00E50459">
            <w:pPr>
              <w:jc w:val="center"/>
            </w:pPr>
            <w:r>
              <w:rPr>
                <w:sz w:val="24"/>
                <w:szCs w:val="24"/>
              </w:rPr>
              <w:t>378010</w:t>
            </w:r>
          </w:p>
        </w:tc>
        <w:tc>
          <w:tcPr>
            <w:tcW w:w="628" w:type="pct"/>
            <w:vAlign w:val="center"/>
          </w:tcPr>
          <w:p w:rsidR="00523FB1" w:rsidRDefault="00523FB1" w:rsidP="00E50459">
            <w:pPr>
              <w:jc w:val="center"/>
            </w:pPr>
            <w:r>
              <w:rPr>
                <w:sz w:val="24"/>
                <w:szCs w:val="24"/>
              </w:rPr>
              <w:t>上投摩根成长先锋混合型证券投资基金</w:t>
            </w:r>
          </w:p>
        </w:tc>
        <w:tc>
          <w:tcPr>
            <w:tcW w:w="576" w:type="pct"/>
            <w:vAlign w:val="center"/>
          </w:tcPr>
          <w:p w:rsidR="00523FB1" w:rsidRDefault="001173C7" w:rsidP="00E50459">
            <w:pPr>
              <w:jc w:val="center"/>
            </w:pPr>
            <w:r>
              <w:rPr>
                <w:rFonts w:hint="eastAsia"/>
                <w:sz w:val="24"/>
                <w:szCs w:val="24"/>
              </w:rPr>
              <w:t>契约型</w:t>
            </w:r>
            <w:r>
              <w:rPr>
                <w:sz w:val="24"/>
                <w:szCs w:val="24"/>
              </w:rPr>
              <w:t>开放式</w:t>
            </w:r>
          </w:p>
        </w:tc>
        <w:tc>
          <w:tcPr>
            <w:tcW w:w="680" w:type="pct"/>
            <w:vAlign w:val="center"/>
          </w:tcPr>
          <w:p w:rsidR="00523FB1" w:rsidRDefault="00523FB1" w:rsidP="00E50459">
            <w:pPr>
              <w:jc w:val="center"/>
            </w:pPr>
            <w:r>
              <w:rPr>
                <w:sz w:val="24"/>
                <w:szCs w:val="24"/>
              </w:rPr>
              <w:t>4,009,646.30</w:t>
            </w:r>
          </w:p>
        </w:tc>
        <w:tc>
          <w:tcPr>
            <w:tcW w:w="706" w:type="pct"/>
            <w:vAlign w:val="center"/>
          </w:tcPr>
          <w:p w:rsidR="00523FB1" w:rsidRDefault="00523FB1" w:rsidP="00E50459">
            <w:pPr>
              <w:jc w:val="center"/>
            </w:pPr>
            <w:r>
              <w:rPr>
                <w:sz w:val="24"/>
                <w:szCs w:val="24"/>
              </w:rPr>
              <w:t>3,846,453.70</w:t>
            </w:r>
          </w:p>
        </w:tc>
        <w:tc>
          <w:tcPr>
            <w:tcW w:w="628" w:type="pct"/>
            <w:vAlign w:val="center"/>
          </w:tcPr>
          <w:p w:rsidR="00523FB1" w:rsidRDefault="00523FB1" w:rsidP="00E50459">
            <w:pPr>
              <w:jc w:val="center"/>
            </w:pPr>
            <w:r>
              <w:rPr>
                <w:sz w:val="24"/>
                <w:szCs w:val="24"/>
              </w:rPr>
              <w:t>8.15%</w:t>
            </w:r>
          </w:p>
        </w:tc>
        <w:tc>
          <w:tcPr>
            <w:tcW w:w="704" w:type="pct"/>
            <w:vAlign w:val="center"/>
          </w:tcPr>
          <w:p w:rsidR="00523FB1" w:rsidRDefault="00523FB1" w:rsidP="00E50459">
            <w:pPr>
              <w:jc w:val="center"/>
            </w:pPr>
            <w:r>
              <w:rPr>
                <w:sz w:val="24"/>
                <w:szCs w:val="24"/>
              </w:rPr>
              <w:t>是</w:t>
            </w:r>
          </w:p>
        </w:tc>
      </w:tr>
      <w:tr w:rsidR="00523FB1" w:rsidTr="001173C7">
        <w:tc>
          <w:tcPr>
            <w:tcW w:w="452" w:type="pct"/>
            <w:vAlign w:val="center"/>
          </w:tcPr>
          <w:p w:rsidR="00523FB1" w:rsidRDefault="00523FB1" w:rsidP="00E50459">
            <w:pPr>
              <w:jc w:val="center"/>
            </w:pPr>
            <w:r>
              <w:rPr>
                <w:sz w:val="24"/>
                <w:szCs w:val="24"/>
              </w:rPr>
              <w:t>4</w:t>
            </w:r>
          </w:p>
        </w:tc>
        <w:tc>
          <w:tcPr>
            <w:tcW w:w="627" w:type="pct"/>
            <w:vAlign w:val="center"/>
          </w:tcPr>
          <w:p w:rsidR="00523FB1" w:rsidRDefault="00523FB1" w:rsidP="00E50459">
            <w:pPr>
              <w:jc w:val="center"/>
            </w:pPr>
            <w:r>
              <w:rPr>
                <w:sz w:val="24"/>
                <w:szCs w:val="24"/>
              </w:rPr>
              <w:t>004606</w:t>
            </w:r>
          </w:p>
        </w:tc>
        <w:tc>
          <w:tcPr>
            <w:tcW w:w="628" w:type="pct"/>
            <w:vAlign w:val="center"/>
          </w:tcPr>
          <w:p w:rsidR="00523FB1" w:rsidRDefault="00523FB1" w:rsidP="00E50459">
            <w:pPr>
              <w:jc w:val="center"/>
            </w:pPr>
            <w:r>
              <w:rPr>
                <w:sz w:val="24"/>
                <w:szCs w:val="24"/>
              </w:rPr>
              <w:t>上投摩根优选多因子股票型证券投资基金</w:t>
            </w:r>
          </w:p>
        </w:tc>
        <w:tc>
          <w:tcPr>
            <w:tcW w:w="576" w:type="pct"/>
            <w:vAlign w:val="center"/>
          </w:tcPr>
          <w:p w:rsidR="00523FB1" w:rsidRDefault="001173C7" w:rsidP="00E50459">
            <w:pPr>
              <w:jc w:val="center"/>
            </w:pPr>
            <w:r>
              <w:rPr>
                <w:rFonts w:hint="eastAsia"/>
                <w:sz w:val="24"/>
                <w:szCs w:val="24"/>
              </w:rPr>
              <w:t>契约型</w:t>
            </w:r>
            <w:r>
              <w:rPr>
                <w:sz w:val="24"/>
                <w:szCs w:val="24"/>
              </w:rPr>
              <w:t>开放式</w:t>
            </w:r>
          </w:p>
        </w:tc>
        <w:tc>
          <w:tcPr>
            <w:tcW w:w="680" w:type="pct"/>
            <w:vAlign w:val="center"/>
          </w:tcPr>
          <w:p w:rsidR="00523FB1" w:rsidRDefault="00523FB1" w:rsidP="00E50459">
            <w:pPr>
              <w:jc w:val="center"/>
            </w:pPr>
            <w:r>
              <w:rPr>
                <w:sz w:val="24"/>
                <w:szCs w:val="24"/>
              </w:rPr>
              <w:t>4,516,059.93</w:t>
            </w:r>
          </w:p>
        </w:tc>
        <w:tc>
          <w:tcPr>
            <w:tcW w:w="706" w:type="pct"/>
            <w:vAlign w:val="center"/>
          </w:tcPr>
          <w:p w:rsidR="00523FB1" w:rsidRDefault="00523FB1" w:rsidP="00E50459">
            <w:pPr>
              <w:jc w:val="center"/>
            </w:pPr>
            <w:r>
              <w:rPr>
                <w:sz w:val="24"/>
                <w:szCs w:val="24"/>
              </w:rPr>
              <w:t>3,615,105.97</w:t>
            </w:r>
          </w:p>
        </w:tc>
        <w:tc>
          <w:tcPr>
            <w:tcW w:w="628" w:type="pct"/>
            <w:vAlign w:val="center"/>
          </w:tcPr>
          <w:p w:rsidR="00523FB1" w:rsidRDefault="00523FB1" w:rsidP="00E50459">
            <w:pPr>
              <w:jc w:val="center"/>
            </w:pPr>
            <w:r>
              <w:rPr>
                <w:sz w:val="24"/>
                <w:szCs w:val="24"/>
              </w:rPr>
              <w:t>7.66%</w:t>
            </w:r>
          </w:p>
        </w:tc>
        <w:tc>
          <w:tcPr>
            <w:tcW w:w="704" w:type="pct"/>
            <w:vAlign w:val="center"/>
          </w:tcPr>
          <w:p w:rsidR="00523FB1" w:rsidRDefault="00523FB1" w:rsidP="00E50459">
            <w:pPr>
              <w:jc w:val="center"/>
            </w:pPr>
            <w:r>
              <w:rPr>
                <w:sz w:val="24"/>
                <w:szCs w:val="24"/>
              </w:rPr>
              <w:t>是</w:t>
            </w:r>
          </w:p>
        </w:tc>
      </w:tr>
      <w:tr w:rsidR="00523FB1" w:rsidTr="001173C7">
        <w:tc>
          <w:tcPr>
            <w:tcW w:w="452" w:type="pct"/>
            <w:vAlign w:val="center"/>
          </w:tcPr>
          <w:p w:rsidR="00523FB1" w:rsidRDefault="00523FB1" w:rsidP="00E50459">
            <w:pPr>
              <w:jc w:val="center"/>
            </w:pPr>
            <w:r>
              <w:rPr>
                <w:sz w:val="24"/>
                <w:szCs w:val="24"/>
              </w:rPr>
              <w:t>5</w:t>
            </w:r>
          </w:p>
        </w:tc>
        <w:tc>
          <w:tcPr>
            <w:tcW w:w="627" w:type="pct"/>
            <w:vAlign w:val="center"/>
          </w:tcPr>
          <w:p w:rsidR="00523FB1" w:rsidRDefault="00523FB1" w:rsidP="00E50459">
            <w:pPr>
              <w:jc w:val="center"/>
            </w:pPr>
            <w:r>
              <w:rPr>
                <w:sz w:val="24"/>
                <w:szCs w:val="24"/>
              </w:rPr>
              <w:t>377240</w:t>
            </w:r>
          </w:p>
        </w:tc>
        <w:tc>
          <w:tcPr>
            <w:tcW w:w="628" w:type="pct"/>
            <w:vAlign w:val="center"/>
          </w:tcPr>
          <w:p w:rsidR="00523FB1" w:rsidRDefault="00523FB1" w:rsidP="00E50459">
            <w:pPr>
              <w:jc w:val="center"/>
            </w:pPr>
            <w:r>
              <w:rPr>
                <w:sz w:val="24"/>
                <w:szCs w:val="24"/>
              </w:rPr>
              <w:t>上投摩根新兴动力混合型证券投资基金</w:t>
            </w:r>
          </w:p>
        </w:tc>
        <w:tc>
          <w:tcPr>
            <w:tcW w:w="576" w:type="pct"/>
            <w:vAlign w:val="center"/>
          </w:tcPr>
          <w:p w:rsidR="00523FB1" w:rsidRDefault="001173C7" w:rsidP="00E50459">
            <w:pPr>
              <w:jc w:val="center"/>
            </w:pPr>
            <w:r>
              <w:rPr>
                <w:rFonts w:hint="eastAsia"/>
                <w:sz w:val="24"/>
                <w:szCs w:val="24"/>
              </w:rPr>
              <w:t>契约型</w:t>
            </w:r>
            <w:r>
              <w:rPr>
                <w:sz w:val="24"/>
                <w:szCs w:val="24"/>
              </w:rPr>
              <w:t>开放式</w:t>
            </w:r>
          </w:p>
        </w:tc>
        <w:tc>
          <w:tcPr>
            <w:tcW w:w="680" w:type="pct"/>
            <w:vAlign w:val="center"/>
          </w:tcPr>
          <w:p w:rsidR="00523FB1" w:rsidRDefault="00523FB1" w:rsidP="00E50459">
            <w:pPr>
              <w:jc w:val="center"/>
            </w:pPr>
            <w:r>
              <w:rPr>
                <w:sz w:val="24"/>
                <w:szCs w:val="24"/>
              </w:rPr>
              <w:t>1,539,316.57</w:t>
            </w:r>
          </w:p>
        </w:tc>
        <w:tc>
          <w:tcPr>
            <w:tcW w:w="706" w:type="pct"/>
            <w:vAlign w:val="center"/>
          </w:tcPr>
          <w:p w:rsidR="00523FB1" w:rsidRDefault="00523FB1" w:rsidP="00E50459">
            <w:pPr>
              <w:jc w:val="center"/>
            </w:pPr>
            <w:r>
              <w:rPr>
                <w:sz w:val="24"/>
                <w:szCs w:val="24"/>
              </w:rPr>
              <w:t>2,920,083.53</w:t>
            </w:r>
          </w:p>
        </w:tc>
        <w:tc>
          <w:tcPr>
            <w:tcW w:w="628" w:type="pct"/>
            <w:vAlign w:val="center"/>
          </w:tcPr>
          <w:p w:rsidR="00523FB1" w:rsidRDefault="00523FB1" w:rsidP="00E50459">
            <w:pPr>
              <w:jc w:val="center"/>
            </w:pPr>
            <w:r>
              <w:rPr>
                <w:sz w:val="24"/>
                <w:szCs w:val="24"/>
              </w:rPr>
              <w:t>6.19%</w:t>
            </w:r>
          </w:p>
        </w:tc>
        <w:tc>
          <w:tcPr>
            <w:tcW w:w="704" w:type="pct"/>
            <w:vAlign w:val="center"/>
          </w:tcPr>
          <w:p w:rsidR="00523FB1" w:rsidRDefault="00523FB1" w:rsidP="00E50459">
            <w:pPr>
              <w:jc w:val="center"/>
            </w:pPr>
            <w:r>
              <w:rPr>
                <w:sz w:val="24"/>
                <w:szCs w:val="24"/>
              </w:rPr>
              <w:t>是</w:t>
            </w:r>
          </w:p>
        </w:tc>
      </w:tr>
      <w:tr w:rsidR="00523FB1" w:rsidTr="001173C7">
        <w:tc>
          <w:tcPr>
            <w:tcW w:w="452" w:type="pct"/>
            <w:vAlign w:val="center"/>
          </w:tcPr>
          <w:p w:rsidR="00523FB1" w:rsidRDefault="00523FB1" w:rsidP="00E50459">
            <w:pPr>
              <w:jc w:val="center"/>
            </w:pPr>
            <w:r>
              <w:rPr>
                <w:sz w:val="24"/>
                <w:szCs w:val="24"/>
              </w:rPr>
              <w:t>6</w:t>
            </w:r>
          </w:p>
        </w:tc>
        <w:tc>
          <w:tcPr>
            <w:tcW w:w="627" w:type="pct"/>
            <w:vAlign w:val="center"/>
          </w:tcPr>
          <w:p w:rsidR="00523FB1" w:rsidRDefault="00523FB1" w:rsidP="00E50459">
            <w:pPr>
              <w:jc w:val="center"/>
            </w:pPr>
            <w:r>
              <w:rPr>
                <w:sz w:val="24"/>
                <w:szCs w:val="24"/>
              </w:rPr>
              <w:t>000712</w:t>
            </w:r>
          </w:p>
        </w:tc>
        <w:tc>
          <w:tcPr>
            <w:tcW w:w="628" w:type="pct"/>
            <w:vAlign w:val="center"/>
          </w:tcPr>
          <w:p w:rsidR="00523FB1" w:rsidRDefault="00523FB1" w:rsidP="00E50459">
            <w:pPr>
              <w:jc w:val="center"/>
            </w:pPr>
            <w:r>
              <w:rPr>
                <w:sz w:val="24"/>
                <w:szCs w:val="24"/>
              </w:rPr>
              <w:t>上投摩根天添宝货币市场基金</w:t>
            </w:r>
            <w:r>
              <w:rPr>
                <w:sz w:val="24"/>
                <w:szCs w:val="24"/>
              </w:rPr>
              <w:t>A</w:t>
            </w:r>
          </w:p>
        </w:tc>
        <w:tc>
          <w:tcPr>
            <w:tcW w:w="576" w:type="pct"/>
            <w:vAlign w:val="center"/>
          </w:tcPr>
          <w:p w:rsidR="00523FB1" w:rsidRDefault="001173C7" w:rsidP="00E50459">
            <w:pPr>
              <w:jc w:val="center"/>
            </w:pPr>
            <w:r>
              <w:rPr>
                <w:rFonts w:hint="eastAsia"/>
                <w:sz w:val="24"/>
                <w:szCs w:val="24"/>
              </w:rPr>
              <w:t>契约型</w:t>
            </w:r>
            <w:r>
              <w:rPr>
                <w:sz w:val="24"/>
                <w:szCs w:val="24"/>
              </w:rPr>
              <w:t>开放式</w:t>
            </w:r>
          </w:p>
        </w:tc>
        <w:tc>
          <w:tcPr>
            <w:tcW w:w="680" w:type="pct"/>
            <w:vAlign w:val="center"/>
          </w:tcPr>
          <w:p w:rsidR="00523FB1" w:rsidRDefault="00523FB1" w:rsidP="00E50459">
            <w:pPr>
              <w:jc w:val="center"/>
            </w:pPr>
            <w:r>
              <w:rPr>
                <w:sz w:val="24"/>
                <w:szCs w:val="24"/>
              </w:rPr>
              <w:t>2,550,321.02</w:t>
            </w:r>
          </w:p>
        </w:tc>
        <w:tc>
          <w:tcPr>
            <w:tcW w:w="706" w:type="pct"/>
            <w:vAlign w:val="center"/>
          </w:tcPr>
          <w:p w:rsidR="00523FB1" w:rsidRDefault="00523FB1" w:rsidP="00E50459">
            <w:pPr>
              <w:jc w:val="center"/>
            </w:pPr>
            <w:r>
              <w:rPr>
                <w:sz w:val="24"/>
                <w:szCs w:val="24"/>
              </w:rPr>
              <w:t>2,550,321.02</w:t>
            </w:r>
          </w:p>
        </w:tc>
        <w:tc>
          <w:tcPr>
            <w:tcW w:w="628" w:type="pct"/>
            <w:vAlign w:val="center"/>
          </w:tcPr>
          <w:p w:rsidR="00523FB1" w:rsidRDefault="00523FB1" w:rsidP="00E50459">
            <w:pPr>
              <w:jc w:val="center"/>
            </w:pPr>
            <w:r>
              <w:rPr>
                <w:sz w:val="24"/>
                <w:szCs w:val="24"/>
              </w:rPr>
              <w:t>5.41%</w:t>
            </w:r>
          </w:p>
        </w:tc>
        <w:tc>
          <w:tcPr>
            <w:tcW w:w="704" w:type="pct"/>
            <w:vAlign w:val="center"/>
          </w:tcPr>
          <w:p w:rsidR="00523FB1" w:rsidRDefault="00523FB1" w:rsidP="00E50459">
            <w:pPr>
              <w:jc w:val="center"/>
            </w:pPr>
            <w:r>
              <w:rPr>
                <w:sz w:val="24"/>
                <w:szCs w:val="24"/>
              </w:rPr>
              <w:t>是</w:t>
            </w:r>
          </w:p>
        </w:tc>
      </w:tr>
      <w:tr w:rsidR="00523FB1" w:rsidTr="001173C7">
        <w:tc>
          <w:tcPr>
            <w:tcW w:w="452" w:type="pct"/>
            <w:vAlign w:val="center"/>
          </w:tcPr>
          <w:p w:rsidR="00523FB1" w:rsidRDefault="00523FB1" w:rsidP="00E50459">
            <w:pPr>
              <w:jc w:val="center"/>
            </w:pPr>
            <w:r>
              <w:rPr>
                <w:sz w:val="24"/>
                <w:szCs w:val="24"/>
              </w:rPr>
              <w:t>7</w:t>
            </w:r>
          </w:p>
        </w:tc>
        <w:tc>
          <w:tcPr>
            <w:tcW w:w="627" w:type="pct"/>
            <w:vAlign w:val="center"/>
          </w:tcPr>
          <w:p w:rsidR="00523FB1" w:rsidRDefault="00523FB1" w:rsidP="00E50459">
            <w:pPr>
              <w:jc w:val="center"/>
            </w:pPr>
            <w:r>
              <w:rPr>
                <w:sz w:val="24"/>
                <w:szCs w:val="24"/>
              </w:rPr>
              <w:t>518880</w:t>
            </w:r>
          </w:p>
        </w:tc>
        <w:tc>
          <w:tcPr>
            <w:tcW w:w="628" w:type="pct"/>
            <w:vAlign w:val="center"/>
          </w:tcPr>
          <w:p w:rsidR="00523FB1" w:rsidRDefault="00523FB1" w:rsidP="00E50459">
            <w:pPr>
              <w:jc w:val="center"/>
            </w:pPr>
            <w:r>
              <w:rPr>
                <w:sz w:val="24"/>
                <w:szCs w:val="24"/>
              </w:rPr>
              <w:t>华安易富黄金交易型开放式证券投资基金</w:t>
            </w:r>
          </w:p>
        </w:tc>
        <w:tc>
          <w:tcPr>
            <w:tcW w:w="576" w:type="pct"/>
            <w:vAlign w:val="center"/>
          </w:tcPr>
          <w:p w:rsidR="00523FB1" w:rsidRDefault="001173C7" w:rsidP="00E50459">
            <w:pPr>
              <w:jc w:val="center"/>
            </w:pPr>
            <w:r>
              <w:rPr>
                <w:rFonts w:hint="eastAsia"/>
                <w:sz w:val="24"/>
                <w:szCs w:val="24"/>
              </w:rPr>
              <w:t>交易型</w:t>
            </w:r>
            <w:r w:rsidR="00523FB1">
              <w:rPr>
                <w:sz w:val="24"/>
                <w:szCs w:val="24"/>
              </w:rPr>
              <w:t>开放式</w:t>
            </w:r>
            <w:r>
              <w:rPr>
                <w:rFonts w:hint="eastAsia"/>
                <w:sz w:val="24"/>
                <w:szCs w:val="24"/>
              </w:rPr>
              <w:t>（</w:t>
            </w:r>
            <w:r>
              <w:rPr>
                <w:rFonts w:hint="eastAsia"/>
                <w:sz w:val="24"/>
                <w:szCs w:val="24"/>
              </w:rPr>
              <w:t>ETF</w:t>
            </w:r>
            <w:r>
              <w:rPr>
                <w:rFonts w:hint="eastAsia"/>
                <w:sz w:val="24"/>
                <w:szCs w:val="24"/>
              </w:rPr>
              <w:t>）</w:t>
            </w:r>
          </w:p>
        </w:tc>
        <w:tc>
          <w:tcPr>
            <w:tcW w:w="680" w:type="pct"/>
            <w:vAlign w:val="center"/>
          </w:tcPr>
          <w:p w:rsidR="00523FB1" w:rsidRDefault="00523FB1" w:rsidP="00E50459">
            <w:pPr>
              <w:jc w:val="center"/>
            </w:pPr>
            <w:r>
              <w:rPr>
                <w:sz w:val="24"/>
                <w:szCs w:val="24"/>
              </w:rPr>
              <w:t>870,000.00</w:t>
            </w:r>
          </w:p>
        </w:tc>
        <w:tc>
          <w:tcPr>
            <w:tcW w:w="706" w:type="pct"/>
            <w:vAlign w:val="center"/>
          </w:tcPr>
          <w:p w:rsidR="00523FB1" w:rsidRDefault="00523FB1" w:rsidP="00E50459">
            <w:pPr>
              <w:jc w:val="center"/>
            </w:pPr>
            <w:r>
              <w:rPr>
                <w:sz w:val="24"/>
                <w:szCs w:val="24"/>
              </w:rPr>
              <w:t>2,458,620.00</w:t>
            </w:r>
          </w:p>
        </w:tc>
        <w:tc>
          <w:tcPr>
            <w:tcW w:w="628" w:type="pct"/>
            <w:vAlign w:val="center"/>
          </w:tcPr>
          <w:p w:rsidR="00523FB1" w:rsidRDefault="00523FB1" w:rsidP="00E50459">
            <w:pPr>
              <w:jc w:val="center"/>
            </w:pPr>
            <w:r>
              <w:rPr>
                <w:sz w:val="24"/>
                <w:szCs w:val="24"/>
              </w:rPr>
              <w:t>5.21%</w:t>
            </w:r>
          </w:p>
        </w:tc>
        <w:tc>
          <w:tcPr>
            <w:tcW w:w="704" w:type="pct"/>
            <w:vAlign w:val="center"/>
          </w:tcPr>
          <w:p w:rsidR="00523FB1" w:rsidRDefault="009F3BD6" w:rsidP="00E50459">
            <w:pPr>
              <w:jc w:val="center"/>
            </w:pPr>
            <w:r>
              <w:rPr>
                <w:rFonts w:hint="eastAsia"/>
              </w:rPr>
              <w:t>否</w:t>
            </w:r>
          </w:p>
        </w:tc>
      </w:tr>
      <w:tr w:rsidR="00523FB1" w:rsidTr="001173C7">
        <w:tc>
          <w:tcPr>
            <w:tcW w:w="452" w:type="pct"/>
            <w:vAlign w:val="center"/>
          </w:tcPr>
          <w:p w:rsidR="00523FB1" w:rsidRDefault="00523FB1" w:rsidP="00E50459">
            <w:pPr>
              <w:jc w:val="center"/>
            </w:pPr>
            <w:r>
              <w:rPr>
                <w:sz w:val="24"/>
                <w:szCs w:val="24"/>
              </w:rPr>
              <w:lastRenderedPageBreak/>
              <w:t>8</w:t>
            </w:r>
          </w:p>
        </w:tc>
        <w:tc>
          <w:tcPr>
            <w:tcW w:w="627" w:type="pct"/>
            <w:vAlign w:val="center"/>
          </w:tcPr>
          <w:p w:rsidR="00523FB1" w:rsidRDefault="00523FB1" w:rsidP="00E50459">
            <w:pPr>
              <w:jc w:val="center"/>
            </w:pPr>
            <w:r>
              <w:rPr>
                <w:sz w:val="24"/>
                <w:szCs w:val="24"/>
              </w:rPr>
              <w:t>005051</w:t>
            </w:r>
          </w:p>
        </w:tc>
        <w:tc>
          <w:tcPr>
            <w:tcW w:w="628" w:type="pct"/>
            <w:vAlign w:val="center"/>
          </w:tcPr>
          <w:p w:rsidR="00523FB1" w:rsidRDefault="00523FB1" w:rsidP="00E50459">
            <w:pPr>
              <w:jc w:val="center"/>
            </w:pPr>
            <w:r>
              <w:rPr>
                <w:sz w:val="24"/>
                <w:szCs w:val="24"/>
              </w:rPr>
              <w:t>上投摩根</w:t>
            </w:r>
            <w:proofErr w:type="gramStart"/>
            <w:r>
              <w:rPr>
                <w:sz w:val="24"/>
                <w:szCs w:val="24"/>
              </w:rPr>
              <w:t>标普港股通低波</w:t>
            </w:r>
            <w:proofErr w:type="gramEnd"/>
            <w:r>
              <w:rPr>
                <w:sz w:val="24"/>
                <w:szCs w:val="24"/>
              </w:rPr>
              <w:t>红利指数型证券投资基金（</w:t>
            </w:r>
            <w:r>
              <w:rPr>
                <w:sz w:val="24"/>
                <w:szCs w:val="24"/>
              </w:rPr>
              <w:t>A</w:t>
            </w:r>
            <w:r>
              <w:rPr>
                <w:sz w:val="24"/>
                <w:szCs w:val="24"/>
              </w:rPr>
              <w:t>类份额）</w:t>
            </w:r>
          </w:p>
        </w:tc>
        <w:tc>
          <w:tcPr>
            <w:tcW w:w="576" w:type="pct"/>
            <w:vAlign w:val="center"/>
          </w:tcPr>
          <w:p w:rsidR="00523FB1" w:rsidRDefault="001173C7" w:rsidP="00E50459">
            <w:pPr>
              <w:jc w:val="center"/>
            </w:pPr>
            <w:r>
              <w:rPr>
                <w:rFonts w:hint="eastAsia"/>
                <w:sz w:val="24"/>
                <w:szCs w:val="24"/>
              </w:rPr>
              <w:t>契约型</w:t>
            </w:r>
            <w:r>
              <w:rPr>
                <w:sz w:val="24"/>
                <w:szCs w:val="24"/>
              </w:rPr>
              <w:t>开放式</w:t>
            </w:r>
          </w:p>
        </w:tc>
        <w:tc>
          <w:tcPr>
            <w:tcW w:w="680" w:type="pct"/>
            <w:vAlign w:val="center"/>
          </w:tcPr>
          <w:p w:rsidR="00523FB1" w:rsidRDefault="00523FB1" w:rsidP="00E50459">
            <w:pPr>
              <w:jc w:val="center"/>
            </w:pPr>
            <w:r>
              <w:rPr>
                <w:sz w:val="24"/>
                <w:szCs w:val="24"/>
              </w:rPr>
              <w:t>1,848,425.01</w:t>
            </w:r>
          </w:p>
        </w:tc>
        <w:tc>
          <w:tcPr>
            <w:tcW w:w="706" w:type="pct"/>
            <w:vAlign w:val="center"/>
          </w:tcPr>
          <w:p w:rsidR="00523FB1" w:rsidRDefault="00523FB1" w:rsidP="00E50459">
            <w:pPr>
              <w:jc w:val="center"/>
            </w:pPr>
            <w:r>
              <w:rPr>
                <w:sz w:val="24"/>
                <w:szCs w:val="24"/>
              </w:rPr>
              <w:t>1,765,061.04</w:t>
            </w:r>
          </w:p>
        </w:tc>
        <w:tc>
          <w:tcPr>
            <w:tcW w:w="628" w:type="pct"/>
            <w:vAlign w:val="center"/>
          </w:tcPr>
          <w:p w:rsidR="00523FB1" w:rsidRDefault="00523FB1" w:rsidP="00E50459">
            <w:pPr>
              <w:jc w:val="center"/>
            </w:pPr>
            <w:r>
              <w:rPr>
                <w:sz w:val="24"/>
                <w:szCs w:val="24"/>
              </w:rPr>
              <w:t>3.74%</w:t>
            </w:r>
          </w:p>
        </w:tc>
        <w:tc>
          <w:tcPr>
            <w:tcW w:w="704" w:type="pct"/>
            <w:vAlign w:val="center"/>
          </w:tcPr>
          <w:p w:rsidR="00523FB1" w:rsidRDefault="00523FB1" w:rsidP="00E50459">
            <w:pPr>
              <w:jc w:val="center"/>
            </w:pPr>
            <w:r>
              <w:rPr>
                <w:sz w:val="24"/>
                <w:szCs w:val="24"/>
              </w:rPr>
              <w:t>是</w:t>
            </w:r>
          </w:p>
        </w:tc>
      </w:tr>
      <w:tr w:rsidR="00523FB1" w:rsidTr="001173C7">
        <w:tc>
          <w:tcPr>
            <w:tcW w:w="452" w:type="pct"/>
            <w:vAlign w:val="center"/>
          </w:tcPr>
          <w:p w:rsidR="00523FB1" w:rsidRDefault="00523FB1" w:rsidP="00E50459">
            <w:pPr>
              <w:jc w:val="center"/>
            </w:pPr>
            <w:r>
              <w:rPr>
                <w:sz w:val="24"/>
                <w:szCs w:val="24"/>
              </w:rPr>
              <w:t>9</w:t>
            </w:r>
          </w:p>
        </w:tc>
        <w:tc>
          <w:tcPr>
            <w:tcW w:w="627" w:type="pct"/>
            <w:vAlign w:val="center"/>
          </w:tcPr>
          <w:p w:rsidR="00523FB1" w:rsidRDefault="00523FB1" w:rsidP="00E50459">
            <w:pPr>
              <w:jc w:val="center"/>
            </w:pPr>
            <w:r>
              <w:rPr>
                <w:sz w:val="24"/>
                <w:szCs w:val="24"/>
              </w:rPr>
              <w:t>378546</w:t>
            </w:r>
          </w:p>
        </w:tc>
        <w:tc>
          <w:tcPr>
            <w:tcW w:w="628" w:type="pct"/>
            <w:vAlign w:val="center"/>
          </w:tcPr>
          <w:p w:rsidR="00523FB1" w:rsidRDefault="00523FB1" w:rsidP="00E50459">
            <w:pPr>
              <w:jc w:val="center"/>
            </w:pPr>
            <w:r>
              <w:rPr>
                <w:sz w:val="24"/>
                <w:szCs w:val="24"/>
              </w:rPr>
              <w:t>上投摩根全球天然资源混合型证券投资基金</w:t>
            </w:r>
          </w:p>
        </w:tc>
        <w:tc>
          <w:tcPr>
            <w:tcW w:w="576" w:type="pct"/>
            <w:vAlign w:val="center"/>
          </w:tcPr>
          <w:p w:rsidR="00523FB1" w:rsidRDefault="00E00693" w:rsidP="00E50459">
            <w:pPr>
              <w:jc w:val="center"/>
            </w:pPr>
            <w:r>
              <w:rPr>
                <w:rFonts w:hint="eastAsia"/>
                <w:sz w:val="24"/>
                <w:szCs w:val="24"/>
              </w:rPr>
              <w:t>契约型</w:t>
            </w:r>
            <w:r>
              <w:rPr>
                <w:sz w:val="24"/>
                <w:szCs w:val="24"/>
              </w:rPr>
              <w:t>开放式</w:t>
            </w:r>
          </w:p>
        </w:tc>
        <w:tc>
          <w:tcPr>
            <w:tcW w:w="680" w:type="pct"/>
            <w:vAlign w:val="center"/>
          </w:tcPr>
          <w:p w:rsidR="00523FB1" w:rsidRDefault="00523FB1" w:rsidP="00E50459">
            <w:pPr>
              <w:jc w:val="center"/>
            </w:pPr>
            <w:r>
              <w:rPr>
                <w:sz w:val="24"/>
                <w:szCs w:val="24"/>
              </w:rPr>
              <w:t>1,343,126.68</w:t>
            </w:r>
          </w:p>
        </w:tc>
        <w:tc>
          <w:tcPr>
            <w:tcW w:w="706" w:type="pct"/>
            <w:vAlign w:val="center"/>
          </w:tcPr>
          <w:p w:rsidR="00523FB1" w:rsidRDefault="00523FB1" w:rsidP="00E50459">
            <w:pPr>
              <w:jc w:val="center"/>
            </w:pPr>
            <w:r>
              <w:rPr>
                <w:sz w:val="24"/>
                <w:szCs w:val="24"/>
              </w:rPr>
              <w:t>860,944.20</w:t>
            </w:r>
          </w:p>
        </w:tc>
        <w:tc>
          <w:tcPr>
            <w:tcW w:w="628" w:type="pct"/>
            <w:vAlign w:val="center"/>
          </w:tcPr>
          <w:p w:rsidR="00523FB1" w:rsidRDefault="00523FB1" w:rsidP="00E50459">
            <w:pPr>
              <w:jc w:val="center"/>
            </w:pPr>
            <w:r>
              <w:rPr>
                <w:sz w:val="24"/>
                <w:szCs w:val="24"/>
              </w:rPr>
              <w:t>1.83%</w:t>
            </w:r>
          </w:p>
        </w:tc>
        <w:tc>
          <w:tcPr>
            <w:tcW w:w="704" w:type="pct"/>
            <w:vAlign w:val="center"/>
          </w:tcPr>
          <w:p w:rsidR="00523FB1" w:rsidRDefault="00523FB1" w:rsidP="00E50459">
            <w:pPr>
              <w:jc w:val="center"/>
            </w:pPr>
            <w:r>
              <w:rPr>
                <w:sz w:val="24"/>
                <w:szCs w:val="24"/>
              </w:rPr>
              <w:t>是</w:t>
            </w:r>
          </w:p>
        </w:tc>
      </w:tr>
      <w:tr w:rsidR="00523FB1" w:rsidTr="001173C7">
        <w:tc>
          <w:tcPr>
            <w:tcW w:w="452" w:type="pct"/>
            <w:vAlign w:val="center"/>
          </w:tcPr>
          <w:p w:rsidR="00523FB1" w:rsidRDefault="00523FB1" w:rsidP="00E50459">
            <w:pPr>
              <w:jc w:val="center"/>
            </w:pPr>
            <w:r>
              <w:rPr>
                <w:sz w:val="24"/>
                <w:szCs w:val="24"/>
              </w:rPr>
              <w:t>10</w:t>
            </w:r>
          </w:p>
        </w:tc>
        <w:tc>
          <w:tcPr>
            <w:tcW w:w="627" w:type="pct"/>
            <w:vAlign w:val="center"/>
          </w:tcPr>
          <w:p w:rsidR="00523FB1" w:rsidRDefault="00523FB1" w:rsidP="00E50459">
            <w:pPr>
              <w:jc w:val="center"/>
            </w:pPr>
            <w:r>
              <w:rPr>
                <w:sz w:val="24"/>
                <w:szCs w:val="24"/>
              </w:rPr>
              <w:t>513500</w:t>
            </w:r>
          </w:p>
        </w:tc>
        <w:tc>
          <w:tcPr>
            <w:tcW w:w="628" w:type="pct"/>
            <w:vAlign w:val="center"/>
          </w:tcPr>
          <w:p w:rsidR="00523FB1" w:rsidRDefault="00523FB1" w:rsidP="00E50459">
            <w:pPr>
              <w:jc w:val="center"/>
            </w:pPr>
            <w:r>
              <w:rPr>
                <w:sz w:val="24"/>
                <w:szCs w:val="24"/>
              </w:rPr>
              <w:t>博时标普</w:t>
            </w:r>
            <w:r>
              <w:rPr>
                <w:sz w:val="24"/>
                <w:szCs w:val="24"/>
              </w:rPr>
              <w:t>500</w:t>
            </w:r>
            <w:r>
              <w:rPr>
                <w:sz w:val="24"/>
                <w:szCs w:val="24"/>
              </w:rPr>
              <w:t>交易型开放式指数证券投资基金</w:t>
            </w:r>
          </w:p>
        </w:tc>
        <w:tc>
          <w:tcPr>
            <w:tcW w:w="576" w:type="pct"/>
            <w:vAlign w:val="center"/>
          </w:tcPr>
          <w:p w:rsidR="00523FB1" w:rsidRDefault="001173C7" w:rsidP="00E50459">
            <w:pPr>
              <w:jc w:val="center"/>
            </w:pPr>
            <w:r>
              <w:rPr>
                <w:rFonts w:hint="eastAsia"/>
                <w:sz w:val="24"/>
                <w:szCs w:val="24"/>
              </w:rPr>
              <w:t>交易型</w:t>
            </w:r>
            <w:r>
              <w:rPr>
                <w:sz w:val="24"/>
                <w:szCs w:val="24"/>
              </w:rPr>
              <w:t>开放式</w:t>
            </w:r>
            <w:r>
              <w:rPr>
                <w:rFonts w:hint="eastAsia"/>
                <w:sz w:val="24"/>
                <w:szCs w:val="24"/>
              </w:rPr>
              <w:t>（</w:t>
            </w:r>
            <w:r>
              <w:rPr>
                <w:rFonts w:hint="eastAsia"/>
                <w:sz w:val="24"/>
                <w:szCs w:val="24"/>
              </w:rPr>
              <w:t>ETF</w:t>
            </w:r>
            <w:r>
              <w:rPr>
                <w:rFonts w:hint="eastAsia"/>
                <w:sz w:val="24"/>
                <w:szCs w:val="24"/>
              </w:rPr>
              <w:t>）</w:t>
            </w:r>
          </w:p>
        </w:tc>
        <w:tc>
          <w:tcPr>
            <w:tcW w:w="680" w:type="pct"/>
            <w:vAlign w:val="center"/>
          </w:tcPr>
          <w:p w:rsidR="00523FB1" w:rsidRDefault="00523FB1" w:rsidP="00E50459">
            <w:pPr>
              <w:jc w:val="center"/>
            </w:pPr>
            <w:r>
              <w:rPr>
                <w:sz w:val="24"/>
                <w:szCs w:val="24"/>
              </w:rPr>
              <w:t>340,000.00</w:t>
            </w:r>
          </w:p>
        </w:tc>
        <w:tc>
          <w:tcPr>
            <w:tcW w:w="706" w:type="pct"/>
            <w:vAlign w:val="center"/>
          </w:tcPr>
          <w:p w:rsidR="00523FB1" w:rsidRDefault="00523FB1" w:rsidP="00E50459">
            <w:pPr>
              <w:jc w:val="center"/>
            </w:pPr>
            <w:r>
              <w:rPr>
                <w:sz w:val="24"/>
                <w:szCs w:val="24"/>
              </w:rPr>
              <w:t>535,840.00</w:t>
            </w:r>
          </w:p>
        </w:tc>
        <w:tc>
          <w:tcPr>
            <w:tcW w:w="628" w:type="pct"/>
            <w:vAlign w:val="center"/>
          </w:tcPr>
          <w:p w:rsidR="00523FB1" w:rsidRDefault="00523FB1" w:rsidP="00E50459">
            <w:pPr>
              <w:jc w:val="center"/>
            </w:pPr>
            <w:r>
              <w:rPr>
                <w:sz w:val="24"/>
                <w:szCs w:val="24"/>
              </w:rPr>
              <w:t>1.14%</w:t>
            </w:r>
          </w:p>
        </w:tc>
        <w:tc>
          <w:tcPr>
            <w:tcW w:w="704" w:type="pct"/>
            <w:vAlign w:val="center"/>
          </w:tcPr>
          <w:p w:rsidR="00523FB1" w:rsidRDefault="009F3BD6" w:rsidP="00E50459">
            <w:pPr>
              <w:jc w:val="center"/>
            </w:pPr>
            <w:r>
              <w:rPr>
                <w:rFonts w:hint="eastAsia"/>
              </w:rPr>
              <w:t>否</w:t>
            </w:r>
          </w:p>
        </w:tc>
      </w:tr>
    </w:tbl>
    <w:p w:rsidR="001F3E2A" w:rsidRPr="00575270" w:rsidRDefault="001F3E2A" w:rsidP="0014204A">
      <w:pPr>
        <w:adjustRightInd w:val="0"/>
        <w:snapToGrid w:val="0"/>
        <w:spacing w:beforeLines="50"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7"/>
        <w:tblW w:w="0" w:type="auto"/>
        <w:tblLayout w:type="fixed"/>
        <w:tblLook w:val="04A0"/>
      </w:tblPr>
      <w:tblGrid>
        <w:gridCol w:w="3012"/>
        <w:gridCol w:w="3012"/>
        <w:gridCol w:w="3012"/>
      </w:tblGrid>
      <w:tr w:rsidR="00A331D6" w:rsidRPr="00575270" w:rsidTr="00E50459">
        <w:tc>
          <w:tcPr>
            <w:tcW w:w="3012" w:type="dxa"/>
            <w:vAlign w:val="center"/>
          </w:tcPr>
          <w:p w:rsidR="00A331D6" w:rsidRPr="00575270" w:rsidRDefault="00A331D6" w:rsidP="0014204A">
            <w:pPr>
              <w:adjustRightInd w:val="0"/>
              <w:snapToGrid w:val="0"/>
              <w:spacing w:beforeLines="50"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A331D6" w:rsidRPr="00575270" w:rsidRDefault="00A331D6" w:rsidP="00E50459">
            <w:pPr>
              <w:spacing w:line="276" w:lineRule="auto"/>
              <w:jc w:val="center"/>
              <w:rPr>
                <w:sz w:val="24"/>
                <w:szCs w:val="24"/>
              </w:rPr>
            </w:pPr>
            <w:r w:rsidRPr="00575270">
              <w:rPr>
                <w:sz w:val="24"/>
                <w:szCs w:val="24"/>
              </w:rPr>
              <w:t>本期费用</w:t>
            </w:r>
          </w:p>
        </w:tc>
        <w:tc>
          <w:tcPr>
            <w:tcW w:w="3012" w:type="dxa"/>
            <w:vAlign w:val="center"/>
          </w:tcPr>
          <w:p w:rsidR="00A331D6" w:rsidRPr="00575270" w:rsidRDefault="00A331D6" w:rsidP="00E50459">
            <w:pPr>
              <w:spacing w:line="276" w:lineRule="auto"/>
              <w:jc w:val="center"/>
              <w:rPr>
                <w:sz w:val="24"/>
                <w:szCs w:val="24"/>
              </w:rPr>
            </w:pPr>
            <w:r w:rsidRPr="00575270">
              <w:rPr>
                <w:sz w:val="24"/>
                <w:szCs w:val="24"/>
              </w:rPr>
              <w:t>其中：交易及持有基金管理人以及管理人关联方所管理基金产生的费用</w:t>
            </w:r>
          </w:p>
        </w:tc>
      </w:tr>
      <w:tr w:rsidR="00A331D6" w:rsidRPr="00575270" w:rsidTr="00E50459">
        <w:tc>
          <w:tcPr>
            <w:tcW w:w="3012" w:type="dxa"/>
            <w:vAlign w:val="center"/>
          </w:tcPr>
          <w:p w:rsidR="00A331D6" w:rsidRPr="00575270" w:rsidRDefault="00A331D6" w:rsidP="0014204A">
            <w:pPr>
              <w:adjustRightInd w:val="0"/>
              <w:snapToGrid w:val="0"/>
              <w:spacing w:beforeLines="50"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3,263.68</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3,263.68</w:t>
            </w:r>
          </w:p>
        </w:tc>
      </w:tr>
      <w:tr w:rsidR="00A331D6" w:rsidRPr="00575270" w:rsidTr="00E50459">
        <w:tc>
          <w:tcPr>
            <w:tcW w:w="3012" w:type="dxa"/>
            <w:vAlign w:val="center"/>
          </w:tcPr>
          <w:p w:rsidR="00A331D6" w:rsidRPr="00575270" w:rsidRDefault="00A331D6" w:rsidP="0014204A">
            <w:pPr>
              <w:adjustRightInd w:val="0"/>
              <w:snapToGrid w:val="0"/>
              <w:spacing w:beforeLines="50"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2,297.88</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2,297.88</w:t>
            </w:r>
          </w:p>
        </w:tc>
      </w:tr>
      <w:tr w:rsidR="00A331D6" w:rsidRPr="00575270" w:rsidTr="00E50459">
        <w:tc>
          <w:tcPr>
            <w:tcW w:w="3012" w:type="dxa"/>
            <w:vAlign w:val="center"/>
          </w:tcPr>
          <w:p w:rsidR="00A331D6" w:rsidRPr="00575270" w:rsidRDefault="00A331D6" w:rsidP="0014204A">
            <w:pPr>
              <w:adjustRightInd w:val="0"/>
              <w:snapToGrid w:val="0"/>
              <w:spacing w:beforeLines="50"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1,439.99</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1,439.99</w:t>
            </w:r>
          </w:p>
        </w:tc>
      </w:tr>
      <w:tr w:rsidR="00A331D6" w:rsidRPr="00575270" w:rsidTr="00E50459">
        <w:tc>
          <w:tcPr>
            <w:tcW w:w="3012" w:type="dxa"/>
            <w:vAlign w:val="center"/>
          </w:tcPr>
          <w:p w:rsidR="00A331D6" w:rsidRPr="00575270" w:rsidRDefault="00A331D6" w:rsidP="0014204A">
            <w:pPr>
              <w:adjustRightInd w:val="0"/>
              <w:snapToGrid w:val="0"/>
              <w:spacing w:beforeLines="50"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54,860.28</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52,896.86</w:t>
            </w:r>
          </w:p>
        </w:tc>
      </w:tr>
      <w:tr w:rsidR="00A331D6" w:rsidRPr="00575270" w:rsidTr="00E50459">
        <w:tc>
          <w:tcPr>
            <w:tcW w:w="3012" w:type="dxa"/>
            <w:vAlign w:val="center"/>
          </w:tcPr>
          <w:p w:rsidR="00A331D6" w:rsidRPr="00575270" w:rsidRDefault="00A331D6" w:rsidP="0014204A">
            <w:pPr>
              <w:adjustRightInd w:val="0"/>
              <w:snapToGrid w:val="0"/>
              <w:spacing w:beforeLines="50"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11,539.67</w:t>
            </w:r>
          </w:p>
        </w:tc>
        <w:tc>
          <w:tcPr>
            <w:tcW w:w="3012" w:type="dxa"/>
            <w:vAlign w:val="center"/>
          </w:tcPr>
          <w:p w:rsidR="00A331D6" w:rsidRPr="00575270" w:rsidRDefault="00A331D6" w:rsidP="0014204A">
            <w:pPr>
              <w:adjustRightInd w:val="0"/>
              <w:snapToGrid w:val="0"/>
              <w:spacing w:beforeLines="50"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11,037.90</w:t>
            </w:r>
          </w:p>
        </w:tc>
      </w:tr>
      <w:tr w:rsidR="00A331D6" w:rsidTr="00E50459">
        <w:tc>
          <w:tcPr>
            <w:tcW w:w="3012" w:type="dxa"/>
            <w:vAlign w:val="center"/>
          </w:tcPr>
          <w:p w:rsidR="00A331D6" w:rsidRDefault="00A331D6" w:rsidP="00E50459">
            <w:pPr>
              <w:jc w:val="left"/>
            </w:pPr>
            <w:r>
              <w:rPr>
                <w:rFonts w:eastAsiaTheme="minorEastAsia"/>
                <w:color w:val="000000" w:themeColor="text1"/>
                <w:sz w:val="24"/>
                <w:szCs w:val="24"/>
              </w:rPr>
              <w:t>当期交易基金产生的交易</w:t>
            </w:r>
            <w:r>
              <w:rPr>
                <w:rFonts w:eastAsiaTheme="minorEastAsia"/>
                <w:color w:val="000000" w:themeColor="text1"/>
                <w:sz w:val="24"/>
                <w:szCs w:val="24"/>
              </w:rPr>
              <w:lastRenderedPageBreak/>
              <w:t>费</w:t>
            </w:r>
          </w:p>
        </w:tc>
        <w:tc>
          <w:tcPr>
            <w:tcW w:w="3012" w:type="dxa"/>
            <w:vAlign w:val="center"/>
          </w:tcPr>
          <w:p w:rsidR="00A331D6" w:rsidRDefault="00A331D6" w:rsidP="00E50459">
            <w:pPr>
              <w:jc w:val="right"/>
            </w:pPr>
            <w:r>
              <w:rPr>
                <w:rFonts w:eastAsiaTheme="minorEastAsia"/>
                <w:color w:val="000000" w:themeColor="text1"/>
                <w:sz w:val="24"/>
                <w:szCs w:val="24"/>
              </w:rPr>
              <w:lastRenderedPageBreak/>
              <w:t>183.82</w:t>
            </w:r>
          </w:p>
        </w:tc>
        <w:tc>
          <w:tcPr>
            <w:tcW w:w="3012" w:type="dxa"/>
            <w:vAlign w:val="center"/>
          </w:tcPr>
          <w:p w:rsidR="00A331D6" w:rsidRDefault="007560EC" w:rsidP="00E50459">
            <w:pPr>
              <w:jc w:val="right"/>
            </w:pPr>
            <w:r>
              <w:rPr>
                <w:rFonts w:hint="eastAsia"/>
              </w:rPr>
              <w:t>-</w:t>
            </w:r>
          </w:p>
        </w:tc>
        <w:bookmarkStart w:id="0" w:name="_GoBack"/>
        <w:bookmarkEnd w:id="0"/>
      </w:tr>
    </w:tbl>
    <w:p w:rsidR="00375437" w:rsidRPr="00575270" w:rsidRDefault="00375437" w:rsidP="0014204A">
      <w:pPr>
        <w:adjustRightInd w:val="0"/>
        <w:snapToGrid w:val="0"/>
        <w:spacing w:beforeLines="50"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375437" w:rsidRPr="00575270" w:rsidRDefault="00375437" w:rsidP="00375437">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4061AC" w:rsidRPr="005A3D62" w:rsidRDefault="004061AC" w:rsidP="0014204A">
      <w:pPr>
        <w:pStyle w:val="1"/>
        <w:spacing w:beforeLines="100" w:afterLines="100"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66,834,947.64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1,418,890.85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20,205,538.77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48,048,299.72</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4204A">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无。</w:t>
      </w:r>
    </w:p>
    <w:p w:rsidR="00410630" w:rsidRDefault="00410630" w:rsidP="00C15CAC">
      <w:pPr>
        <w:autoSpaceDE w:val="0"/>
        <w:autoSpaceDN w:val="0"/>
        <w:adjustRightInd w:val="0"/>
        <w:spacing w:before="29" w:line="288" w:lineRule="auto"/>
        <w:jc w:val="left"/>
        <w:rPr>
          <w:rFonts w:eastAsiaTheme="minorEastAsia"/>
          <w:color w:val="000000"/>
          <w:sz w:val="24"/>
        </w:rPr>
      </w:pPr>
    </w:p>
    <w:p w:rsidR="00B22DEE" w:rsidRPr="00E02660" w:rsidRDefault="004061AC" w:rsidP="0014204A">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14D1D" w:rsidRDefault="002B10F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、中国证监会批准上投摩根尚睿混合型基金中基金</w:t>
      </w:r>
      <w:r>
        <w:rPr>
          <w:color w:val="000000"/>
          <w:sz w:val="24"/>
          <w:szCs w:val="24"/>
        </w:rPr>
        <w:t>(FOF)</w:t>
      </w:r>
      <w:r>
        <w:rPr>
          <w:color w:val="000000"/>
          <w:sz w:val="24"/>
          <w:szCs w:val="24"/>
        </w:rPr>
        <w:t>设立的文件；</w:t>
      </w:r>
      <w:r>
        <w:rPr>
          <w:color w:val="000000"/>
          <w:sz w:val="24"/>
          <w:szCs w:val="24"/>
        </w:rPr>
        <w:t xml:space="preserve"> </w:t>
      </w:r>
    </w:p>
    <w:p w:rsidR="00C14D1D" w:rsidRDefault="002B10F9">
      <w:pPr>
        <w:spacing w:before="29" w:line="288" w:lineRule="auto"/>
        <w:ind w:firstLineChars="200" w:firstLine="480"/>
        <w:rPr>
          <w:color w:val="000000"/>
          <w:sz w:val="24"/>
          <w:szCs w:val="24"/>
        </w:rPr>
      </w:pPr>
      <w:r>
        <w:rPr>
          <w:color w:val="000000"/>
          <w:sz w:val="24"/>
          <w:szCs w:val="24"/>
        </w:rPr>
        <w:t>2</w:t>
      </w:r>
      <w:r>
        <w:rPr>
          <w:color w:val="000000"/>
          <w:sz w:val="24"/>
          <w:szCs w:val="24"/>
        </w:rPr>
        <w:t>、《上投摩根尚睿混合型基金中基金</w:t>
      </w:r>
      <w:r>
        <w:rPr>
          <w:color w:val="000000"/>
          <w:sz w:val="24"/>
          <w:szCs w:val="24"/>
        </w:rPr>
        <w:t>(FOF)</w:t>
      </w:r>
      <w:r>
        <w:rPr>
          <w:color w:val="000000"/>
          <w:sz w:val="24"/>
          <w:szCs w:val="24"/>
        </w:rPr>
        <w:t>基金合同》；</w:t>
      </w:r>
      <w:r>
        <w:rPr>
          <w:color w:val="000000"/>
          <w:sz w:val="24"/>
          <w:szCs w:val="24"/>
        </w:rPr>
        <w:t xml:space="preserve"> </w:t>
      </w:r>
    </w:p>
    <w:p w:rsidR="00C14D1D" w:rsidRDefault="002B10F9">
      <w:pPr>
        <w:spacing w:before="29" w:line="288" w:lineRule="auto"/>
        <w:ind w:firstLineChars="200" w:firstLine="480"/>
        <w:rPr>
          <w:color w:val="000000"/>
          <w:sz w:val="24"/>
          <w:szCs w:val="24"/>
        </w:rPr>
      </w:pPr>
      <w:r>
        <w:rPr>
          <w:color w:val="000000"/>
          <w:sz w:val="24"/>
          <w:szCs w:val="24"/>
        </w:rPr>
        <w:t>3</w:t>
      </w:r>
      <w:r>
        <w:rPr>
          <w:color w:val="000000"/>
          <w:sz w:val="24"/>
          <w:szCs w:val="24"/>
        </w:rPr>
        <w:t>、《上投摩根尚睿混合型基金中基金</w:t>
      </w:r>
      <w:r>
        <w:rPr>
          <w:color w:val="000000"/>
          <w:sz w:val="24"/>
          <w:szCs w:val="24"/>
        </w:rPr>
        <w:t>(FOF)</w:t>
      </w:r>
      <w:r>
        <w:rPr>
          <w:color w:val="000000"/>
          <w:sz w:val="24"/>
          <w:szCs w:val="24"/>
        </w:rPr>
        <w:t>托管协议》；</w:t>
      </w:r>
      <w:r>
        <w:rPr>
          <w:color w:val="000000"/>
          <w:sz w:val="24"/>
          <w:szCs w:val="24"/>
        </w:rPr>
        <w:t xml:space="preserve"> </w:t>
      </w:r>
    </w:p>
    <w:p w:rsidR="00C14D1D" w:rsidRDefault="002B10F9">
      <w:pPr>
        <w:spacing w:before="29" w:line="288" w:lineRule="auto"/>
        <w:ind w:firstLineChars="200" w:firstLine="480"/>
        <w:rPr>
          <w:color w:val="000000"/>
          <w:sz w:val="24"/>
          <w:szCs w:val="24"/>
        </w:rPr>
      </w:pPr>
      <w:r>
        <w:rPr>
          <w:color w:val="000000"/>
          <w:sz w:val="24"/>
          <w:szCs w:val="24"/>
        </w:rPr>
        <w:t>4</w:t>
      </w:r>
      <w:r>
        <w:rPr>
          <w:color w:val="000000"/>
          <w:sz w:val="24"/>
          <w:szCs w:val="24"/>
        </w:rPr>
        <w:t>、《上投摩根开放式基金业务规则》；</w:t>
      </w:r>
      <w:r>
        <w:rPr>
          <w:color w:val="000000"/>
          <w:sz w:val="24"/>
          <w:szCs w:val="24"/>
        </w:rPr>
        <w:t xml:space="preserve"> </w:t>
      </w:r>
    </w:p>
    <w:p w:rsidR="00C14D1D" w:rsidRDefault="002B10F9">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、基金托管人业务资格批件和营业执照。</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投资者可在营业时间免费查阅，也可按工本费购买复印件。</w:t>
      </w:r>
    </w:p>
    <w:p w:rsidR="002C3C7A" w:rsidRDefault="002C3C7A" w:rsidP="00C15CAC">
      <w:pPr>
        <w:spacing w:before="29" w:line="288" w:lineRule="auto"/>
        <w:ind w:firstLineChars="200" w:firstLine="480"/>
        <w:rPr>
          <w:color w:val="000000"/>
          <w:sz w:val="24"/>
          <w:szCs w:val="24"/>
        </w:rPr>
      </w:pPr>
    </w:p>
    <w:p w:rsidR="004453A2" w:rsidRDefault="004453A2" w:rsidP="00C15CAC">
      <w:pPr>
        <w:spacing w:before="29" w:line="288" w:lineRule="auto"/>
        <w:ind w:firstLineChars="200" w:firstLine="480"/>
        <w:rPr>
          <w:color w:val="000000"/>
          <w:sz w:val="24"/>
          <w:szCs w:val="24"/>
        </w:rPr>
      </w:pPr>
    </w:p>
    <w:p w:rsidR="004453A2" w:rsidRDefault="004453A2" w:rsidP="00C15CAC">
      <w:pPr>
        <w:spacing w:before="29" w:line="288" w:lineRule="auto"/>
        <w:ind w:firstLineChars="200" w:firstLine="480"/>
        <w:rPr>
          <w:color w:val="000000"/>
          <w:sz w:val="24"/>
          <w:szCs w:val="24"/>
        </w:rPr>
      </w:pPr>
    </w:p>
    <w:p w:rsidR="004453A2" w:rsidRDefault="004453A2" w:rsidP="004453A2">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4453A2" w:rsidRDefault="004453A2" w:rsidP="004453A2">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二〇一九年一月二十二日</w:t>
      </w:r>
    </w:p>
    <w:p w:rsidR="004453A2" w:rsidRPr="00414345" w:rsidRDefault="004453A2" w:rsidP="004453A2">
      <w:pPr>
        <w:spacing w:before="29" w:line="288" w:lineRule="auto"/>
        <w:ind w:firstLineChars="200" w:firstLine="480"/>
        <w:jc w:val="right"/>
        <w:rPr>
          <w:color w:val="000000"/>
          <w:sz w:val="24"/>
          <w:szCs w:val="24"/>
        </w:rPr>
      </w:pPr>
    </w:p>
    <w:sectPr w:rsidR="004453A2"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AF4" w:rsidRDefault="004B2AF4" w:rsidP="00876D65">
      <w:r>
        <w:separator/>
      </w:r>
    </w:p>
  </w:endnote>
  <w:endnote w:type="continuationSeparator" w:id="1">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A" w:rsidRDefault="0014204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27647">
      <w:rPr>
        <w:kern w:val="0"/>
        <w:szCs w:val="21"/>
      </w:rPr>
      <w:fldChar w:fldCharType="begin"/>
    </w:r>
    <w:r>
      <w:rPr>
        <w:kern w:val="0"/>
        <w:szCs w:val="21"/>
      </w:rPr>
      <w:instrText xml:space="preserve"> PAGE </w:instrText>
    </w:r>
    <w:r w:rsidR="00727647">
      <w:rPr>
        <w:kern w:val="0"/>
        <w:szCs w:val="21"/>
      </w:rPr>
      <w:fldChar w:fldCharType="separate"/>
    </w:r>
    <w:r w:rsidR="007E4425">
      <w:rPr>
        <w:noProof/>
        <w:kern w:val="0"/>
        <w:szCs w:val="21"/>
      </w:rPr>
      <w:t>14</w:t>
    </w:r>
    <w:r w:rsidR="00727647">
      <w:rPr>
        <w:kern w:val="0"/>
        <w:szCs w:val="21"/>
      </w:rPr>
      <w:fldChar w:fldCharType="end"/>
    </w:r>
    <w:proofErr w:type="gramStart"/>
    <w:r>
      <w:rPr>
        <w:rFonts w:hint="eastAsia"/>
        <w:kern w:val="0"/>
        <w:szCs w:val="21"/>
      </w:rPr>
      <w:t>页共</w:t>
    </w:r>
    <w:proofErr w:type="gramEnd"/>
    <w:r w:rsidR="00727647">
      <w:rPr>
        <w:kern w:val="0"/>
        <w:szCs w:val="21"/>
      </w:rPr>
      <w:fldChar w:fldCharType="begin"/>
    </w:r>
    <w:r>
      <w:rPr>
        <w:kern w:val="0"/>
        <w:szCs w:val="21"/>
      </w:rPr>
      <w:instrText xml:space="preserve"> NUMPAGES </w:instrText>
    </w:r>
    <w:r w:rsidR="00727647">
      <w:rPr>
        <w:kern w:val="0"/>
        <w:szCs w:val="21"/>
      </w:rPr>
      <w:fldChar w:fldCharType="separate"/>
    </w:r>
    <w:r w:rsidR="007E4425">
      <w:rPr>
        <w:noProof/>
        <w:kern w:val="0"/>
        <w:szCs w:val="21"/>
      </w:rPr>
      <w:t>14</w:t>
    </w:r>
    <w:r w:rsidR="00727647">
      <w:rPr>
        <w:kern w:val="0"/>
        <w:szCs w:val="21"/>
      </w:rPr>
      <w:fldChar w:fldCharType="end"/>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A" w:rsidRDefault="001420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AF4" w:rsidRDefault="004B2AF4" w:rsidP="00876D65">
      <w:r>
        <w:separator/>
      </w:r>
    </w:p>
  </w:footnote>
  <w:footnote w:type="continuationSeparator" w:id="1">
    <w:p w:rsidR="004B2AF4" w:rsidRDefault="004B2AF4"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A" w:rsidRDefault="0014204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DC456F" w:rsidRDefault="00DC456F" w:rsidP="00090A26">
    <w:pPr>
      <w:pStyle w:val="a9"/>
      <w:pBdr>
        <w:bottom w:val="single" w:sz="6" w:space="0" w:color="auto"/>
      </w:pBdr>
      <w:jc w:val="right"/>
      <w:rPr>
        <w:sz w:val="24"/>
        <w:szCs w:val="24"/>
      </w:rPr>
    </w:pPr>
    <w:r w:rsidRPr="003E676C">
      <w:rPr>
        <w:sz w:val="24"/>
        <w:szCs w:val="24"/>
      </w:rPr>
      <w:t>上投摩根尚睿混合型基金中基金</w:t>
    </w:r>
    <w:r w:rsidRPr="003E676C">
      <w:rPr>
        <w:sz w:val="24"/>
        <w:szCs w:val="24"/>
      </w:rPr>
      <w:t>(FOF)2018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93A" w:rsidRDefault="003C5F82" w:rsidP="003C5F82">
    <w:pPr>
      <w:pStyle w:val="a9"/>
      <w:jc w:val="right"/>
    </w:pPr>
    <w:r w:rsidRPr="003E676C">
      <w:rPr>
        <w:sz w:val="24"/>
        <w:szCs w:val="24"/>
      </w:rPr>
      <w:t>上投摩根尚睿混合型基金中基金</w:t>
    </w:r>
    <w:r w:rsidRPr="003E676C">
      <w:rPr>
        <w:sz w:val="24"/>
        <w:szCs w:val="24"/>
      </w:rPr>
      <w:t>(FOF)2018</w:t>
    </w:r>
    <w:r w:rsidRPr="003E676C">
      <w:rPr>
        <w:sz w:val="24"/>
        <w:szCs w:val="24"/>
      </w:rPr>
      <w:t>年第</w:t>
    </w:r>
    <w:r w:rsidRPr="003E676C">
      <w:rPr>
        <w:sz w:val="24"/>
        <w:szCs w:val="24"/>
      </w:rPr>
      <w:t>4</w:t>
    </w:r>
    <w:r w:rsidRPr="003E676C">
      <w:rPr>
        <w:sz w:val="24"/>
        <w:szCs w:val="24"/>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D504E"/>
    <w:rsid w:val="000E5DA5"/>
    <w:rsid w:val="000E7E5E"/>
    <w:rsid w:val="000F6CC8"/>
    <w:rsid w:val="00111261"/>
    <w:rsid w:val="0011537B"/>
    <w:rsid w:val="001173C7"/>
    <w:rsid w:val="00133015"/>
    <w:rsid w:val="00137452"/>
    <w:rsid w:val="00137B31"/>
    <w:rsid w:val="0014204A"/>
    <w:rsid w:val="00144F93"/>
    <w:rsid w:val="00147376"/>
    <w:rsid w:val="0015450B"/>
    <w:rsid w:val="00154BE1"/>
    <w:rsid w:val="0015710B"/>
    <w:rsid w:val="00160EDC"/>
    <w:rsid w:val="00162D61"/>
    <w:rsid w:val="00165D54"/>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0F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209"/>
    <w:rsid w:val="003307FE"/>
    <w:rsid w:val="00333AD0"/>
    <w:rsid w:val="00336EAF"/>
    <w:rsid w:val="003470E2"/>
    <w:rsid w:val="0035076C"/>
    <w:rsid w:val="00352719"/>
    <w:rsid w:val="0035383E"/>
    <w:rsid w:val="00355364"/>
    <w:rsid w:val="00364CCB"/>
    <w:rsid w:val="00365798"/>
    <w:rsid w:val="00375437"/>
    <w:rsid w:val="00381EE8"/>
    <w:rsid w:val="0039085F"/>
    <w:rsid w:val="00394069"/>
    <w:rsid w:val="00396809"/>
    <w:rsid w:val="003A58DC"/>
    <w:rsid w:val="003A6061"/>
    <w:rsid w:val="003B3494"/>
    <w:rsid w:val="003B5E08"/>
    <w:rsid w:val="003B6FBC"/>
    <w:rsid w:val="003C32C0"/>
    <w:rsid w:val="003C50AD"/>
    <w:rsid w:val="003C5F82"/>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453A2"/>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3FB1"/>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231"/>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78B"/>
    <w:rsid w:val="00654B0D"/>
    <w:rsid w:val="0065599B"/>
    <w:rsid w:val="00655CD8"/>
    <w:rsid w:val="00655E1C"/>
    <w:rsid w:val="006571DC"/>
    <w:rsid w:val="00660D4B"/>
    <w:rsid w:val="00664ECC"/>
    <w:rsid w:val="0067046B"/>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647"/>
    <w:rsid w:val="0072794E"/>
    <w:rsid w:val="00727DD8"/>
    <w:rsid w:val="00727FCD"/>
    <w:rsid w:val="007311DB"/>
    <w:rsid w:val="00733DDD"/>
    <w:rsid w:val="00750CDF"/>
    <w:rsid w:val="00752BA5"/>
    <w:rsid w:val="00755D86"/>
    <w:rsid w:val="007560EC"/>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4425"/>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A6976"/>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3BD6"/>
    <w:rsid w:val="009F4861"/>
    <w:rsid w:val="009F61BE"/>
    <w:rsid w:val="009F7ED4"/>
    <w:rsid w:val="00A03AAC"/>
    <w:rsid w:val="00A047D1"/>
    <w:rsid w:val="00A21300"/>
    <w:rsid w:val="00A22AD0"/>
    <w:rsid w:val="00A22DA8"/>
    <w:rsid w:val="00A3030E"/>
    <w:rsid w:val="00A31574"/>
    <w:rsid w:val="00A31671"/>
    <w:rsid w:val="00A324F4"/>
    <w:rsid w:val="00A331D6"/>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1B4"/>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4D1D"/>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0CF0"/>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069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1701"/>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22C"/>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600260080">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207377707">
      <w:bodyDiv w:val="1"/>
      <w:marLeft w:val="0"/>
      <w:marRight w:val="0"/>
      <w:marTop w:val="0"/>
      <w:marBottom w:val="0"/>
      <w:divBdr>
        <w:top w:val="none" w:sz="0" w:space="0" w:color="auto"/>
        <w:left w:val="none" w:sz="0" w:space="0" w:color="auto"/>
        <w:bottom w:val="none" w:sz="0" w:space="0" w:color="auto"/>
        <w:right w:val="none" w:sz="0" w:space="0" w:color="auto"/>
      </w:divBdr>
    </w:div>
    <w:div w:id="1242255333">
      <w:bodyDiv w:val="1"/>
      <w:marLeft w:val="0"/>
      <w:marRight w:val="0"/>
      <w:marTop w:val="0"/>
      <w:marBottom w:val="0"/>
      <w:divBdr>
        <w:top w:val="none" w:sz="0" w:space="0" w:color="auto"/>
        <w:left w:val="none" w:sz="0" w:space="0" w:color="auto"/>
        <w:bottom w:val="none" w:sz="0" w:space="0" w:color="auto"/>
        <w:right w:val="none" w:sz="0" w:space="0" w:color="auto"/>
      </w:divBdr>
    </w:div>
    <w:div w:id="1394545095">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7450-9AE6-4824-A6AD-CD28C0FB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14</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ut174</cp:lastModifiedBy>
  <cp:revision>600</cp:revision>
  <dcterms:created xsi:type="dcterms:W3CDTF">2012-10-16T06:07:00Z</dcterms:created>
  <dcterms:modified xsi:type="dcterms:W3CDTF">2019-01-21T09:00:00Z</dcterms:modified>
</cp:coreProperties>
</file>