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B65811">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B65811">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B65811">
      <w:pPr>
        <w:spacing w:line="360" w:lineRule="auto"/>
        <w:jc w:val="center"/>
        <w:rPr>
          <w:rFonts w:hint="eastAsia"/>
        </w:rPr>
      </w:pPr>
      <w:r>
        <w:rPr>
          <w:rFonts w:ascii="宋体" w:hAnsi="宋体" w:hint="eastAsia"/>
          <w:b/>
          <w:bCs/>
          <w:color w:val="000000" w:themeColor="text1"/>
          <w:sz w:val="48"/>
          <w:szCs w:val="30"/>
        </w:rPr>
        <w:t>摩根核心精选股票型证券投资基金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B65811">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B65811">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B65811">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B65811">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000000" w:rsidRDefault="00B65811">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B6581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B65811">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B6581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63918758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B65811">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szCs w:val="24"/>
                <w:lang w:eastAsia="zh-Hans"/>
              </w:rPr>
              <w:t>摩根核心精选股</w:t>
            </w:r>
            <w:r>
              <w:rPr>
                <w:rFonts w:ascii="宋体" w:hAnsi="宋体" w:hint="eastAsia"/>
                <w:szCs w:val="24"/>
                <w:lang w:eastAsia="zh-Hans"/>
              </w:rPr>
              <w:t>票</w:t>
            </w:r>
            <w:r>
              <w:rPr>
                <w:rFonts w:ascii="宋体" w:hAnsi="宋体" w:hint="eastAsia"/>
                <w:lang w:eastAsia="zh-Hans"/>
              </w:rPr>
              <w:t xml:space="preserve"> </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00598</w:t>
            </w:r>
            <w:r>
              <w:rPr>
                <w:rFonts w:ascii="宋体" w:hAnsi="宋体" w:hint="eastAsia"/>
                <w:lang w:eastAsia="zh-Hans"/>
              </w:rPr>
              <w:t>3</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契约型开放</w:t>
            </w:r>
            <w:r>
              <w:rPr>
                <w:rFonts w:ascii="宋体" w:hAnsi="宋体" w:hint="eastAsia"/>
                <w:lang w:eastAsia="zh-Hans"/>
              </w:rPr>
              <w:t>式</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2018</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29</w:t>
            </w:r>
            <w:r>
              <w:rPr>
                <w:rFonts w:ascii="宋体" w:hAnsi="宋体" w:hint="eastAsia"/>
                <w:lang w:eastAsia="zh-Hans"/>
              </w:rPr>
              <w:t>日</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150,988,503.0</w:t>
            </w:r>
            <w:r>
              <w:rPr>
                <w:rFonts w:ascii="宋体" w:hAnsi="宋体" w:hint="eastAsia"/>
                <w:lang w:eastAsia="zh-Hans"/>
              </w:rPr>
              <w:t>7</w:t>
            </w:r>
            <w:r>
              <w:rPr>
                <w:rFonts w:hint="eastAsia"/>
              </w:rPr>
              <w:t>份</w:t>
            </w:r>
            <w:r>
              <w:rPr>
                <w:rFonts w:ascii="宋体" w:hAnsi="宋体" w:hint="eastAsia"/>
                <w:lang w:eastAsia="zh-Hans"/>
              </w:rPr>
              <w:t xml:space="preserve"> </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本基金将充分利用基金管理人投研团队的集体智慧，精选具有长期增长潜力的上市公司，力争获取超越业绩基准的收益</w:t>
            </w:r>
            <w:r>
              <w:rPr>
                <w:rFonts w:ascii="宋体" w:hAnsi="宋体" w:hint="eastAsia"/>
                <w:lang w:eastAsia="zh-Hans"/>
              </w:rPr>
              <w:t>。</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t>本基金将充分发挥基金管理人的研究优势，将严谨、规范的选股方法与积极主动的投资风格相结和，通过“自下而上”的个股精选策略，精选公司治理良好且具有较好成长性的公司，分享其发展和成长机会。</w:t>
            </w:r>
            <w:r>
              <w:rPr>
                <w:rFonts w:ascii="宋体" w:hAnsi="宋体" w:hint="eastAsia"/>
                <w:lang w:eastAsia="zh-Hans"/>
              </w:rPr>
              <w:br/>
            </w:r>
            <w:r>
              <w:rPr>
                <w:rFonts w:ascii="宋体" w:hAnsi="宋体" w:hint="eastAsia"/>
                <w:lang w:eastAsia="zh-Hans"/>
              </w:rPr>
              <w:t>本基金的股票投资包</w:t>
            </w:r>
            <w:r>
              <w:rPr>
                <w:rFonts w:ascii="宋体" w:hAnsi="宋体" w:hint="eastAsia"/>
                <w:lang w:eastAsia="zh-Hans"/>
              </w:rPr>
              <w:t>含核心股票和精选股票两个层面。核心股票由公司内部研究组合构成，主要包含了研究部推荐股票，是研究员在对个股进行深度研究和实地调研基础上提出的投资建议。精选股票是指基金</w:t>
            </w:r>
            <w:r>
              <w:rPr>
                <w:rFonts w:ascii="宋体" w:hAnsi="宋体" w:hint="eastAsia"/>
                <w:lang w:eastAsia="zh-Hans"/>
              </w:rPr>
              <w:lastRenderedPageBreak/>
              <w:t>经理基于对宏观经济、政策走向、行业发展以及个股的深入研究与把握，从核心股票中精选具有良好投资价值的股票，构建股票投资组合。</w:t>
            </w:r>
            <w:r>
              <w:rPr>
                <w:rFonts w:ascii="宋体" w:hAnsi="宋体" w:hint="eastAsia"/>
                <w:lang w:eastAsia="zh-Hans"/>
              </w:rPr>
              <w:br/>
              <w:t>3</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w:t>
            </w:r>
            <w:r>
              <w:rPr>
                <w:rFonts w:ascii="宋体" w:hAnsi="宋体" w:hint="eastAsia"/>
                <w:lang w:eastAsia="zh-Hans"/>
              </w:rPr>
              <w:t>可转债策略等多种投资策略，实施积极主动的组合管理，并根据对债券收益率曲线形态、息差变化的预测，对债券组合进行动态调整。</w:t>
            </w:r>
            <w:r>
              <w:rPr>
                <w:rFonts w:ascii="宋体" w:hAnsi="宋体" w:hint="eastAsia"/>
                <w:lang w:eastAsia="zh-Hans"/>
              </w:rPr>
              <w:br/>
              <w:t>4</w:t>
            </w:r>
            <w:r>
              <w:rPr>
                <w:rFonts w:ascii="宋体" w:hAnsi="宋体" w:hint="eastAsia"/>
                <w:lang w:eastAsia="zh-Hans"/>
              </w:rPr>
              <w:t>、其他投资策略：包括股指期货投资策略、资产支持证券投资策略、股票期权投资策略、存托凭证投资策略</w:t>
            </w:r>
            <w:r>
              <w:rPr>
                <w:rFonts w:ascii="宋体" w:hAnsi="宋体" w:hint="eastAsia"/>
                <w:lang w:eastAsia="zh-Hans"/>
              </w:rPr>
              <w:t>。</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中证</w:t>
            </w:r>
            <w:r>
              <w:rPr>
                <w:rFonts w:ascii="宋体" w:hAnsi="宋体" w:hint="eastAsia"/>
                <w:lang w:eastAsia="zh-Hans"/>
              </w:rPr>
              <w:t xml:space="preserve">800 </w:t>
            </w:r>
            <w:r>
              <w:rPr>
                <w:rFonts w:ascii="宋体" w:hAnsi="宋体" w:hint="eastAsia"/>
                <w:lang w:eastAsia="zh-Hans"/>
              </w:rPr>
              <w:t>指数收益率×</w:t>
            </w:r>
            <w:r>
              <w:rPr>
                <w:rFonts w:ascii="宋体" w:hAnsi="宋体" w:hint="eastAsia"/>
                <w:lang w:eastAsia="zh-Hans"/>
              </w:rPr>
              <w:t>85%+</w:t>
            </w:r>
            <w:r>
              <w:rPr>
                <w:rFonts w:ascii="宋体" w:hAnsi="宋体" w:hint="eastAsia"/>
                <w:lang w:eastAsia="zh-Hans"/>
              </w:rPr>
              <w:t>中债总指数收益率×</w:t>
            </w:r>
            <w:r>
              <w:rPr>
                <w:rFonts w:ascii="宋体" w:hAnsi="宋体" w:hint="eastAsia"/>
                <w:lang w:eastAsia="zh-Hans"/>
              </w:rPr>
              <w:t>15</w:t>
            </w:r>
            <w:r>
              <w:rPr>
                <w:rFonts w:ascii="宋体" w:hAnsi="宋体" w:hint="eastAsia"/>
                <w:lang w:eastAsia="zh-Hans"/>
              </w:rPr>
              <w:t>%</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本基金属于股票型基金产品，预期风险和收益水平高于混合型基金、债券型基金和货币市场基金</w:t>
            </w:r>
            <w:r>
              <w:rPr>
                <w:rFonts w:ascii="宋体" w:hAnsi="宋体" w:hint="eastAsia"/>
                <w:lang w:eastAsia="zh-Hans"/>
              </w:rPr>
              <w:t>。</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63918758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1639187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lang w:eastAsia="zh-Hans"/>
              </w:rPr>
              <w:t>摩根核心精选股票</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lang w:eastAsia="zh-Hans"/>
              </w:rPr>
              <w:t>摩根核心精选股票</w:t>
            </w:r>
            <w:r>
              <w:rPr>
                <w:rFonts w:ascii="宋体" w:hAnsi="宋体" w:hint="eastAsia"/>
                <w:lang w:eastAsia="zh-Hans"/>
              </w:rPr>
              <w:t>C</w:t>
            </w:r>
            <w:r>
              <w:rPr>
                <w:rFonts w:ascii="宋体" w:hAnsi="宋体" w:hint="eastAsia"/>
                <w:kern w:val="0"/>
                <w:sz w:val="20"/>
                <w:lang w:eastAsia="zh-Hans"/>
              </w:rPr>
              <w:t xml:space="preserve"> </w:t>
            </w:r>
          </w:p>
        </w:tc>
      </w:tr>
      <w:tr w:rsidR="00000000">
        <w:trPr>
          <w:divId w:val="1639187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lang w:eastAsia="zh-Hans"/>
              </w:rPr>
              <w:t>00598</w:t>
            </w:r>
            <w:r>
              <w:rPr>
                <w:rFonts w:ascii="宋体" w:hAnsi="宋体" w:hint="eastAsia"/>
                <w:lang w:eastAsia="zh-Hans"/>
              </w:rPr>
              <w:t>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lang w:eastAsia="zh-Hans"/>
              </w:rPr>
              <w:t>01493</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163918758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B6581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lang w:eastAsia="zh-Hans"/>
              </w:rPr>
              <w:t>145,814,210.1</w:t>
            </w:r>
            <w:r>
              <w:rPr>
                <w:rFonts w:ascii="宋体" w:hAnsi="宋体" w:hint="eastAsia"/>
                <w:lang w:eastAsia="zh-Hans"/>
              </w:rPr>
              <w:t>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lang w:eastAsia="zh-Hans"/>
              </w:rPr>
              <w:t>5,174,292.9</w:t>
            </w:r>
            <w:r>
              <w:rPr>
                <w:rFonts w:ascii="宋体" w:hAnsi="宋体" w:hint="eastAsia"/>
                <w:lang w:eastAsia="zh-Hans"/>
              </w:rPr>
              <w:t>2</w:t>
            </w:r>
            <w:r>
              <w:rPr>
                <w:rFonts w:hint="eastAsia"/>
              </w:rPr>
              <w:t>份</w:t>
            </w:r>
            <w:r>
              <w:rPr>
                <w:rFonts w:ascii="宋体" w:hAnsi="宋体" w:hint="eastAsia"/>
                <w:lang w:eastAsia="zh-Hans"/>
              </w:rPr>
              <w:t xml:space="preserve"> </w:t>
            </w:r>
          </w:p>
        </w:tc>
      </w:tr>
    </w:tbl>
    <w:p w:rsidR="00000000" w:rsidRDefault="00B65811">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B65811">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B65811">
      <w:pPr>
        <w:jc w:val="right"/>
        <w:divId w:val="1335835080"/>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33583508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B65811">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B65811">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33583508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6581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B65811">
            <w:pPr>
              <w:jc w:val="center"/>
              <w:rPr>
                <w:rFonts w:hint="eastAsia"/>
              </w:rPr>
            </w:pPr>
            <w:r>
              <w:rPr>
                <w:rFonts w:ascii="宋体" w:hAnsi="宋体" w:hint="eastAsia"/>
                <w:szCs w:val="24"/>
                <w:lang w:eastAsia="zh-Hans"/>
              </w:rPr>
              <w:t>摩根核心精选股票</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B65811">
            <w:pPr>
              <w:jc w:val="center"/>
            </w:pPr>
            <w:r>
              <w:rPr>
                <w:rFonts w:ascii="宋体" w:hAnsi="宋体" w:hint="eastAsia"/>
                <w:szCs w:val="24"/>
                <w:lang w:eastAsia="zh-Hans"/>
              </w:rPr>
              <w:t>摩根核心精选股票</w:t>
            </w:r>
            <w:r>
              <w:rPr>
                <w:rFonts w:ascii="宋体" w:hAnsi="宋体" w:hint="eastAsia"/>
                <w:szCs w:val="24"/>
                <w:lang w:eastAsia="zh-Hans"/>
              </w:rPr>
              <w:t>C</w:t>
            </w:r>
          </w:p>
        </w:tc>
      </w:tr>
      <w:tr w:rsidR="00000000">
        <w:trPr>
          <w:divId w:val="13358350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rPr>
                <w:rFonts w:hint="eastAsia"/>
              </w:rPr>
            </w:pPr>
            <w:r>
              <w:rPr>
                <w:rFonts w:ascii="宋体" w:hAnsi="宋体" w:hint="eastAsia"/>
                <w:szCs w:val="24"/>
                <w:lang w:eastAsia="zh-Hans"/>
              </w:rPr>
              <w:t>-3,110,353.0</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pPr>
            <w:r>
              <w:rPr>
                <w:rFonts w:ascii="宋体" w:hAnsi="宋体" w:hint="eastAsia"/>
                <w:szCs w:val="24"/>
                <w:lang w:eastAsia="zh-Hans"/>
              </w:rPr>
              <w:t>-103,666.8</w:t>
            </w:r>
            <w:r>
              <w:rPr>
                <w:rFonts w:ascii="宋体" w:hAnsi="宋体" w:hint="eastAsia"/>
                <w:szCs w:val="24"/>
                <w:lang w:eastAsia="zh-Hans"/>
              </w:rPr>
              <w:t>8</w:t>
            </w:r>
          </w:p>
        </w:tc>
      </w:tr>
      <w:tr w:rsidR="00000000">
        <w:trPr>
          <w:divId w:val="13358350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rPr>
                <w:rFonts w:hint="eastAsia"/>
              </w:rPr>
            </w:pPr>
            <w:r>
              <w:rPr>
                <w:rFonts w:ascii="宋体" w:hAnsi="宋体" w:hint="eastAsia"/>
                <w:szCs w:val="24"/>
                <w:lang w:eastAsia="zh-Hans"/>
              </w:rPr>
              <w:t>-1,429,069.0</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pPr>
            <w:r>
              <w:rPr>
                <w:rFonts w:ascii="宋体" w:hAnsi="宋体" w:hint="eastAsia"/>
                <w:szCs w:val="24"/>
                <w:lang w:eastAsia="zh-Hans"/>
              </w:rPr>
              <w:t>-56,999.4</w:t>
            </w:r>
            <w:r>
              <w:rPr>
                <w:rFonts w:ascii="宋体" w:hAnsi="宋体" w:hint="eastAsia"/>
                <w:szCs w:val="24"/>
                <w:lang w:eastAsia="zh-Hans"/>
              </w:rPr>
              <w:t>6</w:t>
            </w:r>
          </w:p>
        </w:tc>
      </w:tr>
      <w:tr w:rsidR="00000000">
        <w:trPr>
          <w:divId w:val="13358350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rPr>
                <w:rFonts w:hint="eastAsia"/>
              </w:rPr>
            </w:pPr>
            <w:r>
              <w:rPr>
                <w:rFonts w:ascii="宋体" w:hAnsi="宋体" w:hint="eastAsia"/>
                <w:szCs w:val="24"/>
                <w:lang w:eastAsia="zh-Hans"/>
              </w:rPr>
              <w:t>-0.009</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pPr>
            <w:r>
              <w:rPr>
                <w:rFonts w:ascii="宋体" w:hAnsi="宋体" w:hint="eastAsia"/>
                <w:szCs w:val="24"/>
                <w:lang w:eastAsia="zh-Hans"/>
              </w:rPr>
              <w:t>-0.011</w:t>
            </w:r>
            <w:r>
              <w:rPr>
                <w:rFonts w:ascii="宋体" w:hAnsi="宋体" w:hint="eastAsia"/>
                <w:szCs w:val="24"/>
                <w:lang w:eastAsia="zh-Hans"/>
              </w:rPr>
              <w:t>3</w:t>
            </w:r>
          </w:p>
        </w:tc>
      </w:tr>
      <w:tr w:rsidR="00000000">
        <w:trPr>
          <w:divId w:val="13358350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rPr>
                <w:rFonts w:hint="eastAsia"/>
              </w:rPr>
            </w:pPr>
            <w:r>
              <w:rPr>
                <w:rFonts w:ascii="宋体" w:hAnsi="宋体" w:hint="eastAsia"/>
                <w:szCs w:val="24"/>
                <w:lang w:eastAsia="zh-Hans"/>
              </w:rPr>
              <w:t>150,080,309.8</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pPr>
            <w:r>
              <w:rPr>
                <w:rFonts w:ascii="宋体" w:hAnsi="宋体" w:hint="eastAsia"/>
                <w:szCs w:val="24"/>
                <w:lang w:eastAsia="zh-Hans"/>
              </w:rPr>
              <w:t>5,227,117.4</w:t>
            </w:r>
            <w:r>
              <w:rPr>
                <w:rFonts w:ascii="宋体" w:hAnsi="宋体" w:hint="eastAsia"/>
                <w:szCs w:val="24"/>
                <w:lang w:eastAsia="zh-Hans"/>
              </w:rPr>
              <w:t>1</w:t>
            </w:r>
          </w:p>
        </w:tc>
      </w:tr>
      <w:tr w:rsidR="00000000">
        <w:trPr>
          <w:divId w:val="13358350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rPr>
                <w:rFonts w:hint="eastAsia"/>
              </w:rPr>
            </w:pPr>
            <w:r>
              <w:rPr>
                <w:rFonts w:ascii="宋体" w:hAnsi="宋体" w:hint="eastAsia"/>
                <w:szCs w:val="24"/>
                <w:lang w:eastAsia="zh-Hans"/>
              </w:rPr>
              <w:t>1.029</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B65811">
            <w:pPr>
              <w:jc w:val="right"/>
            </w:pPr>
            <w:r>
              <w:rPr>
                <w:rFonts w:ascii="宋体" w:hAnsi="宋体" w:hint="eastAsia"/>
                <w:szCs w:val="24"/>
                <w:lang w:eastAsia="zh-Hans"/>
              </w:rPr>
              <w:t>1.010</w:t>
            </w:r>
            <w:r>
              <w:rPr>
                <w:rFonts w:ascii="宋体" w:hAnsi="宋体" w:hint="eastAsia"/>
                <w:szCs w:val="24"/>
                <w:lang w:eastAsia="zh-Hans"/>
              </w:rPr>
              <w:t>2</w:t>
            </w:r>
          </w:p>
        </w:tc>
      </w:tr>
    </w:tbl>
    <w:p w:rsidR="00000000" w:rsidRDefault="00B65811">
      <w:pPr>
        <w:wordWrap w:val="0"/>
        <w:spacing w:line="360" w:lineRule="auto"/>
        <w:jc w:val="left"/>
        <w:divId w:val="992758003"/>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B65811">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B65811">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B65811">
      <w:pPr>
        <w:spacing w:line="360" w:lineRule="auto"/>
        <w:jc w:val="center"/>
        <w:divId w:val="159319717"/>
        <w:rPr>
          <w:rFonts w:hint="eastAsia"/>
        </w:rPr>
      </w:pPr>
      <w:r>
        <w:rPr>
          <w:rFonts w:ascii="宋体" w:hAnsi="宋体" w:hint="eastAsia"/>
        </w:rPr>
        <w:t>摩根核心精选股票</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5931971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②－④</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-1.0</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-0.4</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-0.5</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0.6</w:t>
            </w:r>
            <w:r>
              <w:rPr>
                <w:rFonts w:ascii="宋体" w:hAnsi="宋体" w:hint="eastAsia"/>
              </w:rPr>
              <w:t>5</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-14.0</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2.1</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1.2</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-12.5</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0.9</w:t>
            </w:r>
            <w:r>
              <w:rPr>
                <w:rFonts w:ascii="宋体" w:hAnsi="宋体" w:hint="eastAsia"/>
              </w:rPr>
              <w:t>6</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-10.5</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9.0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1.1</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-19.5</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0.7</w:t>
            </w:r>
            <w:r>
              <w:rPr>
                <w:rFonts w:ascii="宋体" w:hAnsi="宋体" w:hint="eastAsia"/>
              </w:rPr>
              <w:t>0</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-52.6</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-5.7</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0.9</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-46.8</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5</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-21.0</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7.4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0.9</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-28.4</w:t>
            </w:r>
            <w:r>
              <w:rPr>
                <w:rFonts w:ascii="宋体" w:hAnsi="宋体" w:hint="eastAsia"/>
              </w:rPr>
              <w:t>6</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1</w:t>
            </w:r>
            <w:r>
              <w:rPr>
                <w:rFonts w:ascii="宋体" w:hAnsi="宋体" w:hint="eastAsia"/>
              </w:rPr>
              <w:t xml:space="preserve">% </w:t>
            </w:r>
          </w:p>
        </w:tc>
      </w:tr>
      <w:tr w:rsidR="00000000">
        <w:trPr>
          <w:divId w:val="1593197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2.9</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1.6</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22.3</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1.0</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-19.4</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0.6</w:t>
            </w:r>
            <w:r>
              <w:rPr>
                <w:rFonts w:ascii="宋体" w:hAnsi="宋体" w:hint="eastAsia"/>
              </w:rPr>
              <w:t>3</w:t>
            </w:r>
            <w:r>
              <w:rPr>
                <w:rFonts w:ascii="宋体" w:hAnsi="宋体" w:hint="eastAsia"/>
              </w:rPr>
              <w:t xml:space="preserve">% </w:t>
            </w:r>
          </w:p>
        </w:tc>
      </w:tr>
    </w:tbl>
    <w:p w:rsidR="00000000" w:rsidRDefault="00B65811">
      <w:pPr>
        <w:spacing w:line="360" w:lineRule="auto"/>
        <w:jc w:val="center"/>
        <w:divId w:val="1030060815"/>
      </w:pPr>
      <w:r>
        <w:rPr>
          <w:rFonts w:ascii="宋体" w:hAnsi="宋体" w:hint="eastAsia"/>
        </w:rPr>
        <w:t>摩根核心精选股票</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03006081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03006081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-1.1</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-0.4</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-0.6</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0.6</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03006081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-14.2</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2.1</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-1.4</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1.2</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-12.8</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0.9</w:t>
            </w:r>
            <w:r>
              <w:rPr>
                <w:rFonts w:ascii="宋体" w:hAnsi="宋体" w:hint="eastAsia"/>
              </w:rPr>
              <w:t>6</w:t>
            </w:r>
            <w:r>
              <w:rPr>
                <w:rFonts w:ascii="宋体" w:hAnsi="宋体" w:hint="eastAsia"/>
              </w:rPr>
              <w:t>%</w:t>
            </w:r>
            <w:r>
              <w:rPr>
                <w:rFonts w:ascii="宋体" w:hAnsi="宋体" w:hint="eastAsia"/>
              </w:rPr>
              <w:t xml:space="preserve"> </w:t>
            </w:r>
          </w:p>
        </w:tc>
      </w:tr>
      <w:tr w:rsidR="00000000">
        <w:trPr>
          <w:divId w:val="103006081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-11.1</w:t>
            </w:r>
            <w:r>
              <w:rPr>
                <w:rFonts w:ascii="宋体" w:hAnsi="宋体" w:hint="eastAsia"/>
              </w:rPr>
              <w:t>1</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9.0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1.1</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-20.1</w:t>
            </w:r>
            <w:r>
              <w:rPr>
                <w:rFonts w:ascii="宋体" w:hAnsi="宋体" w:hint="eastAsia"/>
              </w:rPr>
              <w:t>1</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0.7</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03006081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-53.4</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-5.7</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0.9</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-47.7</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03006081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-59.0</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1.8</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-11.8</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1.0</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B65811">
            <w:pPr>
              <w:spacing w:line="360" w:lineRule="auto"/>
              <w:jc w:val="right"/>
            </w:pPr>
            <w:r>
              <w:rPr>
                <w:rFonts w:ascii="宋体" w:hAnsi="宋体" w:hint="eastAsia"/>
              </w:rPr>
              <w:t>-47.2</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spacing w:line="360" w:lineRule="auto"/>
              <w:jc w:val="right"/>
            </w:pPr>
            <w:r>
              <w:rPr>
                <w:rFonts w:ascii="宋体" w:hAnsi="宋体" w:hint="eastAsia"/>
              </w:rPr>
              <w:t>0.8</w:t>
            </w:r>
            <w:r>
              <w:rPr>
                <w:rFonts w:ascii="宋体" w:hAnsi="宋体" w:hint="eastAsia"/>
              </w:rPr>
              <w:t>2</w:t>
            </w:r>
            <w:r>
              <w:rPr>
                <w:rFonts w:ascii="宋体" w:hAnsi="宋体" w:hint="eastAsia"/>
              </w:rPr>
              <w:t>%</w:t>
            </w:r>
            <w:r>
              <w:rPr>
                <w:rFonts w:ascii="宋体" w:hAnsi="宋体" w:hint="eastAsia"/>
              </w:rPr>
              <w:t xml:space="preserve"> </w:t>
            </w:r>
          </w:p>
        </w:tc>
      </w:tr>
    </w:tbl>
    <w:p w:rsidR="00000000" w:rsidRDefault="00B65811">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B65811">
      <w:pPr>
        <w:spacing w:line="360" w:lineRule="auto"/>
        <w:jc w:val="left"/>
        <w:divId w:val="834611565"/>
        <w:rPr>
          <w:rFonts w:hint="eastAsia"/>
        </w:rPr>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B65811">
      <w:pPr>
        <w:spacing w:line="360" w:lineRule="auto"/>
        <w:jc w:val="left"/>
        <w:divId w:val="133719674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B65811">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2018</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29</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w:t>
      </w:r>
      <w:r>
        <w:rPr>
          <w:rFonts w:ascii="宋体" w:hAnsi="宋体" w:hint="eastAsia"/>
          <w:lang w:eastAsia="zh-Hans"/>
        </w:rPr>
        <w:t xml:space="preserve"> 2022</w:t>
      </w:r>
      <w:r>
        <w:rPr>
          <w:rFonts w:ascii="宋体" w:hAnsi="宋体" w:hint="eastAsia"/>
          <w:lang w:eastAsia="zh-Hans"/>
        </w:rPr>
        <w:t>年</w:t>
      </w:r>
      <w:r>
        <w:rPr>
          <w:rFonts w:ascii="宋体" w:hAnsi="宋体" w:hint="eastAsia"/>
          <w:lang w:eastAsia="zh-Hans"/>
        </w:rPr>
        <w:t>1</w:t>
      </w:r>
      <w:r>
        <w:rPr>
          <w:rFonts w:ascii="宋体" w:hAnsi="宋体" w:hint="eastAsia"/>
          <w:lang w:eastAsia="zh-Hans"/>
        </w:rPr>
        <w:t>月</w:t>
      </w:r>
      <w:r>
        <w:rPr>
          <w:rFonts w:ascii="宋体" w:hAnsi="宋体" w:hint="eastAsia"/>
          <w:lang w:eastAsia="zh-Hans"/>
        </w:rPr>
        <w:t>25</w:t>
      </w:r>
      <w:r>
        <w:rPr>
          <w:rFonts w:ascii="宋体" w:hAnsi="宋体" w:hint="eastAsia"/>
          <w:lang w:eastAsia="zh-Hans"/>
        </w:rPr>
        <w:t>日起增加</w:t>
      </w:r>
      <w:r>
        <w:rPr>
          <w:rFonts w:ascii="宋体" w:hAnsi="宋体" w:hint="eastAsia"/>
          <w:lang w:eastAsia="zh-Hans"/>
        </w:rPr>
        <w:t>C</w:t>
      </w:r>
      <w:r>
        <w:rPr>
          <w:rFonts w:ascii="宋体" w:hAnsi="宋体" w:hint="eastAsia"/>
          <w:lang w:eastAsia="zh-Hans"/>
        </w:rPr>
        <w:t>类份额，相关数据按实际存续期计算。</w:t>
      </w:r>
      <w:r>
        <w:rPr>
          <w:rFonts w:ascii="宋体" w:hAnsi="宋体" w:hint="eastAsia"/>
          <w:lang w:eastAsia="zh-Hans"/>
        </w:rPr>
        <w:t xml:space="preserve"> </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B65811">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B65811">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84837706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84837706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6581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6581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6581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65811">
            <w:pPr>
              <w:widowControl/>
              <w:jc w:val="left"/>
            </w:pPr>
          </w:p>
        </w:tc>
      </w:tr>
      <w:tr w:rsidR="00000000">
        <w:trPr>
          <w:divId w:val="84837706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lastRenderedPageBreak/>
              <w:t>李</w:t>
            </w:r>
            <w:r>
              <w:rPr>
                <w:rFonts w:ascii="宋体" w:hAnsi="宋体" w:hint="eastAsia"/>
                <w:szCs w:val="24"/>
                <w:lang w:eastAsia="zh-Hans"/>
              </w:rPr>
              <w:t>博</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2018</w:t>
            </w:r>
            <w:r>
              <w:rPr>
                <w:rFonts w:ascii="宋体" w:hAnsi="宋体" w:hint="eastAsia"/>
                <w:szCs w:val="24"/>
                <w:lang w:eastAsia="zh-Hans"/>
              </w:rPr>
              <w:t>年</w:t>
            </w:r>
            <w:r>
              <w:rPr>
                <w:rFonts w:ascii="宋体" w:hAnsi="宋体" w:hint="eastAsia"/>
                <w:szCs w:val="24"/>
                <w:lang w:eastAsia="zh-Hans"/>
              </w:rPr>
              <w:t>11</w:t>
            </w:r>
            <w:r>
              <w:rPr>
                <w:rFonts w:ascii="宋体" w:hAnsi="宋体" w:hint="eastAsia"/>
                <w:szCs w:val="24"/>
                <w:lang w:eastAsia="zh-Hans"/>
              </w:rPr>
              <w:t>月</w:t>
            </w:r>
            <w:r>
              <w:rPr>
                <w:rFonts w:ascii="宋体" w:hAnsi="宋体" w:hint="eastAsia"/>
                <w:szCs w:val="24"/>
                <w:lang w:eastAsia="zh-Hans"/>
              </w:rPr>
              <w:t>29</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16</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szCs w:val="24"/>
                <w:lang w:eastAsia="zh-Hans"/>
              </w:rPr>
              <w:t>李博先生曾任中银国际证券有限公司研究员。</w:t>
            </w:r>
            <w:r>
              <w:rPr>
                <w:rFonts w:ascii="宋体" w:hAnsi="宋体" w:hint="eastAsia"/>
                <w:szCs w:val="24"/>
                <w:lang w:eastAsia="zh-Hans"/>
              </w:rPr>
              <w:t>2010</w:t>
            </w:r>
            <w:r>
              <w:rPr>
                <w:rFonts w:ascii="宋体" w:hAnsi="宋体" w:hint="eastAsia"/>
                <w:szCs w:val="24"/>
                <w:lang w:eastAsia="zh-Hans"/>
              </w:rPr>
              <w:t>年</w:t>
            </w:r>
            <w:r>
              <w:rPr>
                <w:rFonts w:ascii="宋体" w:hAnsi="宋体" w:hint="eastAsia"/>
                <w:szCs w:val="24"/>
                <w:lang w:eastAsia="zh-Hans"/>
              </w:rPr>
              <w:t>11</w:t>
            </w:r>
            <w:r>
              <w:rPr>
                <w:rFonts w:ascii="宋体" w:hAnsi="宋体" w:hint="eastAsia"/>
                <w:szCs w:val="24"/>
                <w:lang w:eastAsia="zh-Hans"/>
              </w:rPr>
              <w:t>月起加入摩根基金管理（中国）有限公司（原上投摩根基金管理有限公司），历任行业专家、基金经理，现任国内权益投资部价值成长组组长兼资深基金经理</w:t>
            </w:r>
            <w:r>
              <w:rPr>
                <w:rFonts w:ascii="宋体" w:hAnsi="宋体" w:hint="eastAsia"/>
                <w:szCs w:val="24"/>
                <w:lang w:eastAsia="zh-Hans"/>
              </w:rPr>
              <w:t>。</w:t>
            </w:r>
          </w:p>
        </w:tc>
      </w:tr>
      <w:tr w:rsidR="00000000">
        <w:trPr>
          <w:divId w:val="84837706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赵隆</w:t>
            </w:r>
            <w:r>
              <w:rPr>
                <w:rFonts w:ascii="宋体" w:hAnsi="宋体" w:hint="eastAsia"/>
                <w:szCs w:val="24"/>
                <w:lang w:eastAsia="zh-Hans"/>
              </w:rPr>
              <w:t>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4</w:t>
            </w:r>
            <w:r>
              <w:rPr>
                <w:rFonts w:ascii="宋体" w:hAnsi="宋体" w:hint="eastAsia"/>
                <w:szCs w:val="24"/>
                <w:lang w:eastAsia="zh-Hans"/>
              </w:rPr>
              <w:t>月</w:t>
            </w:r>
            <w:r>
              <w:rPr>
                <w:rFonts w:ascii="宋体" w:hAnsi="宋体" w:hint="eastAsia"/>
                <w:szCs w:val="24"/>
                <w:lang w:eastAsia="zh-Hans"/>
              </w:rPr>
              <w:t>23</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16</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szCs w:val="24"/>
                <w:lang w:eastAsia="zh-Hans"/>
              </w:rPr>
              <w:t>赵隆隆先生曾任上海申银万国证券研究所有限公司制造业研究部资深高级分析师。</w:t>
            </w:r>
            <w:r>
              <w:rPr>
                <w:rFonts w:ascii="宋体" w:hAnsi="宋体" w:hint="eastAsia"/>
                <w:szCs w:val="24"/>
                <w:lang w:eastAsia="zh-Hans"/>
              </w:rPr>
              <w:t>2016</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月起加入摩根基金管理（中国）有限公司（原上投摩根基金管理有限公司），历任行业专家、行业专家兼研究组长、行业专家兼研究组长</w:t>
            </w:r>
            <w:r>
              <w:rPr>
                <w:rFonts w:ascii="宋体" w:hAnsi="宋体" w:hint="eastAsia"/>
                <w:szCs w:val="24"/>
                <w:lang w:eastAsia="zh-Hans"/>
              </w:rPr>
              <w:t>/</w:t>
            </w:r>
            <w:r>
              <w:rPr>
                <w:rFonts w:ascii="宋体" w:hAnsi="宋体" w:hint="eastAsia"/>
                <w:szCs w:val="24"/>
                <w:lang w:eastAsia="zh-Hans"/>
              </w:rPr>
              <w:t>基金经理助理，现任基金经理</w:t>
            </w:r>
            <w:r>
              <w:rPr>
                <w:rFonts w:ascii="宋体" w:hAnsi="宋体" w:hint="eastAsia"/>
                <w:szCs w:val="24"/>
                <w:lang w:eastAsia="zh-Hans"/>
              </w:rPr>
              <w:t>。</w:t>
            </w:r>
          </w:p>
        </w:tc>
      </w:tr>
    </w:tbl>
    <w:p w:rsidR="00000000" w:rsidRDefault="00B65811">
      <w:pPr>
        <w:wordWrap w:val="0"/>
        <w:spacing w:line="360" w:lineRule="auto"/>
        <w:jc w:val="left"/>
        <w:divId w:val="1050300785"/>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B65811">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B65811">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B65811">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B65811">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B65811">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w:t>
      </w:r>
      <w:r>
        <w:rPr>
          <w:rFonts w:ascii="宋体" w:hAnsi="宋体" w:cs="宋体" w:hint="eastAsia"/>
          <w:color w:val="000000"/>
          <w:kern w:val="0"/>
        </w:rPr>
        <w:t>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B65811">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B65811">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w:t>
      </w:r>
      <w:r>
        <w:rPr>
          <w:rFonts w:ascii="宋体" w:hAnsi="宋体" w:cs="宋体" w:hint="eastAsia"/>
          <w:color w:val="000000"/>
          <w:kern w:val="0"/>
        </w:rPr>
        <w:t>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B65811">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cs="宋体" w:hint="eastAsia"/>
          <w:color w:val="000000"/>
          <w:kern w:val="0"/>
        </w:rPr>
        <w:t>回顾</w:t>
      </w:r>
      <w:r>
        <w:rPr>
          <w:rFonts w:ascii="宋体" w:hAnsi="宋体" w:cs="宋体" w:hint="eastAsia"/>
          <w:color w:val="000000"/>
          <w:kern w:val="0"/>
        </w:rPr>
        <w:t>2025</w:t>
      </w:r>
      <w:r>
        <w:rPr>
          <w:rFonts w:ascii="宋体" w:hAnsi="宋体" w:cs="宋体" w:hint="eastAsia"/>
          <w:color w:val="000000"/>
          <w:kern w:val="0"/>
        </w:rPr>
        <w:t>年一季度，</w:t>
      </w:r>
      <w:r>
        <w:rPr>
          <w:rFonts w:ascii="宋体" w:hAnsi="宋体" w:cs="宋体" w:hint="eastAsia"/>
          <w:color w:val="000000"/>
          <w:kern w:val="0"/>
        </w:rPr>
        <w:t>A</w:t>
      </w:r>
      <w:r>
        <w:rPr>
          <w:rFonts w:ascii="宋体" w:hAnsi="宋体" w:cs="宋体" w:hint="eastAsia"/>
          <w:color w:val="000000"/>
          <w:kern w:val="0"/>
        </w:rPr>
        <w:t>股市场整体呈现“金属涨价、科技主导”的结构性投资机会，宽基指数表现一般，其中上证指数下跌</w:t>
      </w:r>
      <w:r>
        <w:rPr>
          <w:rFonts w:ascii="宋体" w:hAnsi="宋体" w:cs="宋体" w:hint="eastAsia"/>
          <w:color w:val="000000"/>
          <w:kern w:val="0"/>
        </w:rPr>
        <w:t>0.48%</w:t>
      </w:r>
      <w:r>
        <w:rPr>
          <w:rFonts w:ascii="宋体" w:hAnsi="宋体" w:cs="宋体" w:hint="eastAsia"/>
          <w:color w:val="000000"/>
          <w:kern w:val="0"/>
        </w:rPr>
        <w:t>，沪深</w:t>
      </w:r>
      <w:r>
        <w:rPr>
          <w:rFonts w:ascii="宋体" w:hAnsi="宋体" w:cs="宋体" w:hint="eastAsia"/>
          <w:color w:val="000000"/>
          <w:kern w:val="0"/>
        </w:rPr>
        <w:t>300</w:t>
      </w:r>
      <w:r>
        <w:rPr>
          <w:rFonts w:ascii="宋体" w:hAnsi="宋体" w:cs="宋体" w:hint="eastAsia"/>
          <w:color w:val="000000"/>
          <w:kern w:val="0"/>
        </w:rPr>
        <w:t>下跌</w:t>
      </w:r>
      <w:r>
        <w:rPr>
          <w:rFonts w:ascii="宋体" w:hAnsi="宋体" w:cs="宋体" w:hint="eastAsia"/>
          <w:color w:val="000000"/>
          <w:kern w:val="0"/>
        </w:rPr>
        <w:t>1.2%</w:t>
      </w:r>
      <w:r>
        <w:rPr>
          <w:rFonts w:ascii="宋体" w:hAnsi="宋体" w:cs="宋体" w:hint="eastAsia"/>
          <w:color w:val="000000"/>
          <w:kern w:val="0"/>
        </w:rPr>
        <w:t>，创业板指下跌</w:t>
      </w:r>
      <w:r>
        <w:rPr>
          <w:rFonts w:ascii="宋体" w:hAnsi="宋体" w:cs="宋体" w:hint="eastAsia"/>
          <w:color w:val="000000"/>
          <w:kern w:val="0"/>
        </w:rPr>
        <w:t>1.77%</w:t>
      </w:r>
      <w:r>
        <w:rPr>
          <w:rFonts w:ascii="宋体" w:hAnsi="宋体" w:cs="宋体" w:hint="eastAsia"/>
          <w:color w:val="000000"/>
          <w:kern w:val="0"/>
        </w:rPr>
        <w:t>，在</w:t>
      </w:r>
      <w:r>
        <w:rPr>
          <w:rFonts w:ascii="宋体" w:hAnsi="宋体" w:cs="宋体" w:hint="eastAsia"/>
          <w:color w:val="000000"/>
          <w:kern w:val="0"/>
        </w:rPr>
        <w:t>DeepSeek</w:t>
      </w:r>
      <w:r>
        <w:rPr>
          <w:rFonts w:ascii="宋体" w:hAnsi="宋体" w:cs="宋体" w:hint="eastAsia"/>
          <w:color w:val="000000"/>
          <w:kern w:val="0"/>
        </w:rPr>
        <w:t>技术突破以及人形机器人快速研发的强烈刺激下，</w:t>
      </w:r>
      <w:r>
        <w:rPr>
          <w:rFonts w:ascii="宋体" w:hAnsi="宋体" w:cs="宋体" w:hint="eastAsia"/>
          <w:color w:val="000000"/>
          <w:kern w:val="0"/>
        </w:rPr>
        <w:t>AI</w:t>
      </w:r>
      <w:r>
        <w:rPr>
          <w:rFonts w:ascii="宋体" w:hAnsi="宋体" w:cs="宋体" w:hint="eastAsia"/>
          <w:color w:val="000000"/>
          <w:kern w:val="0"/>
        </w:rPr>
        <w:t>科技主线贯穿始终，科创</w:t>
      </w:r>
      <w:r>
        <w:rPr>
          <w:rFonts w:ascii="宋体" w:hAnsi="宋体" w:cs="宋体" w:hint="eastAsia"/>
          <w:color w:val="000000"/>
          <w:kern w:val="0"/>
        </w:rPr>
        <w:t>50</w:t>
      </w:r>
      <w:r>
        <w:rPr>
          <w:rFonts w:ascii="宋体" w:hAnsi="宋体" w:cs="宋体" w:hint="eastAsia"/>
          <w:color w:val="000000"/>
          <w:kern w:val="0"/>
        </w:rPr>
        <w:t>上涨</w:t>
      </w:r>
      <w:r>
        <w:rPr>
          <w:rFonts w:ascii="宋体" w:hAnsi="宋体" w:cs="宋体" w:hint="eastAsia"/>
          <w:color w:val="000000"/>
          <w:kern w:val="0"/>
        </w:rPr>
        <w:t>3.41%</w:t>
      </w:r>
      <w:r>
        <w:rPr>
          <w:rFonts w:ascii="宋体" w:hAnsi="宋体" w:cs="宋体" w:hint="eastAsia"/>
          <w:color w:val="000000"/>
          <w:kern w:val="0"/>
        </w:rPr>
        <w:t>。行业板块上，涨幅前三的行业为有色金属（</w:t>
      </w:r>
      <w:r>
        <w:rPr>
          <w:rFonts w:ascii="宋体" w:hAnsi="宋体" w:cs="宋体" w:hint="eastAsia"/>
          <w:color w:val="000000"/>
          <w:kern w:val="0"/>
        </w:rPr>
        <w:t>+11.96%</w:t>
      </w:r>
      <w:r>
        <w:rPr>
          <w:rFonts w:ascii="宋体" w:hAnsi="宋体" w:cs="宋体" w:hint="eastAsia"/>
          <w:color w:val="000000"/>
          <w:kern w:val="0"/>
        </w:rPr>
        <w:t>）、汽车（</w:t>
      </w:r>
      <w:r>
        <w:rPr>
          <w:rFonts w:ascii="宋体" w:hAnsi="宋体" w:cs="宋体" w:hint="eastAsia"/>
          <w:color w:val="000000"/>
          <w:kern w:val="0"/>
        </w:rPr>
        <w:t>+11.4%</w:t>
      </w:r>
      <w:r>
        <w:rPr>
          <w:rFonts w:ascii="宋体" w:hAnsi="宋体" w:cs="宋体" w:hint="eastAsia"/>
          <w:color w:val="000000"/>
          <w:kern w:val="0"/>
        </w:rPr>
        <w:t>）、机械设备（</w:t>
      </w:r>
      <w:r>
        <w:rPr>
          <w:rFonts w:ascii="宋体" w:hAnsi="宋体" w:cs="宋体" w:hint="eastAsia"/>
          <w:color w:val="000000"/>
          <w:kern w:val="0"/>
        </w:rPr>
        <w:t>+10.6%</w:t>
      </w:r>
      <w:r>
        <w:rPr>
          <w:rFonts w:ascii="宋体" w:hAnsi="宋体" w:cs="宋体" w:hint="eastAsia"/>
          <w:color w:val="000000"/>
          <w:kern w:val="0"/>
        </w:rPr>
        <w:t>），主要为涨价及人形机器人逻辑。跌幅前三的行业为煤炭（</w:t>
      </w:r>
      <w:r>
        <w:rPr>
          <w:rFonts w:ascii="宋体" w:hAnsi="宋体" w:cs="宋体" w:hint="eastAsia"/>
          <w:color w:val="000000"/>
          <w:kern w:val="0"/>
        </w:rPr>
        <w:t>-10.59%</w:t>
      </w:r>
      <w:r>
        <w:rPr>
          <w:rFonts w:ascii="宋体" w:hAnsi="宋体" w:cs="宋体" w:hint="eastAsia"/>
          <w:color w:val="000000"/>
          <w:kern w:val="0"/>
        </w:rPr>
        <w:t>）、商贸零售（</w:t>
      </w:r>
      <w:r>
        <w:rPr>
          <w:rFonts w:ascii="宋体" w:hAnsi="宋体" w:cs="宋体" w:hint="eastAsia"/>
          <w:color w:val="000000"/>
          <w:kern w:val="0"/>
        </w:rPr>
        <w:t>-8.22%</w:t>
      </w:r>
      <w:r>
        <w:rPr>
          <w:rFonts w:ascii="宋体" w:hAnsi="宋体" w:cs="宋体" w:hint="eastAsia"/>
          <w:color w:val="000000"/>
          <w:kern w:val="0"/>
        </w:rPr>
        <w:t>）、石油石化（</w:t>
      </w:r>
      <w:r>
        <w:rPr>
          <w:rFonts w:ascii="宋体" w:hAnsi="宋体" w:cs="宋体" w:hint="eastAsia"/>
          <w:color w:val="000000"/>
          <w:kern w:val="0"/>
        </w:rPr>
        <w:t>-5.9%</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投资</w:t>
      </w:r>
      <w:r>
        <w:rPr>
          <w:rFonts w:ascii="宋体" w:hAnsi="宋体" w:cs="宋体" w:hint="eastAsia"/>
          <w:color w:val="000000"/>
          <w:kern w:val="0"/>
        </w:rPr>
        <w:t>策略上，本基金始终基于产业视角，坚持成长为主的投资策略，在新能源（风、光、电、储、氢）、先进制造等板块里寻找优质标的。光伏在经历各环节大幅减产以及</w:t>
      </w:r>
      <w:r>
        <w:rPr>
          <w:rFonts w:ascii="宋体" w:hAnsi="宋体" w:cs="宋体" w:hint="eastAsia"/>
          <w:color w:val="000000"/>
          <w:kern w:val="0"/>
        </w:rPr>
        <w:t>4-5</w:t>
      </w:r>
      <w:r>
        <w:rPr>
          <w:rFonts w:ascii="宋体" w:hAnsi="宋体" w:cs="宋体" w:hint="eastAsia"/>
          <w:color w:val="000000"/>
          <w:kern w:val="0"/>
        </w:rPr>
        <w:t>月份的抢装预期后，产业链价格已普遍上涨，企业盈利逐步恢复中。锂电上游碳酸锂价格基本见底，中游电池龙头优势依然持续增强，部分材料环节已逐步走出低谷。电力设备板块受益</w:t>
      </w:r>
      <w:r>
        <w:rPr>
          <w:rFonts w:ascii="宋体" w:hAnsi="宋体" w:cs="宋体" w:hint="eastAsia"/>
          <w:color w:val="000000"/>
          <w:kern w:val="0"/>
        </w:rPr>
        <w:t>AIDC</w:t>
      </w:r>
      <w:r>
        <w:rPr>
          <w:rFonts w:ascii="宋体" w:hAnsi="宋体" w:cs="宋体" w:hint="eastAsia"/>
          <w:color w:val="000000"/>
          <w:kern w:val="0"/>
        </w:rPr>
        <w:t>（人工智能数据中心）建设带来的增量订单。行业配置上，一季度整体仓位变化不大，加大了</w:t>
      </w:r>
      <w:r>
        <w:rPr>
          <w:rFonts w:ascii="宋体" w:hAnsi="宋体" w:cs="宋体" w:hint="eastAsia"/>
          <w:color w:val="000000"/>
          <w:kern w:val="0"/>
        </w:rPr>
        <w:t>AI</w:t>
      </w:r>
      <w:r>
        <w:rPr>
          <w:rFonts w:ascii="宋体" w:hAnsi="宋体" w:cs="宋体" w:hint="eastAsia"/>
          <w:color w:val="000000"/>
          <w:kern w:val="0"/>
        </w:rPr>
        <w:t>相关的</w:t>
      </w:r>
      <w:r>
        <w:rPr>
          <w:rFonts w:ascii="宋体" w:hAnsi="宋体" w:cs="宋体" w:hint="eastAsia"/>
          <w:color w:val="000000"/>
          <w:kern w:val="0"/>
        </w:rPr>
        <w:t>TMT</w:t>
      </w:r>
      <w:r>
        <w:rPr>
          <w:rFonts w:ascii="宋体" w:hAnsi="宋体" w:cs="宋体" w:hint="eastAsia"/>
          <w:color w:val="000000"/>
          <w:kern w:val="0"/>
        </w:rPr>
        <w:t>板块配置，新能源内部结构继续做了优化，各细分板块配置更均衡。一季度中证新能指数（</w:t>
      </w:r>
      <w:r>
        <w:rPr>
          <w:rFonts w:ascii="宋体" w:hAnsi="宋体" w:cs="宋体" w:hint="eastAsia"/>
          <w:color w:val="000000"/>
          <w:kern w:val="0"/>
        </w:rPr>
        <w:t>399808</w:t>
      </w:r>
      <w:r>
        <w:rPr>
          <w:rFonts w:ascii="宋体" w:hAnsi="宋体" w:cs="宋体" w:hint="eastAsia"/>
          <w:color w:val="000000"/>
          <w:kern w:val="0"/>
        </w:rPr>
        <w:t>）下跌</w:t>
      </w:r>
      <w:r>
        <w:rPr>
          <w:rFonts w:ascii="宋体" w:hAnsi="宋体" w:cs="宋体" w:hint="eastAsia"/>
          <w:color w:val="000000"/>
          <w:kern w:val="0"/>
        </w:rPr>
        <w:t>4.21%</w:t>
      </w:r>
      <w:r>
        <w:rPr>
          <w:rFonts w:ascii="宋体" w:hAnsi="宋体" w:cs="宋体" w:hint="eastAsia"/>
          <w:color w:val="000000"/>
          <w:kern w:val="0"/>
        </w:rPr>
        <w:t>，本基金一季度下跌</w:t>
      </w:r>
      <w:r>
        <w:rPr>
          <w:rFonts w:ascii="宋体" w:hAnsi="宋体" w:cs="宋体" w:hint="eastAsia"/>
          <w:color w:val="000000"/>
          <w:kern w:val="0"/>
        </w:rPr>
        <w:t>1%</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展望后市，国内外复杂多变的宏观环境在</w:t>
      </w:r>
      <w:r>
        <w:rPr>
          <w:rFonts w:ascii="宋体" w:hAnsi="宋体" w:cs="宋体" w:hint="eastAsia"/>
          <w:color w:val="000000"/>
          <w:kern w:val="0"/>
        </w:rPr>
        <w:t>2025</w:t>
      </w:r>
      <w:r>
        <w:rPr>
          <w:rFonts w:ascii="宋体" w:hAnsi="宋体" w:cs="宋体" w:hint="eastAsia"/>
          <w:color w:val="000000"/>
          <w:kern w:val="0"/>
        </w:rPr>
        <w:t>年并未明显改善，成长股投资挑战依然很大。但是在有力的稳增长（基建加速、消费刺激等）以及资本市场改革预期下，我们仍对市场持乐观态度。</w:t>
      </w:r>
      <w:r>
        <w:rPr>
          <w:rFonts w:ascii="宋体" w:hAnsi="宋体" w:cs="宋体" w:hint="eastAsia"/>
          <w:color w:val="000000"/>
          <w:kern w:val="0"/>
        </w:rPr>
        <w:t>2024</w:t>
      </w:r>
      <w:r>
        <w:rPr>
          <w:rFonts w:ascii="宋体" w:hAnsi="宋体" w:cs="宋体" w:hint="eastAsia"/>
          <w:color w:val="000000"/>
          <w:kern w:val="0"/>
        </w:rPr>
        <w:t>年</w:t>
      </w:r>
      <w:r>
        <w:rPr>
          <w:rFonts w:ascii="宋体" w:hAnsi="宋体" w:cs="宋体" w:hint="eastAsia"/>
          <w:color w:val="000000"/>
          <w:kern w:val="0"/>
        </w:rPr>
        <w:t>9</w:t>
      </w:r>
      <w:r>
        <w:rPr>
          <w:rFonts w:ascii="宋体" w:hAnsi="宋体" w:cs="宋体" w:hint="eastAsia"/>
          <w:color w:val="000000"/>
          <w:kern w:val="0"/>
        </w:rPr>
        <w:t>月</w:t>
      </w:r>
      <w:r>
        <w:rPr>
          <w:rFonts w:ascii="宋体" w:hAnsi="宋体" w:cs="宋体" w:hint="eastAsia"/>
          <w:color w:val="000000"/>
          <w:kern w:val="0"/>
        </w:rPr>
        <w:t>24</w:t>
      </w:r>
      <w:r>
        <w:rPr>
          <w:rFonts w:ascii="宋体" w:hAnsi="宋体" w:cs="宋体" w:hint="eastAsia"/>
          <w:color w:val="000000"/>
          <w:kern w:val="0"/>
        </w:rPr>
        <w:t>日以来国内政策基调已经明显转向，一季度的“两会”以及民营企业家座谈会预示着</w:t>
      </w:r>
      <w:r>
        <w:rPr>
          <w:rFonts w:ascii="宋体" w:hAnsi="宋体" w:cs="宋体" w:hint="eastAsia"/>
          <w:color w:val="000000"/>
          <w:kern w:val="0"/>
        </w:rPr>
        <w:t>2025</w:t>
      </w:r>
      <w:r>
        <w:rPr>
          <w:rFonts w:ascii="宋体" w:hAnsi="宋体" w:cs="宋体" w:hint="eastAsia"/>
          <w:color w:val="000000"/>
          <w:kern w:val="0"/>
        </w:rPr>
        <w:t>年宏观政策将“更加积极有为”，货币和财政政策基调积极，明确“稳住楼市股市”，社会创新力进一步得到激发，后续政策发力空间已经打开。</w:t>
      </w:r>
      <w:r>
        <w:rPr>
          <w:rFonts w:ascii="宋体" w:hAnsi="宋体" w:cs="宋体" w:hint="eastAsia"/>
          <w:color w:val="000000"/>
          <w:kern w:val="0"/>
        </w:rPr>
        <w:br/>
      </w:r>
      <w:r>
        <w:rPr>
          <w:rFonts w:ascii="宋体" w:hAnsi="宋体" w:cs="宋体" w:hint="eastAsia"/>
          <w:color w:val="000000"/>
          <w:kern w:val="0"/>
        </w:rPr>
        <w:t xml:space="preserve">　　我们始终坚持在符合社会发展趋势的新能源、半导体等高端制造、</w:t>
      </w:r>
      <w:r>
        <w:rPr>
          <w:rFonts w:ascii="宋体" w:hAnsi="宋体" w:cs="宋体" w:hint="eastAsia"/>
          <w:color w:val="000000"/>
          <w:kern w:val="0"/>
        </w:rPr>
        <w:t>自主可控等领域寻找机会。我们相信双碳目标的方向非常明确，继续看好有技术优势、成本优势、渠道优势的龙头公司，并寻找并优先配置率先走出供需困境的细分领域。</w:t>
      </w:r>
      <w:r>
        <w:rPr>
          <w:rFonts w:ascii="宋体" w:hAnsi="宋体" w:cs="宋体" w:hint="eastAsia"/>
          <w:color w:val="000000"/>
          <w:kern w:val="0"/>
        </w:rPr>
        <w:br/>
      </w:r>
      <w:r>
        <w:rPr>
          <w:rFonts w:ascii="宋体" w:hAnsi="宋体" w:cs="宋体" w:hint="eastAsia"/>
          <w:color w:val="000000"/>
          <w:kern w:val="0"/>
        </w:rPr>
        <w:lastRenderedPageBreak/>
        <w:t xml:space="preserve">　　我们始终相信真正有成长性的行业和公司可以穿越周期，我们将始终坚持从中长期视角来配置主要投资标的，聚焦新能源，同时紧密跟踪和关注宏观政策（尤其是流动性变化）、国际环境的变化，适度动态调整组合，力争为基金持有人创造持续稳定收益</w:t>
      </w:r>
      <w:r>
        <w:rPr>
          <w:rFonts w:ascii="宋体" w:hAnsi="宋体" w:cs="宋体" w:hint="eastAsia"/>
          <w:color w:val="000000"/>
          <w:kern w:val="0"/>
        </w:rPr>
        <w:t>。</w:t>
      </w:r>
    </w:p>
    <w:p w:rsidR="00000000" w:rsidRDefault="00B65811">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B65811">
      <w:pPr>
        <w:spacing w:line="360" w:lineRule="auto"/>
        <w:ind w:firstLineChars="200" w:firstLine="420"/>
        <w:rPr>
          <w:rFonts w:hint="eastAsia"/>
        </w:rPr>
      </w:pPr>
      <w:r>
        <w:rPr>
          <w:rFonts w:ascii="宋体" w:hAnsi="宋体" w:hint="eastAsia"/>
        </w:rPr>
        <w:t>本报告期摩根核心精选股票</w:t>
      </w:r>
      <w:r>
        <w:rPr>
          <w:rFonts w:ascii="宋体" w:hAnsi="宋体" w:hint="eastAsia"/>
        </w:rPr>
        <w:t>A</w:t>
      </w:r>
      <w:r>
        <w:rPr>
          <w:rFonts w:ascii="宋体" w:hAnsi="宋体" w:hint="eastAsia"/>
        </w:rPr>
        <w:t>份额净值增长率为：</w:t>
      </w:r>
      <w:r>
        <w:rPr>
          <w:rFonts w:ascii="宋体" w:hAnsi="宋体" w:hint="eastAsia"/>
        </w:rPr>
        <w:t>-1.01%</w:t>
      </w:r>
      <w:r>
        <w:rPr>
          <w:rFonts w:ascii="宋体" w:hAnsi="宋体" w:hint="eastAsia"/>
        </w:rPr>
        <w:t>，同期业绩比较基准收益率为：</w:t>
      </w:r>
      <w:r>
        <w:rPr>
          <w:rFonts w:ascii="宋体" w:hAnsi="宋体" w:hint="eastAsia"/>
        </w:rPr>
        <w:t>-0.49%</w:t>
      </w:r>
      <w:r>
        <w:rPr>
          <w:rFonts w:ascii="宋体" w:hAnsi="宋体" w:hint="eastAsia"/>
        </w:rPr>
        <w:t>；</w:t>
      </w:r>
      <w:r>
        <w:rPr>
          <w:rFonts w:ascii="宋体" w:hAnsi="宋体" w:hint="eastAsia"/>
        </w:rPr>
        <w:br/>
      </w:r>
      <w:r>
        <w:rPr>
          <w:rFonts w:ascii="宋体" w:hAnsi="宋体" w:hint="eastAsia"/>
        </w:rPr>
        <w:t xml:space="preserve">　　</w:t>
      </w:r>
      <w:r>
        <w:rPr>
          <w:rFonts w:ascii="宋体" w:hAnsi="宋体" w:hint="eastAsia"/>
        </w:rPr>
        <w:t>摩根核心精选股票</w:t>
      </w:r>
      <w:r>
        <w:rPr>
          <w:rFonts w:ascii="宋体" w:hAnsi="宋体" w:hint="eastAsia"/>
        </w:rPr>
        <w:t>C</w:t>
      </w:r>
      <w:r>
        <w:rPr>
          <w:rFonts w:ascii="宋体" w:hAnsi="宋体" w:hint="eastAsia"/>
        </w:rPr>
        <w:t>份额净值增长率为：</w:t>
      </w:r>
      <w:r>
        <w:rPr>
          <w:rFonts w:ascii="宋体" w:hAnsi="宋体" w:hint="eastAsia"/>
        </w:rPr>
        <w:t>-1.16%</w:t>
      </w:r>
      <w:r>
        <w:rPr>
          <w:rFonts w:ascii="宋体" w:hAnsi="宋体" w:hint="eastAsia"/>
        </w:rPr>
        <w:t>，同期业绩比较基准收益率为：</w:t>
      </w:r>
      <w:r>
        <w:rPr>
          <w:rFonts w:ascii="宋体" w:hAnsi="宋体" w:hint="eastAsia"/>
        </w:rPr>
        <w:t>-0.49%</w:t>
      </w:r>
      <w:r>
        <w:rPr>
          <w:rFonts w:ascii="宋体" w:hAnsi="宋体" w:hint="eastAsia"/>
        </w:rPr>
        <w:t>。</w:t>
      </w:r>
    </w:p>
    <w:p w:rsidR="00000000" w:rsidRDefault="00B65811">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B65811">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B65811">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126,453,340.4</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81.0</w:t>
            </w:r>
            <w:r>
              <w:rPr>
                <w:rFonts w:ascii="宋体" w:hAnsi="宋体" w:hint="eastAsia"/>
                <w:szCs w:val="24"/>
                <w:lang w:eastAsia="zh-Hans"/>
              </w:rPr>
              <w:t>8</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126,453,340.4</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81.0</w:t>
            </w:r>
            <w:r>
              <w:rPr>
                <w:rFonts w:ascii="宋体" w:hAnsi="宋体" w:hint="eastAsia"/>
                <w:szCs w:val="24"/>
                <w:lang w:eastAsia="zh-Hans"/>
              </w:rPr>
              <w:t>8</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251,208.8</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0.1</w:t>
            </w:r>
            <w:r>
              <w:rPr>
                <w:rFonts w:ascii="宋体" w:hAnsi="宋体" w:hint="eastAsia"/>
                <w:szCs w:val="24"/>
                <w:lang w:eastAsia="zh-Hans"/>
              </w:rPr>
              <w:t>6</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251,208.8</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0.1</w:t>
            </w:r>
            <w:r>
              <w:rPr>
                <w:rFonts w:ascii="宋体" w:hAnsi="宋体" w:hint="eastAsia"/>
                <w:szCs w:val="24"/>
                <w:lang w:eastAsia="zh-Hans"/>
              </w:rPr>
              <w:t>6</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17,642,315.1</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11.3</w:t>
            </w:r>
            <w:r>
              <w:rPr>
                <w:rFonts w:ascii="宋体" w:hAnsi="宋体" w:hint="eastAsia"/>
                <w:szCs w:val="24"/>
                <w:lang w:eastAsia="zh-Hans"/>
              </w:rPr>
              <w:t>1</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11,620,622.2</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7.4</w:t>
            </w:r>
            <w:r>
              <w:rPr>
                <w:rFonts w:ascii="宋体" w:hAnsi="宋体" w:hint="eastAsia"/>
                <w:szCs w:val="24"/>
                <w:lang w:eastAsia="zh-Hans"/>
              </w:rPr>
              <w:t>5</w:t>
            </w:r>
          </w:p>
        </w:tc>
      </w:tr>
      <w:tr w:rsidR="00000000">
        <w:trPr>
          <w:divId w:val="15288356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B6581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155,967,486.6</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B65811">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B65811">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817987155"/>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B65811">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B65811">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B65811">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7,782,300.0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5.0</w:t>
            </w:r>
            <w:r>
              <w:rPr>
                <w:rFonts w:ascii="宋体" w:hAnsi="宋体" w:hint="eastAsia"/>
                <w:szCs w:val="24"/>
                <w:lang w:eastAsia="zh-Hans"/>
              </w:rPr>
              <w:t>1</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115,016,854.5</w:t>
            </w:r>
            <w:r>
              <w:rPr>
                <w:rFonts w:ascii="宋体" w:hAnsi="宋体" w:hint="eastAsia"/>
                <w:szCs w:val="24"/>
                <w:lang w:eastAsia="zh-Hans"/>
              </w:rPr>
              <w:t>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74.0</w:t>
            </w:r>
            <w:r>
              <w:rPr>
                <w:rFonts w:ascii="宋体" w:hAnsi="宋体" w:hint="eastAsia"/>
                <w:szCs w:val="24"/>
                <w:lang w:eastAsia="zh-Hans"/>
              </w:rPr>
              <w:t>6</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3,654,185.8</w:t>
            </w:r>
            <w:r>
              <w:rPr>
                <w:rFonts w:ascii="宋体" w:hAnsi="宋体" w:hint="eastAsia"/>
                <w:szCs w:val="24"/>
                <w:lang w:eastAsia="zh-Hans"/>
              </w:rPr>
              <w:t>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2.3</w:t>
            </w:r>
            <w:r>
              <w:rPr>
                <w:rFonts w:ascii="宋体" w:hAnsi="宋体" w:hint="eastAsia"/>
                <w:szCs w:val="24"/>
                <w:lang w:eastAsia="zh-Hans"/>
              </w:rPr>
              <w:t>5</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w:t>
            </w:r>
          </w:p>
        </w:tc>
      </w:tr>
      <w:tr w:rsidR="00000000">
        <w:trPr>
          <w:divId w:val="181798715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B65811">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B65811">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B65811">
            <w:pPr>
              <w:jc w:val="right"/>
            </w:pPr>
            <w:r>
              <w:rPr>
                <w:rFonts w:ascii="宋体" w:hAnsi="宋体" w:hint="eastAsia"/>
                <w:szCs w:val="24"/>
                <w:lang w:eastAsia="zh-Hans"/>
              </w:rPr>
              <w:t>126,453,340.4</w:t>
            </w:r>
            <w:r>
              <w:rPr>
                <w:rFonts w:ascii="宋体" w:hAnsi="宋体" w:hint="eastAsia"/>
                <w:szCs w:val="24"/>
                <w:lang w:eastAsia="zh-Hans"/>
              </w:rPr>
              <w:t>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B65811">
            <w:pPr>
              <w:jc w:val="right"/>
            </w:pPr>
            <w:r>
              <w:rPr>
                <w:rFonts w:ascii="宋体" w:hAnsi="宋体" w:hint="eastAsia"/>
                <w:szCs w:val="24"/>
                <w:lang w:eastAsia="zh-Hans"/>
              </w:rPr>
              <w:t>81.4</w:t>
            </w:r>
            <w:r>
              <w:rPr>
                <w:rFonts w:ascii="宋体" w:hAnsi="宋体" w:hint="eastAsia"/>
                <w:szCs w:val="24"/>
                <w:lang w:eastAsia="zh-Hans"/>
              </w:rPr>
              <w:t>2</w:t>
            </w:r>
          </w:p>
        </w:tc>
      </w:tr>
    </w:tbl>
    <w:p w:rsidR="00000000" w:rsidRDefault="00B65811">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B65811">
      <w:pPr>
        <w:spacing w:line="360" w:lineRule="auto"/>
        <w:ind w:firstLineChars="200" w:firstLine="420"/>
        <w:divId w:val="1245455897"/>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B65811">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B65811">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12962050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57,64</w:t>
            </w:r>
            <w:r>
              <w:rPr>
                <w:rFonts w:ascii="宋体" w:hAnsi="宋体" w:hint="eastAsia"/>
                <w:szCs w:val="24"/>
                <w:lang w:eastAsia="zh-Hans"/>
              </w:rPr>
              <w:t>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14,580,726.3</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9.3</w:t>
            </w:r>
            <w:r>
              <w:rPr>
                <w:rFonts w:ascii="宋体" w:hAnsi="宋体" w:hint="eastAsia"/>
                <w:szCs w:val="24"/>
                <w:lang w:eastAsia="zh-Hans"/>
              </w:rPr>
              <w:t>9</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160,60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13,010,206.0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8.3</w:t>
            </w:r>
            <w:r>
              <w:rPr>
                <w:rFonts w:ascii="宋体" w:hAnsi="宋体" w:hint="eastAsia"/>
                <w:szCs w:val="24"/>
                <w:lang w:eastAsia="zh-Hans"/>
              </w:rPr>
              <w:t>8</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30027</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阳光电</w:t>
            </w:r>
            <w:r>
              <w:rPr>
                <w:rFonts w:ascii="宋体" w:hAnsi="宋体" w:hint="eastAsia"/>
                <w:szCs w:val="24"/>
                <w:lang w:eastAsia="zh-Hans"/>
              </w:rPr>
              <w:t>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108,62</w:t>
            </w:r>
            <w:r>
              <w:rPr>
                <w:rFonts w:ascii="宋体" w:hAnsi="宋体" w:hint="eastAsia"/>
                <w:szCs w:val="24"/>
                <w:lang w:eastAsia="zh-Hans"/>
              </w:rPr>
              <w:t>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7,539,800.0</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4.8</w:t>
            </w:r>
            <w:r>
              <w:rPr>
                <w:rFonts w:ascii="宋体" w:hAnsi="宋体" w:hint="eastAsia"/>
                <w:szCs w:val="24"/>
                <w:lang w:eastAsia="zh-Hans"/>
              </w:rPr>
              <w:t>5</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60379</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华友钴</w:t>
            </w:r>
            <w:r>
              <w:rPr>
                <w:rFonts w:ascii="宋体" w:hAnsi="宋体" w:hint="eastAsia"/>
                <w:szCs w:val="24"/>
                <w:lang w:eastAsia="zh-Hans"/>
              </w:rPr>
              <w:t>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168,20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5,730,574.0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3.6</w:t>
            </w:r>
            <w:r>
              <w:rPr>
                <w:rFonts w:ascii="宋体" w:hAnsi="宋体" w:hint="eastAsia"/>
                <w:szCs w:val="24"/>
                <w:lang w:eastAsia="zh-Hans"/>
              </w:rPr>
              <w:t>9</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30001</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亿纬锂</w:t>
            </w:r>
            <w:r>
              <w:rPr>
                <w:rFonts w:ascii="宋体" w:hAnsi="宋体" w:hint="eastAsia"/>
                <w:szCs w:val="24"/>
                <w:lang w:eastAsia="zh-Hans"/>
              </w:rPr>
              <w:t>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102,44</w:t>
            </w:r>
            <w:r>
              <w:rPr>
                <w:rFonts w:ascii="宋体" w:hAnsi="宋体" w:hint="eastAsia"/>
                <w:szCs w:val="24"/>
                <w:lang w:eastAsia="zh-Hans"/>
              </w:rPr>
              <w:t>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4,826,089.7</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3.1</w:t>
            </w:r>
            <w:r>
              <w:rPr>
                <w:rFonts w:ascii="宋体" w:hAnsi="宋体" w:hint="eastAsia"/>
                <w:szCs w:val="24"/>
                <w:lang w:eastAsia="zh-Hans"/>
              </w:rPr>
              <w:t>1</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60189</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紫金矿</w:t>
            </w:r>
            <w:r>
              <w:rPr>
                <w:rFonts w:ascii="宋体" w:hAnsi="宋体" w:hint="eastAsia"/>
                <w:szCs w:val="24"/>
                <w:lang w:eastAsia="zh-Hans"/>
              </w:rPr>
              <w:t>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260,50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4,720,260.0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3.0</w:t>
            </w:r>
            <w:r>
              <w:rPr>
                <w:rFonts w:ascii="宋体" w:hAnsi="宋体" w:hint="eastAsia"/>
                <w:szCs w:val="24"/>
                <w:lang w:eastAsia="zh-Hans"/>
              </w:rPr>
              <w:t>4</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60511</w:t>
            </w:r>
            <w:r>
              <w:rPr>
                <w:rFonts w:ascii="宋体" w:hAnsi="宋体" w:hint="eastAsia"/>
                <w:szCs w:val="24"/>
                <w:lang w:eastAsia="zh-Hans"/>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德业股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51,34</w:t>
            </w:r>
            <w:r>
              <w:rPr>
                <w:rFonts w:ascii="宋体" w:hAnsi="宋体" w:hint="eastAsia"/>
                <w:szCs w:val="24"/>
                <w:lang w:eastAsia="zh-Hans"/>
              </w:rPr>
              <w:t>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4,696,379.5</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3.0</w:t>
            </w:r>
            <w:r>
              <w:rPr>
                <w:rFonts w:ascii="宋体" w:hAnsi="宋体" w:hint="eastAsia"/>
                <w:szCs w:val="24"/>
                <w:lang w:eastAsia="zh-Hans"/>
              </w:rPr>
              <w:t>2</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00249</w:t>
            </w:r>
            <w:r>
              <w:rPr>
                <w:rFonts w:ascii="宋体" w:hAnsi="宋体" w:hint="eastAsia"/>
                <w:szCs w:val="24"/>
                <w:lang w:eastAsia="zh-Hans"/>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雅化集</w:t>
            </w:r>
            <w:r>
              <w:rPr>
                <w:rFonts w:ascii="宋体" w:hAnsi="宋体" w:hint="eastAsia"/>
                <w:szCs w:val="24"/>
                <w:lang w:eastAsia="zh-Hans"/>
              </w:rPr>
              <w:t>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376,40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4,573,260.0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2.9</w:t>
            </w:r>
            <w:r>
              <w:rPr>
                <w:rFonts w:ascii="宋体" w:hAnsi="宋体" w:hint="eastAsia"/>
                <w:szCs w:val="24"/>
                <w:lang w:eastAsia="zh-Hans"/>
              </w:rPr>
              <w:t>4</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30069</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盛弘股</w:t>
            </w:r>
            <w:r>
              <w:rPr>
                <w:rFonts w:ascii="宋体" w:hAnsi="宋体" w:hint="eastAsia"/>
                <w:szCs w:val="24"/>
                <w:lang w:eastAsia="zh-Hans"/>
              </w:rPr>
              <w:t>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118,16</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4,171,048.0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2.6</w:t>
            </w:r>
            <w:r>
              <w:rPr>
                <w:rFonts w:ascii="宋体" w:hAnsi="宋体" w:hint="eastAsia"/>
                <w:szCs w:val="24"/>
                <w:lang w:eastAsia="zh-Hans"/>
              </w:rPr>
              <w:t>9</w:t>
            </w:r>
          </w:p>
        </w:tc>
      </w:tr>
      <w:tr w:rsidR="00000000">
        <w:trPr>
          <w:divId w:val="212962050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00238</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东山精</w:t>
            </w:r>
            <w:r>
              <w:rPr>
                <w:rFonts w:ascii="宋体" w:hAnsi="宋体" w:hint="eastAsia"/>
                <w:szCs w:val="24"/>
                <w:lang w:eastAsia="zh-Hans"/>
              </w:rPr>
              <w:t>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119,90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3,925,526.0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2.5</w:t>
            </w:r>
            <w:r>
              <w:rPr>
                <w:rFonts w:ascii="宋体" w:hAnsi="宋体" w:hint="eastAsia"/>
                <w:szCs w:val="24"/>
                <w:lang w:eastAsia="zh-Hans"/>
              </w:rPr>
              <w:t>3</w:t>
            </w:r>
          </w:p>
        </w:tc>
      </w:tr>
    </w:tbl>
    <w:p w:rsidR="00000000" w:rsidRDefault="00B65811">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251,208.8</w:t>
            </w:r>
            <w:r>
              <w:rPr>
                <w:rFonts w:ascii="宋体" w:hAnsi="宋体" w:hint="eastAsia"/>
                <w:szCs w:val="24"/>
                <w:lang w:eastAsia="zh-Hans"/>
              </w:rPr>
              <w:t>1</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0.1</w:t>
            </w:r>
            <w:r>
              <w:rPr>
                <w:rFonts w:ascii="宋体" w:hAnsi="宋体" w:hint="eastAsia"/>
                <w:szCs w:val="24"/>
                <w:lang w:eastAsia="zh-Hans"/>
              </w:rPr>
              <w:t>6</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w:t>
            </w:r>
          </w:p>
        </w:tc>
      </w:tr>
      <w:tr w:rsidR="00000000">
        <w:trPr>
          <w:divId w:val="148662748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B65811">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251,208.8</w:t>
            </w:r>
            <w:r>
              <w:rPr>
                <w:rFonts w:ascii="宋体" w:hAnsi="宋体" w:hint="eastAsia"/>
                <w:szCs w:val="24"/>
                <w:lang w:eastAsia="zh-Hans"/>
              </w:rPr>
              <w:t>1</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B65811">
            <w:pPr>
              <w:jc w:val="right"/>
            </w:pPr>
            <w:r>
              <w:rPr>
                <w:rFonts w:ascii="宋体" w:hAnsi="宋体" w:hint="eastAsia"/>
                <w:szCs w:val="24"/>
                <w:lang w:eastAsia="zh-Hans"/>
              </w:rPr>
              <w:t>0.1</w:t>
            </w:r>
            <w:r>
              <w:rPr>
                <w:rFonts w:ascii="宋体" w:hAnsi="宋体" w:hint="eastAsia"/>
                <w:szCs w:val="24"/>
                <w:lang w:eastAsia="zh-Hans"/>
              </w:rPr>
              <w:t>6</w:t>
            </w:r>
          </w:p>
        </w:tc>
      </w:tr>
    </w:tbl>
    <w:p w:rsidR="00000000" w:rsidRDefault="00B65811">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03044578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0304457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12325</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szCs w:val="24"/>
                <w:lang w:eastAsia="zh-Hans"/>
              </w:rPr>
              <w:t>亿纬转</w:t>
            </w:r>
            <w:r>
              <w:rPr>
                <w:rFonts w:ascii="宋体" w:hAnsi="宋体" w:hint="eastAsia"/>
                <w:szCs w:val="24"/>
                <w:lang w:eastAsia="zh-Hans"/>
              </w:rPr>
              <w:t>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2,51</w:t>
            </w:r>
            <w:r>
              <w:rPr>
                <w:rFonts w:ascii="宋体" w:hAnsi="宋体" w:hint="eastAsia"/>
                <w:szCs w:val="24"/>
                <w:lang w:eastAsia="zh-Hans"/>
              </w:rPr>
              <w:t>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251,208.8</w:t>
            </w:r>
            <w:r>
              <w:rPr>
                <w:rFonts w:ascii="宋体" w:hAnsi="宋体" w:hint="eastAsia"/>
                <w:szCs w:val="24"/>
                <w:lang w:eastAsia="zh-Hans"/>
              </w:rPr>
              <w:t>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0.1</w:t>
            </w:r>
            <w:r>
              <w:rPr>
                <w:rFonts w:ascii="宋体" w:hAnsi="宋体" w:hint="eastAsia"/>
                <w:szCs w:val="24"/>
                <w:lang w:eastAsia="zh-Hans"/>
              </w:rPr>
              <w:t>6</w:t>
            </w:r>
          </w:p>
        </w:tc>
      </w:tr>
    </w:tbl>
    <w:p w:rsidR="00000000" w:rsidRDefault="00B65811">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B65811">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000000" w:rsidRDefault="00B65811">
      <w:pPr>
        <w:spacing w:line="360" w:lineRule="auto"/>
        <w:ind w:firstLineChars="200" w:firstLine="420"/>
        <w:divId w:val="588779472"/>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B65811">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000000" w:rsidRDefault="00B65811">
      <w:pPr>
        <w:spacing w:line="360" w:lineRule="auto"/>
        <w:ind w:firstLineChars="200" w:firstLine="420"/>
        <w:divId w:val="821233933"/>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B65811">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000000" w:rsidRDefault="00B65811">
      <w:pPr>
        <w:spacing w:line="360" w:lineRule="auto"/>
        <w:ind w:firstLineChars="200" w:firstLine="420"/>
        <w:divId w:val="895168379"/>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B65811">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000000" w:rsidRDefault="00B65811">
      <w:pPr>
        <w:spacing w:line="360" w:lineRule="auto"/>
        <w:ind w:firstLineChars="200" w:firstLine="420"/>
        <w:divId w:val="422454278"/>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B65811">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000000" w:rsidRDefault="00B65811">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000000" w:rsidRDefault="00B65811">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B65811">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000000" w:rsidRDefault="00B65811">
      <w:pPr>
        <w:spacing w:line="360" w:lineRule="auto"/>
        <w:ind w:firstLineChars="200" w:firstLine="420"/>
        <w:rPr>
          <w:rFonts w:hint="eastAsia"/>
        </w:rPr>
      </w:pPr>
      <w:r>
        <w:rPr>
          <w:rFonts w:ascii="宋体" w:hAnsi="宋体" w:hint="eastAsia"/>
        </w:rPr>
        <w:t>报告期内本基金投资的前十名股票中没有在基金合同规定备选股票库之</w:t>
      </w:r>
      <w:r>
        <w:rPr>
          <w:rFonts w:ascii="宋体" w:hAnsi="宋体" w:hint="eastAsia"/>
        </w:rPr>
        <w:t>外的股票</w:t>
      </w:r>
      <w:r>
        <w:rPr>
          <w:rFonts w:ascii="宋体" w:hAnsi="宋体" w:hint="eastAsia"/>
        </w:rPr>
        <w:t>。</w:t>
      </w:r>
    </w:p>
    <w:p w:rsidR="00000000" w:rsidRDefault="00B65811">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26846692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65811">
            <w:pPr>
              <w:jc w:val="center"/>
            </w:pPr>
            <w:r>
              <w:rPr>
                <w:rFonts w:ascii="宋体" w:hAnsi="宋体" w:hint="eastAsia"/>
              </w:rPr>
              <w:t>金额（元</w:t>
            </w:r>
            <w:r>
              <w:rPr>
                <w:rFonts w:ascii="宋体" w:hAnsi="宋体" w:hint="eastAsia"/>
              </w:rPr>
              <w:t>）</w:t>
            </w:r>
            <w:r>
              <w:t xml:space="preserve"> </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80,115.8</w:t>
            </w:r>
            <w:r>
              <w:rPr>
                <w:rFonts w:ascii="宋体" w:hAnsi="宋体" w:hint="eastAsia"/>
              </w:rPr>
              <w:t>4</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11,473,785.4</w:t>
            </w:r>
            <w:r>
              <w:rPr>
                <w:rFonts w:ascii="宋体" w:hAnsi="宋体" w:hint="eastAsia"/>
              </w:rPr>
              <w:t>7</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66,720.9</w:t>
            </w:r>
            <w:r>
              <w:rPr>
                <w:rFonts w:ascii="宋体" w:hAnsi="宋体" w:hint="eastAsia"/>
              </w:rPr>
              <w:t>0</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w:t>
            </w:r>
          </w:p>
        </w:tc>
      </w:tr>
      <w:tr w:rsidR="00000000">
        <w:trPr>
          <w:divId w:val="12684669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rPr>
              <w:t>11,620,622.2</w:t>
            </w:r>
            <w:r>
              <w:rPr>
                <w:rFonts w:ascii="宋体" w:hAnsi="宋体" w:hint="eastAsia"/>
              </w:rPr>
              <w:t>1</w:t>
            </w:r>
          </w:p>
        </w:tc>
      </w:tr>
    </w:tbl>
    <w:p w:rsidR="00000000" w:rsidRDefault="00B65811">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w:t>
      </w:r>
      <w:r>
        <w:rPr>
          <w:rFonts w:hint="eastAsia"/>
        </w:rPr>
        <w:t>细</w:t>
      </w:r>
      <w:bookmarkEnd w:id="275"/>
      <w:bookmarkEnd w:id="276"/>
      <w:bookmarkEnd w:id="277"/>
      <w:bookmarkEnd w:id="278"/>
      <w:bookmarkEnd w:id="279"/>
    </w:p>
    <w:p w:rsidR="00000000" w:rsidRDefault="00B65811">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B65811">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000000" w:rsidRDefault="00B65811">
      <w:pPr>
        <w:spacing w:line="360" w:lineRule="auto"/>
        <w:ind w:firstLineChars="200" w:firstLine="420"/>
        <w:jc w:val="left"/>
        <w:divId w:val="765810946"/>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B65811">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000000" w:rsidRDefault="00B65811">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000000" w:rsidRDefault="00B65811">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000000" w:rsidRDefault="00B65811">
      <w:pPr>
        <w:wordWrap w:val="0"/>
        <w:spacing w:line="360" w:lineRule="auto"/>
        <w:jc w:val="right"/>
        <w:divId w:val="1275401459"/>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86"/>
        <w:gridCol w:w="2535"/>
      </w:tblGrid>
      <w:tr w:rsidR="00000000">
        <w:trPr>
          <w:divId w:val="127540145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ind w:right="3"/>
              <w:jc w:val="center"/>
            </w:pPr>
            <w:r>
              <w:rPr>
                <w:rFonts w:ascii="宋体" w:hAnsi="宋体" w:hint="eastAsia"/>
                <w:lang w:eastAsia="zh-Hans"/>
              </w:rPr>
              <w:t>摩根核心精选股票</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B65811">
            <w:pPr>
              <w:ind w:right="3"/>
              <w:jc w:val="center"/>
            </w:pPr>
            <w:r>
              <w:rPr>
                <w:rFonts w:ascii="宋体" w:hAnsi="宋体" w:hint="eastAsia"/>
                <w:lang w:eastAsia="zh-Hans"/>
              </w:rPr>
              <w:t>摩根核心精选股票</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275401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154,714,266.8</w:t>
            </w:r>
            <w:r>
              <w:rPr>
                <w:rFonts w:ascii="宋体" w:hAnsi="宋体" w:hint="eastAsia"/>
              </w:rPr>
              <w:t>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5,352,963.6</w:t>
            </w:r>
            <w:r>
              <w:rPr>
                <w:rFonts w:ascii="宋体" w:hAnsi="宋体" w:hint="eastAsia"/>
              </w:rPr>
              <w:t>7</w:t>
            </w:r>
          </w:p>
        </w:tc>
      </w:tr>
      <w:tr w:rsidR="00000000">
        <w:trPr>
          <w:divId w:val="1275401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3,261,982.6</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1,651,300.1</w:t>
            </w:r>
            <w:r>
              <w:rPr>
                <w:rFonts w:ascii="宋体" w:hAnsi="宋体" w:hint="eastAsia"/>
              </w:rPr>
              <w:t>0</w:t>
            </w:r>
          </w:p>
        </w:tc>
      </w:tr>
      <w:tr w:rsidR="00000000">
        <w:trPr>
          <w:divId w:val="1275401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12,162,039.3</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1,829,970.8</w:t>
            </w:r>
            <w:r>
              <w:rPr>
                <w:rFonts w:ascii="宋体" w:hAnsi="宋体" w:hint="eastAsia"/>
              </w:rPr>
              <w:t>5</w:t>
            </w:r>
          </w:p>
        </w:tc>
      </w:tr>
      <w:tr w:rsidR="00000000">
        <w:trPr>
          <w:divId w:val="1275401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w:t>
            </w:r>
          </w:p>
        </w:tc>
      </w:tr>
      <w:tr w:rsidR="00000000">
        <w:trPr>
          <w:divId w:val="1275401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145,814,210.1</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B65811">
            <w:pPr>
              <w:jc w:val="right"/>
            </w:pPr>
            <w:r>
              <w:rPr>
                <w:rFonts w:ascii="宋体" w:hAnsi="宋体" w:hint="eastAsia"/>
              </w:rPr>
              <w:t>5,174,292.9</w:t>
            </w:r>
            <w:r>
              <w:rPr>
                <w:rFonts w:ascii="宋体" w:hAnsi="宋体" w:hint="eastAsia"/>
              </w:rPr>
              <w:t>2</w:t>
            </w:r>
          </w:p>
        </w:tc>
      </w:tr>
    </w:tbl>
    <w:p w:rsidR="00000000" w:rsidRDefault="00B65811">
      <w:pPr>
        <w:spacing w:line="360" w:lineRule="auto"/>
        <w:jc w:val="left"/>
        <w:divId w:val="1275401459"/>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000000" w:rsidRDefault="00B65811">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000000" w:rsidRDefault="00B65811">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000000" w:rsidRDefault="00B65811">
      <w:pPr>
        <w:wordWrap w:val="0"/>
        <w:spacing w:line="360" w:lineRule="auto"/>
        <w:jc w:val="right"/>
        <w:divId w:val="1869759810"/>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186975981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jc w:val="center"/>
            </w:pPr>
            <w:r>
              <w:rPr>
                <w:rFonts w:ascii="宋体" w:hAnsi="宋体" w:hint="eastAsia"/>
                <w:lang w:eastAsia="zh-Hans"/>
              </w:rPr>
              <w:t>摩根核心精选股票</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B65811">
            <w:pPr>
              <w:jc w:val="center"/>
            </w:pPr>
            <w:r>
              <w:rPr>
                <w:rFonts w:ascii="宋体" w:hAnsi="宋体" w:hint="eastAsia"/>
                <w:lang w:eastAsia="zh-Hans"/>
              </w:rPr>
              <w:t>摩根核心精选股票</w:t>
            </w:r>
            <w:r>
              <w:rPr>
                <w:rFonts w:ascii="宋体" w:hAnsi="宋体" w:hint="eastAsia"/>
                <w:lang w:eastAsia="zh-Hans"/>
              </w:rPr>
              <w:t>C</w:t>
            </w:r>
            <w:r>
              <w:rPr>
                <w:rFonts w:ascii="宋体" w:hAnsi="宋体" w:hint="eastAsia"/>
                <w:color w:val="000000"/>
              </w:rPr>
              <w:t xml:space="preserve"> </w:t>
            </w:r>
          </w:p>
        </w:tc>
      </w:tr>
      <w:tr w:rsidR="00000000">
        <w:trPr>
          <w:divId w:val="18697598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rPr>
                <w:rFonts w:hint="eastAsia"/>
              </w:rPr>
            </w:pPr>
            <w:r>
              <w:rPr>
                <w:rFonts w:ascii="宋体" w:hAnsi="宋体" w:hint="eastAsia"/>
                <w:kern w:val="0"/>
                <w:szCs w:val="24"/>
                <w:lang w:eastAsia="zh-Hans"/>
              </w:rPr>
              <w:t>443,355.7</w:t>
            </w:r>
            <w:r>
              <w:rPr>
                <w:rFonts w:ascii="宋体" w:hAnsi="宋体" w:hint="eastAsia"/>
                <w:kern w:val="0"/>
                <w:szCs w:val="24"/>
                <w:lang w:eastAsia="zh-Hans"/>
              </w:rPr>
              <w:t>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kern w:val="0"/>
                <w:szCs w:val="24"/>
                <w:lang w:eastAsia="zh-Hans"/>
              </w:rPr>
              <w:t>-</w:t>
            </w:r>
          </w:p>
        </w:tc>
      </w:tr>
      <w:tr w:rsidR="00000000">
        <w:trPr>
          <w:divId w:val="18697598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szCs w:val="24"/>
                <w:lang w:eastAsia="zh-Hans"/>
              </w:rPr>
              <w:t>-</w:t>
            </w:r>
          </w:p>
        </w:tc>
      </w:tr>
      <w:tr w:rsidR="00000000">
        <w:trPr>
          <w:divId w:val="18697598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lang w:eastAsia="zh-Hans"/>
              </w:rPr>
              <w:t>-</w:t>
            </w:r>
          </w:p>
        </w:tc>
      </w:tr>
      <w:tr w:rsidR="00000000">
        <w:trPr>
          <w:divId w:val="18697598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rPr>
                <w:rFonts w:hint="eastAsia"/>
              </w:rPr>
            </w:pPr>
            <w:r>
              <w:rPr>
                <w:rFonts w:ascii="宋体" w:hAnsi="宋体" w:hint="eastAsia"/>
                <w:lang w:eastAsia="zh-Hans"/>
              </w:rPr>
              <w:t>443,355.7</w:t>
            </w:r>
            <w:r>
              <w:rPr>
                <w:rFonts w:ascii="宋体" w:hAnsi="宋体" w:hint="eastAsia"/>
                <w:lang w:eastAsia="zh-Hans"/>
              </w:rPr>
              <w:t>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lang w:eastAsia="zh-Hans"/>
              </w:rPr>
              <w:t>-</w:t>
            </w:r>
          </w:p>
        </w:tc>
      </w:tr>
      <w:tr w:rsidR="00000000">
        <w:trPr>
          <w:divId w:val="18697598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rPr>
                <w:rFonts w:hint="eastAsia"/>
              </w:rPr>
            </w:pPr>
            <w:r>
              <w:rPr>
                <w:rFonts w:ascii="宋体" w:hAnsi="宋体" w:hint="eastAsia"/>
                <w:lang w:eastAsia="zh-Hans"/>
              </w:rPr>
              <w:t>0.2</w:t>
            </w:r>
            <w:r>
              <w:rPr>
                <w:rFonts w:ascii="宋体" w:hAnsi="宋体" w:hint="eastAsia"/>
                <w:lang w:eastAsia="zh-Hans"/>
              </w:rPr>
              <w:t>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B65811">
            <w:pPr>
              <w:jc w:val="right"/>
            </w:pPr>
            <w:r>
              <w:rPr>
                <w:rFonts w:ascii="宋体" w:hAnsi="宋体" w:hint="eastAsia"/>
                <w:lang w:eastAsia="zh-Hans"/>
              </w:rPr>
              <w:t>-</w:t>
            </w:r>
          </w:p>
        </w:tc>
      </w:tr>
    </w:tbl>
    <w:p w:rsidR="00000000" w:rsidRDefault="00B65811">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p w:rsidR="00000000" w:rsidRDefault="00B65811">
      <w:pPr>
        <w:spacing w:line="360" w:lineRule="auto"/>
        <w:ind w:firstLineChars="200" w:firstLine="420"/>
        <w:jc w:val="left"/>
        <w:divId w:val="672339144"/>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B65811">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000000" w:rsidRDefault="00B65811">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rsidR="00000000" w:rsidRDefault="00B65811">
      <w:pPr>
        <w:spacing w:line="360" w:lineRule="auto"/>
        <w:ind w:firstLineChars="200" w:firstLine="420"/>
        <w:divId w:val="1195582033"/>
        <w:rPr>
          <w:rFonts w:ascii="宋体" w:hAnsi="宋体" w:hint="eastAsia"/>
          <w:szCs w:val="21"/>
          <w:lang w:eastAsia="zh-Hans"/>
        </w:rPr>
      </w:pPr>
      <w:r>
        <w:rPr>
          <w:rFonts w:ascii="宋体" w:hAnsi="宋体" w:hint="eastAsia"/>
          <w:szCs w:val="21"/>
          <w:lang w:eastAsia="zh-Hans"/>
        </w:rPr>
        <w:t>无。</w:t>
      </w:r>
    </w:p>
    <w:p w:rsidR="00000000" w:rsidRDefault="00B65811">
      <w:pPr>
        <w:pStyle w:val="XBRLTitle1"/>
        <w:spacing w:before="156" w:line="360" w:lineRule="auto"/>
        <w:ind w:left="425"/>
        <w:rPr>
          <w:rFonts w:hint="eastAsia"/>
        </w:rPr>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w:t>
      </w:r>
      <w:r>
        <w:rPr>
          <w:rFonts w:hAnsi="宋体" w:hint="eastAsia"/>
        </w:rPr>
        <w:t>录</w:t>
      </w:r>
      <w:bookmarkEnd w:id="346"/>
      <w:bookmarkEnd w:id="347"/>
      <w:bookmarkEnd w:id="348"/>
      <w:bookmarkEnd w:id="349"/>
      <w:bookmarkEnd w:id="350"/>
      <w:bookmarkEnd w:id="351"/>
      <w:bookmarkEnd w:id="352"/>
      <w:bookmarkEnd w:id="353"/>
      <w:r>
        <w:rPr>
          <w:rFonts w:hAnsi="宋体" w:hint="eastAsia"/>
        </w:rPr>
        <w:t xml:space="preserve"> </w:t>
      </w:r>
    </w:p>
    <w:p w:rsidR="00000000" w:rsidRDefault="00B65811">
      <w:pPr>
        <w:pStyle w:val="XBRLTitle2"/>
        <w:spacing w:before="156" w:line="360" w:lineRule="auto"/>
        <w:ind w:left="454"/>
        <w:rPr>
          <w:rFonts w:hint="eastAsia"/>
        </w:rPr>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w:t>
      </w:r>
      <w:r>
        <w:rPr>
          <w:rFonts w:hAnsi="宋体" w:hint="eastAsia"/>
        </w:rPr>
        <w:t>录</w:t>
      </w:r>
      <w:bookmarkEnd w:id="354"/>
      <w:bookmarkEnd w:id="355"/>
      <w:bookmarkEnd w:id="356"/>
      <w:bookmarkEnd w:id="357"/>
      <w:bookmarkEnd w:id="358"/>
      <w:bookmarkEnd w:id="359"/>
      <w:bookmarkEnd w:id="360"/>
      <w:bookmarkEnd w:id="361"/>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摩根核心精选股票型证券投资基金基金合同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摩根核心精选股票型证券投资基金托管协议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B65811">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w:t>
      </w:r>
      <w:r>
        <w:rPr>
          <w:rFonts w:hAnsi="宋体" w:hint="eastAsia"/>
        </w:rPr>
        <w:t>点</w:t>
      </w:r>
      <w:bookmarkEnd w:id="363"/>
      <w:bookmarkEnd w:id="364"/>
      <w:bookmarkEnd w:id="365"/>
      <w:bookmarkEnd w:id="366"/>
      <w:bookmarkEnd w:id="367"/>
      <w:bookmarkEnd w:id="368"/>
      <w:bookmarkEnd w:id="369"/>
      <w:bookmarkEnd w:id="370"/>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B65811">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w:t>
      </w:r>
      <w:r>
        <w:rPr>
          <w:rFonts w:hAnsi="宋体" w:hint="eastAsia"/>
        </w:rPr>
        <w:t>式</w:t>
      </w:r>
      <w:bookmarkEnd w:id="372"/>
      <w:bookmarkEnd w:id="373"/>
      <w:bookmarkEnd w:id="374"/>
      <w:bookmarkEnd w:id="375"/>
      <w:bookmarkEnd w:id="376"/>
      <w:bookmarkEnd w:id="377"/>
      <w:bookmarkEnd w:id="378"/>
      <w:bookmarkEnd w:id="379"/>
      <w:r>
        <w:rPr>
          <w:rFonts w:hAnsi="宋体" w:hint="eastAsia"/>
        </w:rPr>
        <w:t xml:space="preserve"> </w:t>
      </w:r>
    </w:p>
    <w:p w:rsidR="00000000" w:rsidRDefault="00B65811">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0"/>
    <w:p w:rsidR="00000000" w:rsidRDefault="00B65811">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B65811">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B65811">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B65811">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65811">
      <w:pPr>
        <w:rPr>
          <w:szCs w:val="21"/>
        </w:rPr>
      </w:pPr>
      <w:r>
        <w:rPr>
          <w:szCs w:val="21"/>
        </w:rPr>
        <w:separator/>
      </w:r>
      <w:r>
        <w:rPr>
          <w:szCs w:val="21"/>
        </w:rPr>
        <w:t xml:space="preserve"> </w:t>
      </w:r>
    </w:p>
  </w:endnote>
  <w:endnote w:type="continuationSeparator" w:id="0">
    <w:p w:rsidR="00000000" w:rsidRDefault="00B6581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6581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65811">
      <w:pPr>
        <w:rPr>
          <w:szCs w:val="21"/>
        </w:rPr>
      </w:pPr>
      <w:r>
        <w:rPr>
          <w:szCs w:val="21"/>
        </w:rPr>
        <w:separator/>
      </w:r>
      <w:r>
        <w:rPr>
          <w:szCs w:val="21"/>
        </w:rPr>
        <w:t xml:space="preserve"> </w:t>
      </w:r>
    </w:p>
  </w:footnote>
  <w:footnote w:type="continuationSeparator" w:id="0">
    <w:p w:rsidR="00000000" w:rsidRDefault="00B6581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65811">
    <w:pPr>
      <w:pStyle w:val="a8"/>
      <w:jc w:val="right"/>
    </w:pPr>
    <w:r>
      <w:rPr>
        <w:rFonts w:ascii="宋体" w:hAnsi="宋体" w:hint="eastAsia"/>
      </w:rPr>
      <w:t>摩根核心精选股票型证券投资基金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65811"/>
    <w:rsid w:val="00B6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78">
      <w:marLeft w:val="0"/>
      <w:marRight w:val="0"/>
      <w:marTop w:val="0"/>
      <w:marBottom w:val="0"/>
      <w:divBdr>
        <w:top w:val="none" w:sz="0" w:space="0" w:color="auto"/>
        <w:left w:val="none" w:sz="0" w:space="0" w:color="auto"/>
        <w:bottom w:val="none" w:sz="0" w:space="0" w:color="auto"/>
        <w:right w:val="none" w:sz="0" w:space="0" w:color="auto"/>
      </w:divBdr>
    </w:div>
    <w:div w:id="588779472">
      <w:marLeft w:val="0"/>
      <w:marRight w:val="0"/>
      <w:marTop w:val="0"/>
      <w:marBottom w:val="0"/>
      <w:divBdr>
        <w:top w:val="none" w:sz="0" w:space="0" w:color="auto"/>
        <w:left w:val="none" w:sz="0" w:space="0" w:color="auto"/>
        <w:bottom w:val="none" w:sz="0" w:space="0" w:color="auto"/>
        <w:right w:val="none" w:sz="0" w:space="0" w:color="auto"/>
      </w:divBdr>
    </w:div>
    <w:div w:id="594749307">
      <w:marLeft w:val="0"/>
      <w:marRight w:val="0"/>
      <w:marTop w:val="0"/>
      <w:marBottom w:val="0"/>
      <w:divBdr>
        <w:top w:val="none" w:sz="0" w:space="0" w:color="auto"/>
        <w:left w:val="none" w:sz="0" w:space="0" w:color="auto"/>
        <w:bottom w:val="none" w:sz="0" w:space="0" w:color="auto"/>
        <w:right w:val="none" w:sz="0" w:space="0" w:color="auto"/>
      </w:divBdr>
      <w:divsChild>
        <w:div w:id="159319717">
          <w:marLeft w:val="0"/>
          <w:marRight w:val="0"/>
          <w:marTop w:val="0"/>
          <w:marBottom w:val="0"/>
          <w:divBdr>
            <w:top w:val="none" w:sz="0" w:space="0" w:color="auto"/>
            <w:left w:val="none" w:sz="0" w:space="0" w:color="auto"/>
            <w:bottom w:val="none" w:sz="0" w:space="0" w:color="auto"/>
            <w:right w:val="none" w:sz="0" w:space="0" w:color="auto"/>
          </w:divBdr>
        </w:div>
        <w:div w:id="1030060815">
          <w:marLeft w:val="0"/>
          <w:marRight w:val="0"/>
          <w:marTop w:val="0"/>
          <w:marBottom w:val="0"/>
          <w:divBdr>
            <w:top w:val="none" w:sz="0" w:space="0" w:color="auto"/>
            <w:left w:val="none" w:sz="0" w:space="0" w:color="auto"/>
            <w:bottom w:val="none" w:sz="0" w:space="0" w:color="auto"/>
            <w:right w:val="none" w:sz="0" w:space="0" w:color="auto"/>
          </w:divBdr>
        </w:div>
      </w:divsChild>
    </w:div>
    <w:div w:id="616254634">
      <w:marLeft w:val="0"/>
      <w:marRight w:val="0"/>
      <w:marTop w:val="0"/>
      <w:marBottom w:val="0"/>
      <w:divBdr>
        <w:top w:val="none" w:sz="0" w:space="0" w:color="auto"/>
        <w:left w:val="none" w:sz="0" w:space="0" w:color="auto"/>
        <w:bottom w:val="none" w:sz="0" w:space="0" w:color="auto"/>
        <w:right w:val="none" w:sz="0" w:space="0" w:color="auto"/>
      </w:divBdr>
      <w:divsChild>
        <w:div w:id="1869759810">
          <w:marLeft w:val="0"/>
          <w:marRight w:val="0"/>
          <w:marTop w:val="0"/>
          <w:marBottom w:val="0"/>
          <w:divBdr>
            <w:top w:val="none" w:sz="0" w:space="0" w:color="auto"/>
            <w:left w:val="none" w:sz="0" w:space="0" w:color="auto"/>
            <w:bottom w:val="none" w:sz="0" w:space="0" w:color="auto"/>
            <w:right w:val="none" w:sz="0" w:space="0" w:color="auto"/>
          </w:divBdr>
        </w:div>
      </w:divsChild>
    </w:div>
    <w:div w:id="660622350">
      <w:marLeft w:val="0"/>
      <w:marRight w:val="0"/>
      <w:marTop w:val="0"/>
      <w:marBottom w:val="0"/>
      <w:divBdr>
        <w:top w:val="none" w:sz="0" w:space="0" w:color="auto"/>
        <w:left w:val="none" w:sz="0" w:space="0" w:color="auto"/>
        <w:bottom w:val="none" w:sz="0" w:space="0" w:color="auto"/>
        <w:right w:val="none" w:sz="0" w:space="0" w:color="auto"/>
      </w:divBdr>
      <w:divsChild>
        <w:div w:id="1817987155">
          <w:marLeft w:val="0"/>
          <w:marRight w:val="0"/>
          <w:marTop w:val="0"/>
          <w:marBottom w:val="0"/>
          <w:divBdr>
            <w:top w:val="none" w:sz="0" w:space="0" w:color="auto"/>
            <w:left w:val="none" w:sz="0" w:space="0" w:color="auto"/>
            <w:bottom w:val="none" w:sz="0" w:space="0" w:color="auto"/>
            <w:right w:val="none" w:sz="0" w:space="0" w:color="auto"/>
          </w:divBdr>
        </w:div>
      </w:divsChild>
    </w:div>
    <w:div w:id="672339144">
      <w:marLeft w:val="0"/>
      <w:marRight w:val="0"/>
      <w:marTop w:val="0"/>
      <w:marBottom w:val="0"/>
      <w:divBdr>
        <w:top w:val="none" w:sz="0" w:space="0" w:color="auto"/>
        <w:left w:val="none" w:sz="0" w:space="0" w:color="auto"/>
        <w:bottom w:val="none" w:sz="0" w:space="0" w:color="auto"/>
        <w:right w:val="none" w:sz="0" w:space="0" w:color="auto"/>
      </w:divBdr>
    </w:div>
    <w:div w:id="765810946">
      <w:marLeft w:val="0"/>
      <w:marRight w:val="0"/>
      <w:marTop w:val="0"/>
      <w:marBottom w:val="0"/>
      <w:divBdr>
        <w:top w:val="none" w:sz="0" w:space="0" w:color="auto"/>
        <w:left w:val="none" w:sz="0" w:space="0" w:color="auto"/>
        <w:bottom w:val="none" w:sz="0" w:space="0" w:color="auto"/>
        <w:right w:val="none" w:sz="0" w:space="0" w:color="auto"/>
      </w:divBdr>
    </w:div>
    <w:div w:id="821233933">
      <w:marLeft w:val="0"/>
      <w:marRight w:val="0"/>
      <w:marTop w:val="0"/>
      <w:marBottom w:val="0"/>
      <w:divBdr>
        <w:top w:val="none" w:sz="0" w:space="0" w:color="auto"/>
        <w:left w:val="none" w:sz="0" w:space="0" w:color="auto"/>
        <w:bottom w:val="none" w:sz="0" w:space="0" w:color="auto"/>
        <w:right w:val="none" w:sz="0" w:space="0" w:color="auto"/>
      </w:divBdr>
    </w:div>
    <w:div w:id="834611565">
      <w:marLeft w:val="0"/>
      <w:marRight w:val="0"/>
      <w:marTop w:val="0"/>
      <w:marBottom w:val="0"/>
      <w:divBdr>
        <w:top w:val="none" w:sz="0" w:space="0" w:color="auto"/>
        <w:left w:val="none" w:sz="0" w:space="0" w:color="auto"/>
        <w:bottom w:val="none" w:sz="0" w:space="0" w:color="auto"/>
        <w:right w:val="none" w:sz="0" w:space="0" w:color="auto"/>
      </w:divBdr>
    </w:div>
    <w:div w:id="895168379">
      <w:marLeft w:val="0"/>
      <w:marRight w:val="0"/>
      <w:marTop w:val="0"/>
      <w:marBottom w:val="0"/>
      <w:divBdr>
        <w:top w:val="none" w:sz="0" w:space="0" w:color="auto"/>
        <w:left w:val="none" w:sz="0" w:space="0" w:color="auto"/>
        <w:bottom w:val="none" w:sz="0" w:space="0" w:color="auto"/>
        <w:right w:val="none" w:sz="0" w:space="0" w:color="auto"/>
      </w:divBdr>
    </w:div>
    <w:div w:id="992758003">
      <w:marLeft w:val="0"/>
      <w:marRight w:val="0"/>
      <w:marTop w:val="0"/>
      <w:marBottom w:val="0"/>
      <w:divBdr>
        <w:top w:val="none" w:sz="0" w:space="0" w:color="auto"/>
        <w:left w:val="none" w:sz="0" w:space="0" w:color="auto"/>
        <w:bottom w:val="none" w:sz="0" w:space="0" w:color="auto"/>
        <w:right w:val="none" w:sz="0" w:space="0" w:color="auto"/>
      </w:divBdr>
      <w:divsChild>
        <w:div w:id="1335835080">
          <w:marLeft w:val="0"/>
          <w:marRight w:val="0"/>
          <w:marTop w:val="0"/>
          <w:marBottom w:val="0"/>
          <w:divBdr>
            <w:top w:val="none" w:sz="0" w:space="0" w:color="auto"/>
            <w:left w:val="none" w:sz="0" w:space="0" w:color="auto"/>
            <w:bottom w:val="none" w:sz="0" w:space="0" w:color="auto"/>
            <w:right w:val="none" w:sz="0" w:space="0" w:color="auto"/>
          </w:divBdr>
        </w:div>
      </w:divsChild>
    </w:div>
    <w:div w:id="1050300785">
      <w:marLeft w:val="0"/>
      <w:marRight w:val="0"/>
      <w:marTop w:val="0"/>
      <w:marBottom w:val="0"/>
      <w:divBdr>
        <w:top w:val="none" w:sz="0" w:space="0" w:color="auto"/>
        <w:left w:val="none" w:sz="0" w:space="0" w:color="auto"/>
        <w:bottom w:val="none" w:sz="0" w:space="0" w:color="auto"/>
        <w:right w:val="none" w:sz="0" w:space="0" w:color="auto"/>
      </w:divBdr>
      <w:divsChild>
        <w:div w:id="848377067">
          <w:marLeft w:val="0"/>
          <w:marRight w:val="0"/>
          <w:marTop w:val="0"/>
          <w:marBottom w:val="0"/>
          <w:divBdr>
            <w:top w:val="none" w:sz="0" w:space="0" w:color="auto"/>
            <w:left w:val="none" w:sz="0" w:space="0" w:color="auto"/>
            <w:bottom w:val="none" w:sz="0" w:space="0" w:color="auto"/>
            <w:right w:val="none" w:sz="0" w:space="0" w:color="auto"/>
          </w:divBdr>
        </w:div>
      </w:divsChild>
    </w:div>
    <w:div w:id="1195582033">
      <w:marLeft w:val="0"/>
      <w:marRight w:val="0"/>
      <w:marTop w:val="0"/>
      <w:marBottom w:val="0"/>
      <w:divBdr>
        <w:top w:val="none" w:sz="0" w:space="0" w:color="auto"/>
        <w:left w:val="none" w:sz="0" w:space="0" w:color="auto"/>
        <w:bottom w:val="none" w:sz="0" w:space="0" w:color="auto"/>
        <w:right w:val="none" w:sz="0" w:space="0" w:color="auto"/>
      </w:divBdr>
    </w:div>
    <w:div w:id="1245455897">
      <w:marLeft w:val="0"/>
      <w:marRight w:val="0"/>
      <w:marTop w:val="0"/>
      <w:marBottom w:val="0"/>
      <w:divBdr>
        <w:top w:val="none" w:sz="0" w:space="0" w:color="auto"/>
        <w:left w:val="none" w:sz="0" w:space="0" w:color="auto"/>
        <w:bottom w:val="none" w:sz="0" w:space="0" w:color="auto"/>
        <w:right w:val="none" w:sz="0" w:space="0" w:color="auto"/>
      </w:divBdr>
    </w:div>
    <w:div w:id="1275401459">
      <w:marLeft w:val="0"/>
      <w:marRight w:val="0"/>
      <w:marTop w:val="0"/>
      <w:marBottom w:val="0"/>
      <w:divBdr>
        <w:top w:val="none" w:sz="0" w:space="0" w:color="auto"/>
        <w:left w:val="none" w:sz="0" w:space="0" w:color="auto"/>
        <w:bottom w:val="none" w:sz="0" w:space="0" w:color="auto"/>
        <w:right w:val="none" w:sz="0" w:space="0" w:color="auto"/>
      </w:divBdr>
    </w:div>
    <w:div w:id="1337196747">
      <w:marLeft w:val="0"/>
      <w:marRight w:val="0"/>
      <w:marTop w:val="0"/>
      <w:marBottom w:val="0"/>
      <w:divBdr>
        <w:top w:val="none" w:sz="0" w:space="0" w:color="auto"/>
        <w:left w:val="none" w:sz="0" w:space="0" w:color="auto"/>
        <w:bottom w:val="none" w:sz="0" w:space="0" w:color="auto"/>
        <w:right w:val="none" w:sz="0" w:space="0" w:color="auto"/>
      </w:divBdr>
    </w:div>
    <w:div w:id="1464080166">
      <w:marLeft w:val="0"/>
      <w:marRight w:val="0"/>
      <w:marTop w:val="0"/>
      <w:marBottom w:val="0"/>
      <w:divBdr>
        <w:top w:val="none" w:sz="0" w:space="0" w:color="auto"/>
        <w:left w:val="none" w:sz="0" w:space="0" w:color="auto"/>
        <w:bottom w:val="none" w:sz="0" w:space="0" w:color="auto"/>
        <w:right w:val="none" w:sz="0" w:space="0" w:color="auto"/>
      </w:divBdr>
      <w:divsChild>
        <w:div w:id="1268466922">
          <w:marLeft w:val="0"/>
          <w:marRight w:val="0"/>
          <w:marTop w:val="0"/>
          <w:marBottom w:val="0"/>
          <w:divBdr>
            <w:top w:val="none" w:sz="0" w:space="0" w:color="auto"/>
            <w:left w:val="none" w:sz="0" w:space="0" w:color="auto"/>
            <w:bottom w:val="none" w:sz="0" w:space="0" w:color="auto"/>
            <w:right w:val="none" w:sz="0" w:space="0" w:color="auto"/>
          </w:divBdr>
        </w:div>
      </w:divsChild>
    </w:div>
    <w:div w:id="1486627488">
      <w:marLeft w:val="0"/>
      <w:marRight w:val="0"/>
      <w:marTop w:val="0"/>
      <w:marBottom w:val="0"/>
      <w:divBdr>
        <w:top w:val="none" w:sz="0" w:space="0" w:color="auto"/>
        <w:left w:val="none" w:sz="0" w:space="0" w:color="auto"/>
        <w:bottom w:val="none" w:sz="0" w:space="0" w:color="auto"/>
        <w:right w:val="none" w:sz="0" w:space="0" w:color="auto"/>
      </w:divBdr>
    </w:div>
    <w:div w:id="1639187584">
      <w:marLeft w:val="0"/>
      <w:marRight w:val="0"/>
      <w:marTop w:val="0"/>
      <w:marBottom w:val="0"/>
      <w:divBdr>
        <w:top w:val="none" w:sz="0" w:space="0" w:color="auto"/>
        <w:left w:val="none" w:sz="0" w:space="0" w:color="auto"/>
        <w:bottom w:val="none" w:sz="0" w:space="0" w:color="auto"/>
        <w:right w:val="none" w:sz="0" w:space="0" w:color="auto"/>
      </w:divBdr>
    </w:div>
    <w:div w:id="1948806964">
      <w:marLeft w:val="0"/>
      <w:marRight w:val="0"/>
      <w:marTop w:val="0"/>
      <w:marBottom w:val="0"/>
      <w:divBdr>
        <w:top w:val="none" w:sz="0" w:space="0" w:color="auto"/>
        <w:left w:val="none" w:sz="0" w:space="0" w:color="auto"/>
        <w:bottom w:val="none" w:sz="0" w:space="0" w:color="auto"/>
        <w:right w:val="none" w:sz="0" w:space="0" w:color="auto"/>
      </w:divBdr>
      <w:divsChild>
        <w:div w:id="1528835675">
          <w:marLeft w:val="0"/>
          <w:marRight w:val="0"/>
          <w:marTop w:val="0"/>
          <w:marBottom w:val="0"/>
          <w:divBdr>
            <w:top w:val="none" w:sz="0" w:space="0" w:color="auto"/>
            <w:left w:val="none" w:sz="0" w:space="0" w:color="auto"/>
            <w:bottom w:val="none" w:sz="0" w:space="0" w:color="auto"/>
            <w:right w:val="none" w:sz="0" w:space="0" w:color="auto"/>
          </w:divBdr>
        </w:div>
      </w:divsChild>
    </w:div>
    <w:div w:id="2030445785">
      <w:marLeft w:val="0"/>
      <w:marRight w:val="0"/>
      <w:marTop w:val="0"/>
      <w:marBottom w:val="0"/>
      <w:divBdr>
        <w:top w:val="none" w:sz="0" w:space="0" w:color="auto"/>
        <w:left w:val="none" w:sz="0" w:space="0" w:color="auto"/>
        <w:bottom w:val="none" w:sz="0" w:space="0" w:color="auto"/>
        <w:right w:val="none" w:sz="0" w:space="0" w:color="auto"/>
      </w:divBdr>
    </w:div>
    <w:div w:id="2129620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1257</Words>
  <Characters>7170</Characters>
  <Application>Microsoft Office Word</Application>
  <DocSecurity>4</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2025-04-15T12:13:00Z</dcterms:created>
  <dcterms:modified xsi:type="dcterms:W3CDTF">2025-04-15T12:13:00Z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