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上投摩根核心精选股票型证券投资基金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报告送出日期：二〇二一年十月二十七日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26</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上投摩根核心精选股票</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005983</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005983</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2018</w:t>
            </w:r>
            <w:r w:rsidRPr="00FF6B9A">
              <w:rPr>
                <w:rFonts w:eastAsiaTheme="minorEastAsia"/>
                <w:color w:val="000000" w:themeColor="text1"/>
                <w:kern w:val="0"/>
              </w:rPr>
              <w:t>年</w:t>
            </w:r>
            <w:r w:rsidRPr="00FF6B9A">
              <w:rPr>
                <w:rFonts w:eastAsiaTheme="minorEastAsia"/>
                <w:color w:val="000000" w:themeColor="text1"/>
                <w:kern w:val="0"/>
              </w:rPr>
              <w:t>11</w:t>
            </w:r>
            <w:r w:rsidRPr="00FF6B9A">
              <w:rPr>
                <w:rFonts w:eastAsiaTheme="minorEastAsia"/>
                <w:color w:val="000000" w:themeColor="text1"/>
                <w:kern w:val="0"/>
              </w:rPr>
              <w:t>月</w:t>
            </w:r>
            <w:r w:rsidRPr="00FF6B9A">
              <w:rPr>
                <w:rFonts w:eastAsiaTheme="minorEastAsia"/>
                <w:color w:val="000000" w:themeColor="text1"/>
                <w:kern w:val="0"/>
              </w:rPr>
              <w:t>29</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314,368,643.61</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本基金将充分利用基金管理人投研团队的集体智慧，精选具有长期增长潜力的上市公司，力争获取超越业绩基准的收益。</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821E39" w:rsidRDefault="00275D3E">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821E39" w:rsidRDefault="00275D3E">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本基金将综合分析和持续跟踪基本面、政策面、市场面等多方面因素，对宏观经济、国家政策、资金面和市场情绪等影响证券市场的重要因素进行深入分析，确定合适的资</w:t>
            </w:r>
            <w:r>
              <w:rPr>
                <w:rFonts w:eastAsiaTheme="minorEastAsia"/>
                <w:color w:val="000000" w:themeColor="text1"/>
                <w:kern w:val="0"/>
              </w:rPr>
              <w:lastRenderedPageBreak/>
              <w:t>产配置比例。本基金将根据各类证券的风险收益特征的相对变化，适度的调整确定基金资产在股票、债券及现金等类别资产间的分配比例，动态优化投资组合。</w:t>
            </w:r>
          </w:p>
          <w:p w:rsidR="00821E39" w:rsidRDefault="00275D3E">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821E39" w:rsidRDefault="00275D3E">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本基金将充分发挥基金管理人的研究优势，将严谨、规范的选股方法与积极主动的投资风格相结和，通过</w:t>
            </w:r>
            <w:r>
              <w:rPr>
                <w:rFonts w:eastAsiaTheme="minorEastAsia"/>
                <w:color w:val="000000" w:themeColor="text1"/>
                <w:kern w:val="0"/>
              </w:rPr>
              <w:t>“</w:t>
            </w:r>
            <w:r>
              <w:rPr>
                <w:rFonts w:eastAsiaTheme="minorEastAsia"/>
                <w:color w:val="000000" w:themeColor="text1"/>
                <w:kern w:val="0"/>
              </w:rPr>
              <w:t>自下而上</w:t>
            </w:r>
            <w:r>
              <w:rPr>
                <w:rFonts w:eastAsiaTheme="minorEastAsia"/>
                <w:color w:val="000000" w:themeColor="text1"/>
                <w:kern w:val="0"/>
              </w:rPr>
              <w:t>”</w:t>
            </w:r>
            <w:r>
              <w:rPr>
                <w:rFonts w:eastAsiaTheme="minorEastAsia"/>
                <w:color w:val="000000" w:themeColor="text1"/>
                <w:kern w:val="0"/>
              </w:rPr>
              <w:t>的个股精选策略，精选公司治理良好且具有较好成长性的公司，分享其发展和成长机会。</w:t>
            </w:r>
          </w:p>
          <w:p w:rsidR="00821E39" w:rsidRDefault="00275D3E">
            <w:pPr>
              <w:adjustRightInd w:val="0"/>
              <w:spacing w:before="29" w:line="360" w:lineRule="auto"/>
              <w:ind w:left="17"/>
              <w:rPr>
                <w:rFonts w:eastAsiaTheme="minorEastAsia"/>
                <w:color w:val="000000" w:themeColor="text1"/>
              </w:rPr>
            </w:pPr>
            <w:r>
              <w:rPr>
                <w:rFonts w:eastAsiaTheme="minorEastAsia"/>
                <w:color w:val="000000" w:themeColor="text1"/>
                <w:kern w:val="0"/>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政策走向、行业发展以及个股的深入研究与把握，从核心股票中精选具有良好投资价值的股票，构建股票投资组合。</w:t>
            </w:r>
          </w:p>
          <w:p w:rsidR="00821E39" w:rsidRDefault="00275D3E">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、债券投资策略</w:t>
            </w:r>
          </w:p>
          <w:p w:rsidR="00821E39" w:rsidRDefault="00275D3E">
            <w:pPr>
              <w:adjustRightInd w:val="0"/>
              <w:spacing w:before="29" w:line="360" w:lineRule="auto"/>
              <w:ind w:left="17"/>
              <w:rPr>
                <w:rFonts w:eastAsiaTheme="minorEastAsia"/>
                <w:color w:val="000000" w:themeColor="text1"/>
              </w:rPr>
            </w:pPr>
            <w:r>
              <w:rPr>
                <w:rFonts w:eastAsiaTheme="minorEastAsia"/>
                <w:color w:val="000000" w:themeColor="text1"/>
                <w:kern w:val="0"/>
              </w:rPr>
              <w:t>本基</w:t>
            </w:r>
            <w:r>
              <w:rPr>
                <w:rFonts w:eastAsiaTheme="minorEastAsia"/>
                <w:color w:val="000000" w:themeColor="text1"/>
                <w:kern w:val="0"/>
              </w:rPr>
              <w:t>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w:t>
            </w:r>
            <w:r w:rsidRPr="00FF6B9A">
              <w:rPr>
                <w:rFonts w:eastAsiaTheme="minorEastAsia"/>
                <w:color w:val="000000" w:themeColor="text1"/>
                <w:kern w:val="0"/>
              </w:rPr>
              <w:t>、其他投资策略：包括股指期货投资策略、资产支持证券投资策略、股票期权投资策略、存托凭证投资策略。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 xml:space="preserve">800 </w:t>
            </w:r>
            <w:r w:rsidRPr="00FF6B9A">
              <w:rPr>
                <w:rFonts w:eastAsiaTheme="minorEastAsia"/>
                <w:color w:val="000000" w:themeColor="text1"/>
                <w:kern w:val="0"/>
              </w:rPr>
              <w:t>指数收益率</w:t>
            </w:r>
            <w:r w:rsidRPr="00FF6B9A">
              <w:rPr>
                <w:rFonts w:eastAsiaTheme="minorEastAsia"/>
                <w:color w:val="000000" w:themeColor="text1"/>
                <w:kern w:val="0"/>
              </w:rPr>
              <w:t>×85%+</w:t>
            </w:r>
            <w:r w:rsidRPr="00FF6B9A">
              <w:rPr>
                <w:rFonts w:eastAsiaTheme="minorEastAsia"/>
                <w:color w:val="000000" w:themeColor="text1"/>
                <w:kern w:val="0"/>
              </w:rPr>
              <w:t>中债总指数收益率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本基金属于股票型基金产品，预期风险和收益水平高于混合型基金、债券型基金和货币市场基金。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275D3E" w:rsidRPr="00FF6B9A" w:rsidTr="00275D3E">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275D3E" w:rsidRPr="00FF6B9A" w:rsidTr="00275D3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-16,003,227.55</w:t>
            </w:r>
          </w:p>
        </w:tc>
      </w:tr>
      <w:tr w:rsidR="00275D3E" w:rsidRPr="00FF6B9A" w:rsidTr="00275D3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-40,505,314.90</w:t>
            </w:r>
          </w:p>
        </w:tc>
      </w:tr>
      <w:tr w:rsidR="00275D3E" w:rsidRPr="00FF6B9A" w:rsidTr="00275D3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-0.2087</w:t>
            </w:r>
          </w:p>
        </w:tc>
      </w:tr>
      <w:tr w:rsidR="00275D3E" w:rsidRPr="00FF6B9A" w:rsidTr="00275D3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947,077,560.29</w:t>
            </w:r>
          </w:p>
        </w:tc>
      </w:tr>
      <w:tr w:rsidR="00275D3E" w:rsidRPr="00FF6B9A" w:rsidTr="00275D3E">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3.0126</w:t>
            </w:r>
          </w:p>
        </w:tc>
      </w:tr>
    </w:tbl>
    <w:p w:rsidR="00821E39" w:rsidRDefault="00275D3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821E39">
        <w:tc>
          <w:tcPr>
            <w:tcW w:w="1395" w:type="dxa"/>
            <w:vAlign w:val="center"/>
          </w:tcPr>
          <w:p w:rsidR="00821E39" w:rsidRDefault="00275D3E">
            <w:pPr>
              <w:jc w:val="left"/>
            </w:pPr>
            <w:r>
              <w:rPr>
                <w:rFonts w:eastAsiaTheme="minorEastAsia"/>
                <w:color w:val="000000" w:themeColor="text1"/>
                <w:kern w:val="0"/>
              </w:rPr>
              <w:t>过去三个月</w:t>
            </w:r>
          </w:p>
        </w:tc>
        <w:tc>
          <w:tcPr>
            <w:tcW w:w="1092" w:type="dxa"/>
            <w:vAlign w:val="center"/>
          </w:tcPr>
          <w:p w:rsidR="00821E39" w:rsidRDefault="00275D3E">
            <w:pPr>
              <w:jc w:val="center"/>
            </w:pPr>
            <w:r>
              <w:rPr>
                <w:rFonts w:eastAsiaTheme="minorEastAsia"/>
                <w:color w:val="000000" w:themeColor="text1"/>
                <w:kern w:val="0"/>
              </w:rPr>
              <w:t>10.09%</w:t>
            </w:r>
          </w:p>
        </w:tc>
        <w:tc>
          <w:tcPr>
            <w:tcW w:w="1161" w:type="dxa"/>
            <w:vAlign w:val="center"/>
          </w:tcPr>
          <w:p w:rsidR="00821E39" w:rsidRDefault="00275D3E">
            <w:pPr>
              <w:jc w:val="center"/>
            </w:pPr>
            <w:r>
              <w:rPr>
                <w:rFonts w:eastAsiaTheme="minorEastAsia"/>
                <w:color w:val="000000" w:themeColor="text1"/>
                <w:kern w:val="0"/>
              </w:rPr>
              <w:t>2.68%</w:t>
            </w:r>
          </w:p>
        </w:tc>
        <w:tc>
          <w:tcPr>
            <w:tcW w:w="1181" w:type="dxa"/>
            <w:vAlign w:val="center"/>
          </w:tcPr>
          <w:p w:rsidR="00821E39" w:rsidRDefault="00275D3E">
            <w:pPr>
              <w:jc w:val="center"/>
            </w:pPr>
            <w:r>
              <w:rPr>
                <w:rFonts w:eastAsiaTheme="minorEastAsia"/>
                <w:color w:val="000000" w:themeColor="text1"/>
                <w:kern w:val="0"/>
              </w:rPr>
              <w:t>-3.51%</w:t>
            </w:r>
          </w:p>
        </w:tc>
        <w:tc>
          <w:tcPr>
            <w:tcW w:w="1188" w:type="dxa"/>
            <w:vAlign w:val="center"/>
          </w:tcPr>
          <w:p w:rsidR="00821E39" w:rsidRDefault="00275D3E">
            <w:pPr>
              <w:jc w:val="center"/>
            </w:pPr>
            <w:r>
              <w:rPr>
                <w:rFonts w:eastAsiaTheme="minorEastAsia"/>
                <w:color w:val="000000" w:themeColor="text1"/>
                <w:kern w:val="0"/>
              </w:rPr>
              <w:t>0.93%</w:t>
            </w:r>
          </w:p>
        </w:tc>
        <w:tc>
          <w:tcPr>
            <w:tcW w:w="1199" w:type="dxa"/>
            <w:vAlign w:val="center"/>
          </w:tcPr>
          <w:p w:rsidR="00821E39" w:rsidRDefault="00275D3E">
            <w:pPr>
              <w:jc w:val="center"/>
            </w:pPr>
            <w:r>
              <w:rPr>
                <w:rFonts w:eastAsiaTheme="minorEastAsia"/>
                <w:color w:val="000000" w:themeColor="text1"/>
                <w:kern w:val="0"/>
              </w:rPr>
              <w:t>13.60%</w:t>
            </w:r>
          </w:p>
        </w:tc>
        <w:tc>
          <w:tcPr>
            <w:tcW w:w="1204" w:type="dxa"/>
            <w:vAlign w:val="center"/>
          </w:tcPr>
          <w:p w:rsidR="00821E39" w:rsidRDefault="00275D3E">
            <w:pPr>
              <w:jc w:val="center"/>
            </w:pPr>
            <w:r>
              <w:rPr>
                <w:rFonts w:eastAsiaTheme="minorEastAsia"/>
                <w:color w:val="000000" w:themeColor="text1"/>
                <w:kern w:val="0"/>
              </w:rPr>
              <w:t>1.75%</w:t>
            </w:r>
          </w:p>
        </w:tc>
      </w:tr>
      <w:tr w:rsidR="00821E39">
        <w:tc>
          <w:tcPr>
            <w:tcW w:w="1395" w:type="dxa"/>
            <w:vAlign w:val="center"/>
          </w:tcPr>
          <w:p w:rsidR="00821E39" w:rsidRDefault="00275D3E">
            <w:pPr>
              <w:jc w:val="left"/>
            </w:pPr>
            <w:r>
              <w:rPr>
                <w:rFonts w:eastAsiaTheme="minorEastAsia"/>
                <w:color w:val="000000" w:themeColor="text1"/>
                <w:kern w:val="0"/>
              </w:rPr>
              <w:t>过去六个月</w:t>
            </w:r>
          </w:p>
        </w:tc>
        <w:tc>
          <w:tcPr>
            <w:tcW w:w="1092" w:type="dxa"/>
            <w:vAlign w:val="center"/>
          </w:tcPr>
          <w:p w:rsidR="00821E39" w:rsidRDefault="00275D3E">
            <w:pPr>
              <w:jc w:val="center"/>
            </w:pPr>
            <w:r>
              <w:rPr>
                <w:rFonts w:eastAsiaTheme="minorEastAsia"/>
                <w:color w:val="000000" w:themeColor="text1"/>
                <w:kern w:val="0"/>
              </w:rPr>
              <w:t>33.06%</w:t>
            </w:r>
          </w:p>
        </w:tc>
        <w:tc>
          <w:tcPr>
            <w:tcW w:w="1161" w:type="dxa"/>
            <w:vAlign w:val="center"/>
          </w:tcPr>
          <w:p w:rsidR="00821E39" w:rsidRDefault="00275D3E">
            <w:pPr>
              <w:jc w:val="center"/>
            </w:pPr>
            <w:r>
              <w:rPr>
                <w:rFonts w:eastAsiaTheme="minorEastAsia"/>
                <w:color w:val="000000" w:themeColor="text1"/>
                <w:kern w:val="0"/>
              </w:rPr>
              <w:t>2.14%</w:t>
            </w:r>
          </w:p>
        </w:tc>
        <w:tc>
          <w:tcPr>
            <w:tcW w:w="1181" w:type="dxa"/>
            <w:vAlign w:val="center"/>
          </w:tcPr>
          <w:p w:rsidR="00821E39" w:rsidRDefault="00275D3E">
            <w:pPr>
              <w:jc w:val="center"/>
            </w:pPr>
            <w:r>
              <w:rPr>
                <w:rFonts w:eastAsiaTheme="minorEastAsia"/>
                <w:color w:val="000000" w:themeColor="text1"/>
                <w:kern w:val="0"/>
              </w:rPr>
              <w:t>0.36%</w:t>
            </w:r>
          </w:p>
        </w:tc>
        <w:tc>
          <w:tcPr>
            <w:tcW w:w="1188" w:type="dxa"/>
            <w:vAlign w:val="center"/>
          </w:tcPr>
          <w:p w:rsidR="00821E39" w:rsidRDefault="00275D3E">
            <w:pPr>
              <w:jc w:val="center"/>
            </w:pPr>
            <w:r>
              <w:rPr>
                <w:rFonts w:eastAsiaTheme="minorEastAsia"/>
                <w:color w:val="000000" w:themeColor="text1"/>
                <w:kern w:val="0"/>
              </w:rPr>
              <w:t>0.85%</w:t>
            </w:r>
          </w:p>
        </w:tc>
        <w:tc>
          <w:tcPr>
            <w:tcW w:w="1199" w:type="dxa"/>
            <w:vAlign w:val="center"/>
          </w:tcPr>
          <w:p w:rsidR="00821E39" w:rsidRDefault="00275D3E">
            <w:pPr>
              <w:jc w:val="center"/>
            </w:pPr>
            <w:r>
              <w:rPr>
                <w:rFonts w:eastAsiaTheme="minorEastAsia"/>
                <w:color w:val="000000" w:themeColor="text1"/>
                <w:kern w:val="0"/>
              </w:rPr>
              <w:t>32.70%</w:t>
            </w:r>
          </w:p>
        </w:tc>
        <w:tc>
          <w:tcPr>
            <w:tcW w:w="1204" w:type="dxa"/>
            <w:vAlign w:val="center"/>
          </w:tcPr>
          <w:p w:rsidR="00821E39" w:rsidRDefault="00275D3E">
            <w:pPr>
              <w:jc w:val="center"/>
            </w:pPr>
            <w:r>
              <w:rPr>
                <w:rFonts w:eastAsiaTheme="minorEastAsia"/>
                <w:color w:val="000000" w:themeColor="text1"/>
                <w:kern w:val="0"/>
              </w:rPr>
              <w:t>1.29%</w:t>
            </w:r>
          </w:p>
        </w:tc>
      </w:tr>
      <w:tr w:rsidR="00821E39">
        <w:tc>
          <w:tcPr>
            <w:tcW w:w="1395" w:type="dxa"/>
            <w:vAlign w:val="center"/>
          </w:tcPr>
          <w:p w:rsidR="00821E39" w:rsidRDefault="00275D3E">
            <w:pPr>
              <w:jc w:val="left"/>
            </w:pPr>
            <w:r>
              <w:rPr>
                <w:rFonts w:eastAsiaTheme="minorEastAsia"/>
                <w:color w:val="000000" w:themeColor="text1"/>
                <w:kern w:val="0"/>
              </w:rPr>
              <w:t>过去一年</w:t>
            </w:r>
          </w:p>
        </w:tc>
        <w:tc>
          <w:tcPr>
            <w:tcW w:w="1092" w:type="dxa"/>
            <w:vAlign w:val="center"/>
          </w:tcPr>
          <w:p w:rsidR="00821E39" w:rsidRDefault="00275D3E">
            <w:pPr>
              <w:jc w:val="center"/>
            </w:pPr>
            <w:r>
              <w:rPr>
                <w:rFonts w:eastAsiaTheme="minorEastAsia"/>
                <w:color w:val="000000" w:themeColor="text1"/>
                <w:kern w:val="0"/>
              </w:rPr>
              <w:t>61.93%</w:t>
            </w:r>
          </w:p>
        </w:tc>
        <w:tc>
          <w:tcPr>
            <w:tcW w:w="1161" w:type="dxa"/>
            <w:vAlign w:val="center"/>
          </w:tcPr>
          <w:p w:rsidR="00821E39" w:rsidRDefault="00275D3E">
            <w:pPr>
              <w:jc w:val="center"/>
            </w:pPr>
            <w:r>
              <w:rPr>
                <w:rFonts w:eastAsiaTheme="minorEastAsia"/>
                <w:color w:val="000000" w:themeColor="text1"/>
                <w:kern w:val="0"/>
              </w:rPr>
              <w:t>1.76%</w:t>
            </w:r>
          </w:p>
        </w:tc>
        <w:tc>
          <w:tcPr>
            <w:tcW w:w="1181" w:type="dxa"/>
            <w:vAlign w:val="center"/>
          </w:tcPr>
          <w:p w:rsidR="00821E39" w:rsidRDefault="00275D3E">
            <w:pPr>
              <w:jc w:val="center"/>
            </w:pPr>
            <w:r>
              <w:rPr>
                <w:rFonts w:eastAsiaTheme="minorEastAsia"/>
                <w:color w:val="000000" w:themeColor="text1"/>
                <w:kern w:val="0"/>
              </w:rPr>
              <w:t>7.17%</w:t>
            </w:r>
          </w:p>
        </w:tc>
        <w:tc>
          <w:tcPr>
            <w:tcW w:w="1188" w:type="dxa"/>
            <w:vAlign w:val="center"/>
          </w:tcPr>
          <w:p w:rsidR="00821E39" w:rsidRDefault="00275D3E">
            <w:pPr>
              <w:jc w:val="center"/>
            </w:pPr>
            <w:r>
              <w:rPr>
                <w:rFonts w:eastAsiaTheme="minorEastAsia"/>
                <w:color w:val="000000" w:themeColor="text1"/>
                <w:kern w:val="0"/>
              </w:rPr>
              <w:t>0.96%</w:t>
            </w:r>
          </w:p>
        </w:tc>
        <w:tc>
          <w:tcPr>
            <w:tcW w:w="1199" w:type="dxa"/>
            <w:vAlign w:val="center"/>
          </w:tcPr>
          <w:p w:rsidR="00821E39" w:rsidRDefault="00275D3E">
            <w:pPr>
              <w:jc w:val="center"/>
            </w:pPr>
            <w:r>
              <w:rPr>
                <w:rFonts w:eastAsiaTheme="minorEastAsia"/>
                <w:color w:val="000000" w:themeColor="text1"/>
                <w:kern w:val="0"/>
              </w:rPr>
              <w:t>54.76%</w:t>
            </w:r>
          </w:p>
        </w:tc>
        <w:tc>
          <w:tcPr>
            <w:tcW w:w="1204" w:type="dxa"/>
            <w:vAlign w:val="center"/>
          </w:tcPr>
          <w:p w:rsidR="00821E39" w:rsidRDefault="00275D3E">
            <w:pPr>
              <w:jc w:val="center"/>
            </w:pPr>
            <w:r>
              <w:rPr>
                <w:rFonts w:eastAsiaTheme="minorEastAsia"/>
                <w:color w:val="000000" w:themeColor="text1"/>
                <w:kern w:val="0"/>
              </w:rPr>
              <w:t>0.80%</w:t>
            </w:r>
          </w:p>
        </w:tc>
      </w:tr>
      <w:tr w:rsidR="00821E39">
        <w:tc>
          <w:tcPr>
            <w:tcW w:w="1395" w:type="dxa"/>
            <w:vAlign w:val="center"/>
          </w:tcPr>
          <w:p w:rsidR="00821E39" w:rsidRDefault="00275D3E">
            <w:pPr>
              <w:jc w:val="left"/>
            </w:pPr>
            <w:r>
              <w:rPr>
                <w:rFonts w:eastAsiaTheme="minorEastAsia"/>
                <w:color w:val="000000" w:themeColor="text1"/>
                <w:kern w:val="0"/>
              </w:rPr>
              <w:t>过去三年</w:t>
            </w:r>
          </w:p>
        </w:tc>
        <w:tc>
          <w:tcPr>
            <w:tcW w:w="1092" w:type="dxa"/>
            <w:vAlign w:val="center"/>
          </w:tcPr>
          <w:p w:rsidR="00821E39" w:rsidRDefault="00275D3E">
            <w:pPr>
              <w:jc w:val="center"/>
            </w:pPr>
            <w:r>
              <w:rPr>
                <w:rFonts w:eastAsiaTheme="minorEastAsia"/>
                <w:color w:val="000000" w:themeColor="text1"/>
                <w:kern w:val="0"/>
              </w:rPr>
              <w:t>-</w:t>
            </w:r>
          </w:p>
        </w:tc>
        <w:tc>
          <w:tcPr>
            <w:tcW w:w="1161" w:type="dxa"/>
            <w:vAlign w:val="center"/>
          </w:tcPr>
          <w:p w:rsidR="00821E39" w:rsidRDefault="00275D3E">
            <w:pPr>
              <w:jc w:val="center"/>
            </w:pPr>
            <w:r>
              <w:rPr>
                <w:rFonts w:eastAsiaTheme="minorEastAsia"/>
                <w:color w:val="000000" w:themeColor="text1"/>
                <w:kern w:val="0"/>
              </w:rPr>
              <w:t>-</w:t>
            </w:r>
          </w:p>
        </w:tc>
        <w:tc>
          <w:tcPr>
            <w:tcW w:w="1181" w:type="dxa"/>
            <w:vAlign w:val="center"/>
          </w:tcPr>
          <w:p w:rsidR="00821E39" w:rsidRDefault="00275D3E">
            <w:pPr>
              <w:jc w:val="center"/>
            </w:pPr>
            <w:r>
              <w:rPr>
                <w:rFonts w:eastAsiaTheme="minorEastAsia"/>
                <w:color w:val="000000" w:themeColor="text1"/>
                <w:kern w:val="0"/>
              </w:rPr>
              <w:t>-</w:t>
            </w:r>
          </w:p>
        </w:tc>
        <w:tc>
          <w:tcPr>
            <w:tcW w:w="1188" w:type="dxa"/>
            <w:vAlign w:val="center"/>
          </w:tcPr>
          <w:p w:rsidR="00821E39" w:rsidRDefault="00275D3E">
            <w:pPr>
              <w:jc w:val="center"/>
            </w:pPr>
            <w:r>
              <w:rPr>
                <w:rFonts w:eastAsiaTheme="minorEastAsia"/>
                <w:color w:val="000000" w:themeColor="text1"/>
                <w:kern w:val="0"/>
              </w:rPr>
              <w:t>-</w:t>
            </w:r>
          </w:p>
        </w:tc>
        <w:tc>
          <w:tcPr>
            <w:tcW w:w="1199" w:type="dxa"/>
            <w:vAlign w:val="center"/>
          </w:tcPr>
          <w:p w:rsidR="00821E39" w:rsidRDefault="00275D3E">
            <w:pPr>
              <w:jc w:val="center"/>
            </w:pPr>
            <w:r>
              <w:rPr>
                <w:rFonts w:eastAsiaTheme="minorEastAsia"/>
                <w:color w:val="000000" w:themeColor="text1"/>
                <w:kern w:val="0"/>
              </w:rPr>
              <w:t>-</w:t>
            </w:r>
          </w:p>
        </w:tc>
        <w:tc>
          <w:tcPr>
            <w:tcW w:w="1204" w:type="dxa"/>
            <w:vAlign w:val="center"/>
          </w:tcPr>
          <w:p w:rsidR="00821E39" w:rsidRDefault="00275D3E">
            <w:pPr>
              <w:jc w:val="center"/>
            </w:pPr>
            <w:r>
              <w:rPr>
                <w:rFonts w:eastAsiaTheme="minorEastAsia"/>
                <w:color w:val="000000" w:themeColor="text1"/>
                <w:kern w:val="0"/>
              </w:rPr>
              <w:t>-</w:t>
            </w:r>
          </w:p>
        </w:tc>
      </w:tr>
      <w:tr w:rsidR="00821E39">
        <w:tc>
          <w:tcPr>
            <w:tcW w:w="1395" w:type="dxa"/>
            <w:vAlign w:val="center"/>
          </w:tcPr>
          <w:p w:rsidR="00821E39" w:rsidRDefault="00275D3E">
            <w:pPr>
              <w:jc w:val="left"/>
            </w:pPr>
            <w:r>
              <w:rPr>
                <w:rFonts w:eastAsiaTheme="minorEastAsia"/>
                <w:color w:val="000000" w:themeColor="text1"/>
                <w:kern w:val="0"/>
              </w:rPr>
              <w:t>过去五年</w:t>
            </w:r>
          </w:p>
        </w:tc>
        <w:tc>
          <w:tcPr>
            <w:tcW w:w="1092" w:type="dxa"/>
            <w:vAlign w:val="center"/>
          </w:tcPr>
          <w:p w:rsidR="00821E39" w:rsidRDefault="00275D3E">
            <w:pPr>
              <w:jc w:val="center"/>
            </w:pPr>
            <w:r>
              <w:rPr>
                <w:rFonts w:eastAsiaTheme="minorEastAsia"/>
                <w:color w:val="000000" w:themeColor="text1"/>
                <w:kern w:val="0"/>
              </w:rPr>
              <w:t>-</w:t>
            </w:r>
          </w:p>
        </w:tc>
        <w:tc>
          <w:tcPr>
            <w:tcW w:w="1161" w:type="dxa"/>
            <w:vAlign w:val="center"/>
          </w:tcPr>
          <w:p w:rsidR="00821E39" w:rsidRDefault="00275D3E">
            <w:pPr>
              <w:jc w:val="center"/>
            </w:pPr>
            <w:r>
              <w:rPr>
                <w:rFonts w:eastAsiaTheme="minorEastAsia"/>
                <w:color w:val="000000" w:themeColor="text1"/>
                <w:kern w:val="0"/>
              </w:rPr>
              <w:t>-</w:t>
            </w:r>
          </w:p>
        </w:tc>
        <w:tc>
          <w:tcPr>
            <w:tcW w:w="1181" w:type="dxa"/>
            <w:vAlign w:val="center"/>
          </w:tcPr>
          <w:p w:rsidR="00821E39" w:rsidRDefault="00275D3E">
            <w:pPr>
              <w:jc w:val="center"/>
            </w:pPr>
            <w:r>
              <w:rPr>
                <w:rFonts w:eastAsiaTheme="minorEastAsia"/>
                <w:color w:val="000000" w:themeColor="text1"/>
                <w:kern w:val="0"/>
              </w:rPr>
              <w:t>-</w:t>
            </w:r>
          </w:p>
        </w:tc>
        <w:tc>
          <w:tcPr>
            <w:tcW w:w="1188" w:type="dxa"/>
            <w:vAlign w:val="center"/>
          </w:tcPr>
          <w:p w:rsidR="00821E39" w:rsidRDefault="00275D3E">
            <w:pPr>
              <w:jc w:val="center"/>
            </w:pPr>
            <w:r>
              <w:rPr>
                <w:rFonts w:eastAsiaTheme="minorEastAsia"/>
                <w:color w:val="000000" w:themeColor="text1"/>
                <w:kern w:val="0"/>
              </w:rPr>
              <w:t>-</w:t>
            </w:r>
          </w:p>
        </w:tc>
        <w:tc>
          <w:tcPr>
            <w:tcW w:w="1199" w:type="dxa"/>
            <w:vAlign w:val="center"/>
          </w:tcPr>
          <w:p w:rsidR="00821E39" w:rsidRDefault="00275D3E">
            <w:pPr>
              <w:jc w:val="center"/>
            </w:pPr>
            <w:r>
              <w:rPr>
                <w:rFonts w:eastAsiaTheme="minorEastAsia"/>
                <w:color w:val="000000" w:themeColor="text1"/>
                <w:kern w:val="0"/>
              </w:rPr>
              <w:t>-</w:t>
            </w:r>
          </w:p>
        </w:tc>
        <w:tc>
          <w:tcPr>
            <w:tcW w:w="1204" w:type="dxa"/>
            <w:vAlign w:val="center"/>
          </w:tcPr>
          <w:p w:rsidR="00821E39" w:rsidRDefault="00275D3E">
            <w:pPr>
              <w:jc w:val="center"/>
            </w:pPr>
            <w:r>
              <w:rPr>
                <w:rFonts w:eastAsiaTheme="minorEastAsia"/>
                <w:color w:val="000000" w:themeColor="text1"/>
                <w:kern w:val="0"/>
              </w:rPr>
              <w:t>-</w:t>
            </w:r>
          </w:p>
        </w:tc>
      </w:tr>
      <w:tr w:rsidR="00821E39">
        <w:tc>
          <w:tcPr>
            <w:tcW w:w="1395" w:type="dxa"/>
            <w:vAlign w:val="center"/>
          </w:tcPr>
          <w:p w:rsidR="00821E39" w:rsidRDefault="00275D3E">
            <w:pPr>
              <w:jc w:val="left"/>
            </w:pPr>
            <w:r>
              <w:rPr>
                <w:rFonts w:eastAsiaTheme="minorEastAsia"/>
                <w:color w:val="000000" w:themeColor="text1"/>
                <w:kern w:val="0"/>
              </w:rPr>
              <w:t>自基金合同生效起至今</w:t>
            </w:r>
          </w:p>
        </w:tc>
        <w:tc>
          <w:tcPr>
            <w:tcW w:w="1092" w:type="dxa"/>
            <w:vAlign w:val="center"/>
          </w:tcPr>
          <w:p w:rsidR="00821E39" w:rsidRDefault="00275D3E">
            <w:pPr>
              <w:jc w:val="center"/>
            </w:pPr>
            <w:r>
              <w:rPr>
                <w:rFonts w:eastAsiaTheme="minorEastAsia"/>
                <w:color w:val="000000" w:themeColor="text1"/>
                <w:kern w:val="0"/>
              </w:rPr>
              <w:t>201.26%</w:t>
            </w:r>
          </w:p>
        </w:tc>
        <w:tc>
          <w:tcPr>
            <w:tcW w:w="1161" w:type="dxa"/>
            <w:vAlign w:val="center"/>
          </w:tcPr>
          <w:p w:rsidR="00821E39" w:rsidRDefault="00275D3E">
            <w:pPr>
              <w:jc w:val="center"/>
            </w:pPr>
            <w:r>
              <w:rPr>
                <w:rFonts w:eastAsiaTheme="minorEastAsia"/>
                <w:color w:val="000000" w:themeColor="text1"/>
                <w:kern w:val="0"/>
              </w:rPr>
              <w:t>1.40%</w:t>
            </w:r>
          </w:p>
        </w:tc>
        <w:tc>
          <w:tcPr>
            <w:tcW w:w="1181" w:type="dxa"/>
            <w:vAlign w:val="center"/>
          </w:tcPr>
          <w:p w:rsidR="00821E39" w:rsidRDefault="00275D3E">
            <w:pPr>
              <w:jc w:val="center"/>
            </w:pPr>
            <w:r>
              <w:rPr>
                <w:rFonts w:eastAsiaTheme="minorEastAsia"/>
                <w:color w:val="000000" w:themeColor="text1"/>
                <w:kern w:val="0"/>
              </w:rPr>
              <w:t>46.99%</w:t>
            </w:r>
          </w:p>
        </w:tc>
        <w:tc>
          <w:tcPr>
            <w:tcW w:w="1188" w:type="dxa"/>
            <w:vAlign w:val="center"/>
          </w:tcPr>
          <w:p w:rsidR="00821E39" w:rsidRDefault="00275D3E">
            <w:pPr>
              <w:jc w:val="center"/>
            </w:pPr>
            <w:r>
              <w:rPr>
                <w:rFonts w:eastAsiaTheme="minorEastAsia"/>
                <w:color w:val="000000" w:themeColor="text1"/>
                <w:kern w:val="0"/>
              </w:rPr>
              <w:t>1.11%</w:t>
            </w:r>
          </w:p>
        </w:tc>
        <w:tc>
          <w:tcPr>
            <w:tcW w:w="1199" w:type="dxa"/>
            <w:vAlign w:val="center"/>
          </w:tcPr>
          <w:p w:rsidR="00821E39" w:rsidRDefault="00275D3E">
            <w:pPr>
              <w:jc w:val="center"/>
            </w:pPr>
            <w:r>
              <w:rPr>
                <w:rFonts w:eastAsiaTheme="minorEastAsia"/>
                <w:color w:val="000000" w:themeColor="text1"/>
                <w:kern w:val="0"/>
              </w:rPr>
              <w:t>154.27%</w:t>
            </w:r>
          </w:p>
        </w:tc>
        <w:tc>
          <w:tcPr>
            <w:tcW w:w="1204" w:type="dxa"/>
            <w:vAlign w:val="center"/>
          </w:tcPr>
          <w:p w:rsidR="00821E39" w:rsidRDefault="00275D3E">
            <w:pPr>
              <w:jc w:val="center"/>
            </w:pPr>
            <w:r>
              <w:rPr>
                <w:rFonts w:eastAsiaTheme="minorEastAsia"/>
                <w:color w:val="000000" w:themeColor="text1"/>
                <w:kern w:val="0"/>
              </w:rPr>
              <w:t>0.29%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上投摩根核心精选股票型证券投资基金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(2018</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29</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821E39" w:rsidRDefault="00275D3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w:t>
      </w:r>
      <w:r>
        <w:rPr>
          <w:rFonts w:eastAsiaTheme="minorEastAsia"/>
          <w:color w:val="000000" w:themeColor="text1"/>
        </w:rPr>
        <w:t>29</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821E39">
        <w:tc>
          <w:tcPr>
            <w:tcW w:w="851" w:type="dxa"/>
            <w:vAlign w:val="center"/>
          </w:tcPr>
          <w:p w:rsidR="00821E39" w:rsidRDefault="00275D3E">
            <w:pPr>
              <w:jc w:val="center"/>
            </w:pPr>
            <w:r>
              <w:rPr>
                <w:rFonts w:eastAsiaTheme="minorEastAsia"/>
                <w:color w:val="000000" w:themeColor="text1"/>
              </w:rPr>
              <w:t>李博</w:t>
            </w:r>
          </w:p>
        </w:tc>
        <w:tc>
          <w:tcPr>
            <w:tcW w:w="850" w:type="dxa"/>
            <w:vAlign w:val="center"/>
          </w:tcPr>
          <w:p w:rsidR="00821E39" w:rsidRDefault="00275D3E">
            <w:pPr>
              <w:jc w:val="center"/>
            </w:pPr>
            <w:r>
              <w:rPr>
                <w:rFonts w:eastAsiaTheme="minorEastAsia"/>
                <w:color w:val="000000" w:themeColor="text1"/>
              </w:rPr>
              <w:t>本基金基金经理</w:t>
            </w:r>
          </w:p>
        </w:tc>
        <w:tc>
          <w:tcPr>
            <w:tcW w:w="1560" w:type="dxa"/>
            <w:vAlign w:val="center"/>
          </w:tcPr>
          <w:p w:rsidR="00821E39" w:rsidRDefault="00275D3E">
            <w:pPr>
              <w:jc w:val="center"/>
            </w:pPr>
            <w:r>
              <w:rPr>
                <w:rFonts w:eastAsiaTheme="minorEastAsia"/>
                <w:color w:val="000000" w:themeColor="text1"/>
              </w:rPr>
              <w:t>2018-11-29</w:t>
            </w:r>
          </w:p>
        </w:tc>
        <w:tc>
          <w:tcPr>
            <w:tcW w:w="1559" w:type="dxa"/>
            <w:vAlign w:val="center"/>
          </w:tcPr>
          <w:p w:rsidR="00821E39" w:rsidRDefault="00275D3E">
            <w:pPr>
              <w:jc w:val="center"/>
            </w:pPr>
            <w:r>
              <w:rPr>
                <w:rFonts w:eastAsiaTheme="minorEastAsia"/>
                <w:color w:val="000000" w:themeColor="text1"/>
              </w:rPr>
              <w:t>-</w:t>
            </w:r>
          </w:p>
        </w:tc>
        <w:tc>
          <w:tcPr>
            <w:tcW w:w="1417" w:type="dxa"/>
            <w:vAlign w:val="center"/>
          </w:tcPr>
          <w:p w:rsidR="00821E39" w:rsidRDefault="00275D3E">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rsidR="00821E39" w:rsidRDefault="00275D3E">
            <w:r>
              <w:rPr>
                <w:rFonts w:eastAsiaTheme="minorEastAsia"/>
                <w:color w:val="000000" w:themeColor="text1"/>
              </w:rPr>
              <w:t>李博先生，上海交通大学硕士，自</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月在中银国际证券有限公司担任研究员，负责研究方面的工作。自</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lastRenderedPageBreak/>
              <w:t>11</w:t>
            </w:r>
            <w:r>
              <w:rPr>
                <w:rFonts w:eastAsiaTheme="minorEastAsia"/>
                <w:color w:val="000000" w:themeColor="text1"/>
              </w:rPr>
              <w:t>月起加入上投摩根基金管理有限公司，先后担任行业专家、基金经理、资深基金经理、国内权益投资部价值成长组组长兼资深基金经理，自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月起担任上投摩根核心成长股票型证券投资基金基金经理，</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月同时担任上投摩根科技前沿灵活配置混合型证券投资基金基金经理，自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月起同时担任上投摩根阿尔法混合型证券投资基金基金经理，自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月起同时担任上投</w:t>
            </w:r>
            <w:r>
              <w:rPr>
                <w:rFonts w:eastAsiaTheme="minorEastAsia"/>
                <w:color w:val="000000" w:themeColor="text1"/>
              </w:rPr>
              <w:t>摩根双息平衡混合型证券投资基金基金经理，自</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月起同时担任上投摩根核心精选股票型证券投资基金基金经理。</w:t>
            </w:r>
          </w:p>
        </w:tc>
      </w:tr>
      <w:tr w:rsidR="00821E39">
        <w:tc>
          <w:tcPr>
            <w:tcW w:w="851" w:type="dxa"/>
            <w:vAlign w:val="center"/>
          </w:tcPr>
          <w:p w:rsidR="00821E39" w:rsidRDefault="00275D3E">
            <w:pPr>
              <w:jc w:val="center"/>
            </w:pPr>
            <w:r>
              <w:rPr>
                <w:rFonts w:eastAsiaTheme="minorEastAsia"/>
                <w:color w:val="000000" w:themeColor="text1"/>
              </w:rPr>
              <w:lastRenderedPageBreak/>
              <w:t>赵隆隆</w:t>
            </w:r>
          </w:p>
        </w:tc>
        <w:tc>
          <w:tcPr>
            <w:tcW w:w="850" w:type="dxa"/>
            <w:vAlign w:val="center"/>
          </w:tcPr>
          <w:p w:rsidR="00821E39" w:rsidRDefault="00275D3E">
            <w:pPr>
              <w:jc w:val="center"/>
            </w:pPr>
            <w:r>
              <w:rPr>
                <w:rFonts w:eastAsiaTheme="minorEastAsia"/>
                <w:color w:val="000000" w:themeColor="text1"/>
              </w:rPr>
              <w:t>本基金基金经理</w:t>
            </w:r>
          </w:p>
        </w:tc>
        <w:tc>
          <w:tcPr>
            <w:tcW w:w="1560" w:type="dxa"/>
            <w:vAlign w:val="center"/>
          </w:tcPr>
          <w:p w:rsidR="00821E39" w:rsidRDefault="00275D3E">
            <w:pPr>
              <w:jc w:val="center"/>
            </w:pPr>
            <w:r>
              <w:rPr>
                <w:rFonts w:eastAsiaTheme="minorEastAsia"/>
                <w:color w:val="000000" w:themeColor="text1"/>
              </w:rPr>
              <w:t>2021-04-23</w:t>
            </w:r>
          </w:p>
        </w:tc>
        <w:tc>
          <w:tcPr>
            <w:tcW w:w="1559" w:type="dxa"/>
            <w:vAlign w:val="center"/>
          </w:tcPr>
          <w:p w:rsidR="00821E39" w:rsidRDefault="00275D3E">
            <w:pPr>
              <w:jc w:val="center"/>
            </w:pPr>
            <w:r>
              <w:rPr>
                <w:rFonts w:eastAsiaTheme="minorEastAsia"/>
                <w:color w:val="000000" w:themeColor="text1"/>
              </w:rPr>
              <w:t>-</w:t>
            </w:r>
          </w:p>
        </w:tc>
        <w:tc>
          <w:tcPr>
            <w:tcW w:w="1417" w:type="dxa"/>
            <w:vAlign w:val="center"/>
          </w:tcPr>
          <w:p w:rsidR="00821E39" w:rsidRDefault="00275D3E">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rsidR="00821E39" w:rsidRDefault="00275D3E">
            <w:r>
              <w:rPr>
                <w:rFonts w:eastAsiaTheme="minorEastAsia"/>
                <w:color w:val="000000" w:themeColor="text1"/>
              </w:rPr>
              <w:t>赵隆隆先生</w:t>
            </w:r>
            <w:r>
              <w:rPr>
                <w:rFonts w:eastAsiaTheme="minorEastAsia"/>
                <w:color w:val="000000" w:themeColor="text1"/>
              </w:rPr>
              <w:t>,</w:t>
            </w:r>
            <w:r>
              <w:rPr>
                <w:rFonts w:eastAsiaTheme="minorEastAsia"/>
                <w:color w:val="000000" w:themeColor="text1"/>
              </w:rPr>
              <w:t>上海财经大学产业经济学硕士，现任基金经理。赵隆隆先生自</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月，在上海申银万国证券研究所有限公司担任制造业研究部资深高级分析师；自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月起加入上投摩根基金管理有限公司，历任行业专家、行业专家兼研究组长、基金经理助理，现任基金经理。自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月起担任上投摩根核心精选股票型券投资基金基金经理，自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月起同时担任上投摩根香港精选港股通混合型证券投资基金基金经理。</w:t>
            </w:r>
          </w:p>
        </w:tc>
      </w:tr>
    </w:tbl>
    <w:p w:rsidR="00821E39" w:rsidRDefault="00275D3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821E39" w:rsidRDefault="00275D3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李博先生为本基金首任基</w:t>
      </w:r>
      <w:r>
        <w:rPr>
          <w:rFonts w:eastAsiaTheme="minorEastAsia"/>
          <w:color w:val="000000" w:themeColor="text1"/>
        </w:rPr>
        <w:t>金经理，其任职日期指本基金基金合同生效之日。</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核心精选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4.4.1</w:t>
      </w:r>
      <w:r w:rsidRPr="00FF6B9A">
        <w:rPr>
          <w:rFonts w:eastAsiaTheme="minorEastAsia"/>
          <w:color w:val="000000" w:themeColor="text1"/>
          <w:sz w:val="24"/>
          <w:szCs w:val="24"/>
        </w:rPr>
        <w:t>报告期内基金投资策略和运作分析</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2021</w:t>
      </w:r>
      <w:r>
        <w:rPr>
          <w:rFonts w:eastAsiaTheme="minorEastAsia"/>
          <w:color w:val="000000" w:themeColor="text1"/>
        </w:rPr>
        <w:t>年第三季度市场波动明显加大，沪深</w:t>
      </w:r>
      <w:r>
        <w:rPr>
          <w:rFonts w:eastAsiaTheme="minorEastAsia"/>
          <w:color w:val="000000" w:themeColor="text1"/>
        </w:rPr>
        <w:t>300</w:t>
      </w:r>
      <w:r>
        <w:rPr>
          <w:rFonts w:eastAsiaTheme="minorEastAsia"/>
          <w:color w:val="000000" w:themeColor="text1"/>
        </w:rPr>
        <w:t>指数下跌</w:t>
      </w:r>
      <w:r>
        <w:rPr>
          <w:rFonts w:eastAsiaTheme="minorEastAsia"/>
          <w:color w:val="000000" w:themeColor="text1"/>
        </w:rPr>
        <w:t>6.85%</w:t>
      </w:r>
      <w:r>
        <w:rPr>
          <w:rFonts w:eastAsiaTheme="minorEastAsia"/>
          <w:color w:val="000000" w:themeColor="text1"/>
        </w:rPr>
        <w:t>，中证</w:t>
      </w:r>
      <w:r>
        <w:rPr>
          <w:rFonts w:eastAsiaTheme="minorEastAsia"/>
          <w:color w:val="000000" w:themeColor="text1"/>
        </w:rPr>
        <w:t>800</w:t>
      </w:r>
      <w:r>
        <w:rPr>
          <w:rFonts w:eastAsiaTheme="minorEastAsia"/>
          <w:color w:val="000000" w:themeColor="text1"/>
        </w:rPr>
        <w:t>指数下跌</w:t>
      </w:r>
      <w:r>
        <w:rPr>
          <w:rFonts w:eastAsiaTheme="minorEastAsia"/>
          <w:color w:val="000000" w:themeColor="text1"/>
        </w:rPr>
        <w:t>4.36%</w:t>
      </w:r>
      <w:r>
        <w:rPr>
          <w:rFonts w:eastAsiaTheme="minorEastAsia"/>
          <w:color w:val="000000" w:themeColor="text1"/>
        </w:rPr>
        <w:t>，中证</w:t>
      </w:r>
      <w:r>
        <w:rPr>
          <w:rFonts w:eastAsiaTheme="minorEastAsia"/>
          <w:color w:val="000000" w:themeColor="text1"/>
        </w:rPr>
        <w:t>500</w:t>
      </w:r>
      <w:r>
        <w:rPr>
          <w:rFonts w:eastAsiaTheme="minorEastAsia"/>
          <w:color w:val="000000" w:themeColor="text1"/>
        </w:rPr>
        <w:t>指数上涨</w:t>
      </w:r>
      <w:r>
        <w:rPr>
          <w:rFonts w:eastAsiaTheme="minorEastAsia"/>
          <w:color w:val="000000" w:themeColor="text1"/>
        </w:rPr>
        <w:t>4.34%</w:t>
      </w:r>
      <w:r>
        <w:rPr>
          <w:rFonts w:eastAsiaTheme="minorEastAsia"/>
          <w:color w:val="000000" w:themeColor="text1"/>
        </w:rPr>
        <w:t>，本基金第三季度净值上涨</w:t>
      </w:r>
      <w:r>
        <w:rPr>
          <w:rFonts w:eastAsiaTheme="minorEastAsia"/>
          <w:color w:val="000000" w:themeColor="text1"/>
        </w:rPr>
        <w:t>10.09%</w:t>
      </w:r>
      <w:r>
        <w:rPr>
          <w:rFonts w:eastAsiaTheme="minorEastAsia"/>
          <w:color w:val="000000" w:themeColor="text1"/>
        </w:rPr>
        <w:t>，相对收益尚可。从行业指数来看，第三季度涨幅靠前的板块是有色、采掘、公用事业、钢铁和化工，跌幅靠前的行业是休闲服务、食品饮料、医药生物。</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8</w:t>
      </w:r>
      <w:r>
        <w:rPr>
          <w:rFonts w:eastAsiaTheme="minorEastAsia"/>
          <w:color w:val="000000" w:themeColor="text1"/>
        </w:rPr>
        <w:t>月以煤炭、钢铁、有色为主的周期股大放异彩，而</w:t>
      </w:r>
      <w:r>
        <w:rPr>
          <w:rFonts w:eastAsiaTheme="minorEastAsia"/>
          <w:color w:val="000000" w:themeColor="text1"/>
        </w:rPr>
        <w:t>9</w:t>
      </w:r>
      <w:r>
        <w:rPr>
          <w:rFonts w:eastAsiaTheme="minorEastAsia"/>
          <w:color w:val="000000" w:themeColor="text1"/>
        </w:rPr>
        <w:t>月涨幅靠前的板块是</w:t>
      </w:r>
      <w:r>
        <w:rPr>
          <w:rFonts w:eastAsiaTheme="minorEastAsia"/>
          <w:color w:val="000000" w:themeColor="text1"/>
        </w:rPr>
        <w:t>公用事业、采掘、食品饮料，农林牧渔和房地产，跌幅靠前的板块是有色金属、钢铁和国防军工。三季度每月板块表现都大相径庭，尤其是</w:t>
      </w:r>
      <w:r>
        <w:rPr>
          <w:rFonts w:eastAsiaTheme="minorEastAsia"/>
          <w:color w:val="000000" w:themeColor="text1"/>
        </w:rPr>
        <w:t>8</w:t>
      </w:r>
      <w:r>
        <w:rPr>
          <w:rFonts w:eastAsiaTheme="minorEastAsia"/>
          <w:color w:val="000000" w:themeColor="text1"/>
        </w:rPr>
        <w:t>月表现较好的周期板块中的有色金属，</w:t>
      </w:r>
      <w:r>
        <w:rPr>
          <w:rFonts w:eastAsiaTheme="minorEastAsia"/>
          <w:color w:val="000000" w:themeColor="text1"/>
        </w:rPr>
        <w:t>9</w:t>
      </w:r>
      <w:r>
        <w:rPr>
          <w:rFonts w:eastAsiaTheme="minorEastAsia"/>
          <w:color w:val="000000" w:themeColor="text1"/>
        </w:rPr>
        <w:t>月份下跌</w:t>
      </w:r>
      <w:r>
        <w:rPr>
          <w:rFonts w:eastAsiaTheme="minorEastAsia"/>
          <w:color w:val="000000" w:themeColor="text1"/>
        </w:rPr>
        <w:t>15.7%</w:t>
      </w:r>
      <w:r>
        <w:rPr>
          <w:rFonts w:eastAsiaTheme="minorEastAsia"/>
          <w:color w:val="000000" w:themeColor="text1"/>
        </w:rPr>
        <w:t>，前期强势的锂电上游、稀土、光伏上游（工业硅等）公司同样面临深度调整，本基金净值</w:t>
      </w:r>
      <w:r>
        <w:rPr>
          <w:rFonts w:eastAsiaTheme="minorEastAsia"/>
          <w:color w:val="000000" w:themeColor="text1"/>
        </w:rPr>
        <w:t>9</w:t>
      </w:r>
      <w:r>
        <w:rPr>
          <w:rFonts w:eastAsiaTheme="minorEastAsia"/>
          <w:color w:val="000000" w:themeColor="text1"/>
        </w:rPr>
        <w:t>月份单月下跌了</w:t>
      </w:r>
      <w:r>
        <w:rPr>
          <w:rFonts w:eastAsiaTheme="minorEastAsia"/>
          <w:color w:val="000000" w:themeColor="text1"/>
        </w:rPr>
        <w:t>14.8%</w:t>
      </w:r>
      <w:r>
        <w:rPr>
          <w:rFonts w:eastAsiaTheme="minorEastAsia"/>
          <w:color w:val="000000" w:themeColor="text1"/>
        </w:rPr>
        <w:t>，回撤较大。板块大幅调整的原因有二，其一是前期</w:t>
      </w:r>
      <w:r>
        <w:rPr>
          <w:rFonts w:eastAsiaTheme="minorEastAsia"/>
          <w:color w:val="000000" w:themeColor="text1"/>
        </w:rPr>
        <w:t>5-7</w:t>
      </w:r>
      <w:r>
        <w:rPr>
          <w:rFonts w:eastAsiaTheme="minorEastAsia"/>
          <w:color w:val="000000" w:themeColor="text1"/>
        </w:rPr>
        <w:t>月确实涨幅过大，其二是</w:t>
      </w:r>
      <w:r>
        <w:rPr>
          <w:rFonts w:eastAsiaTheme="minorEastAsia"/>
          <w:color w:val="000000" w:themeColor="text1"/>
        </w:rPr>
        <w:t>9</w:t>
      </w:r>
      <w:r>
        <w:rPr>
          <w:rFonts w:eastAsiaTheme="minorEastAsia"/>
          <w:color w:val="000000" w:themeColor="text1"/>
        </w:rPr>
        <w:t>月下旬的限电限产对市场投资人情绪造成了比较大的冲击，市场关注焦点从行业产业逻辑转变成限电对整个宏观经济的担忧，企业正常生产可能受影响。</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投资策略上，本基</w:t>
      </w:r>
      <w:r>
        <w:rPr>
          <w:rFonts w:eastAsiaTheme="minorEastAsia"/>
          <w:color w:val="000000" w:themeColor="text1"/>
        </w:rPr>
        <w:t>金三季度继续重点关注</w:t>
      </w:r>
      <w:r>
        <w:rPr>
          <w:rFonts w:eastAsiaTheme="minorEastAsia"/>
          <w:color w:val="000000" w:themeColor="text1"/>
        </w:rPr>
        <w:t>“</w:t>
      </w:r>
      <w:r>
        <w:rPr>
          <w:rFonts w:eastAsiaTheme="minorEastAsia"/>
          <w:color w:val="000000" w:themeColor="text1"/>
        </w:rPr>
        <w:t>双碳</w:t>
      </w:r>
      <w:r>
        <w:rPr>
          <w:rFonts w:eastAsiaTheme="minorEastAsia"/>
          <w:color w:val="000000" w:themeColor="text1"/>
        </w:rPr>
        <w:t>”</w:t>
      </w:r>
      <w:r>
        <w:rPr>
          <w:rFonts w:eastAsiaTheme="minorEastAsia"/>
          <w:color w:val="000000" w:themeColor="text1"/>
        </w:rPr>
        <w:t>目标（碳达峰和碳中和）带来的新能源（如电动车、光伏）以及部分顺周期下传统周期行业的投资机会，同时根据每个阶段不同细分环节的投资性价比做了适度调仓，减持了部分军工、半导体个股。总体三季度收益跑赢业绩基准，但</w:t>
      </w:r>
      <w:r>
        <w:rPr>
          <w:rFonts w:eastAsiaTheme="minorEastAsia"/>
          <w:color w:val="000000" w:themeColor="text1"/>
        </w:rPr>
        <w:t>9</w:t>
      </w:r>
      <w:r>
        <w:rPr>
          <w:rFonts w:eastAsiaTheme="minorEastAsia"/>
          <w:color w:val="000000" w:themeColor="text1"/>
        </w:rPr>
        <w:t>月份回撤控制能力还是有待提高。回顾三季度，有两点超出此前预期的内容，一方面是光伏电动车基本面虽依然向好，但</w:t>
      </w:r>
      <w:r>
        <w:rPr>
          <w:rFonts w:eastAsiaTheme="minorEastAsia"/>
          <w:color w:val="000000" w:themeColor="text1"/>
        </w:rPr>
        <w:t>7-8</w:t>
      </w:r>
      <w:r>
        <w:rPr>
          <w:rFonts w:eastAsiaTheme="minorEastAsia"/>
          <w:color w:val="000000" w:themeColor="text1"/>
        </w:rPr>
        <w:t>月份周期股产品涨价带来的行业比较优势更佳，因此涨幅更好；第二方面就是限电带来的对非高耗能行业的影响需要进一步评估。</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展望后市，本基金将继续重点关注</w:t>
      </w:r>
      <w:r>
        <w:rPr>
          <w:rFonts w:eastAsiaTheme="minorEastAsia"/>
          <w:color w:val="000000" w:themeColor="text1"/>
        </w:rPr>
        <w:t>“</w:t>
      </w:r>
      <w:r>
        <w:rPr>
          <w:rFonts w:eastAsiaTheme="minorEastAsia"/>
          <w:color w:val="000000" w:themeColor="text1"/>
        </w:rPr>
        <w:t>双碳</w:t>
      </w:r>
      <w:r>
        <w:rPr>
          <w:rFonts w:eastAsiaTheme="minorEastAsia"/>
          <w:color w:val="000000" w:themeColor="text1"/>
        </w:rPr>
        <w:t>”</w:t>
      </w:r>
      <w:r>
        <w:rPr>
          <w:rFonts w:eastAsiaTheme="minorEastAsia"/>
          <w:color w:val="000000" w:themeColor="text1"/>
        </w:rPr>
        <w:t>目标（碳达峰</w:t>
      </w:r>
      <w:r>
        <w:rPr>
          <w:rFonts w:eastAsiaTheme="minorEastAsia"/>
          <w:color w:val="000000" w:themeColor="text1"/>
        </w:rPr>
        <w:t>和碳中和）带来的新能源（如电动车、光伏）以及传统高耗能行业节能减排带来的投资机会，关注经济转型过程中的制造业升级、关键供应链与产业链自主可控机会（半导体等）。</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限电问题预计在四季度不会明显改善，但工业生产将更加有序。符合社会发展方向及能源产业变革进程的</w:t>
      </w:r>
      <w:r>
        <w:rPr>
          <w:rFonts w:eastAsiaTheme="minorEastAsia"/>
          <w:color w:val="000000" w:themeColor="text1"/>
        </w:rPr>
        <w:t>“</w:t>
      </w:r>
      <w:r>
        <w:rPr>
          <w:rFonts w:eastAsiaTheme="minorEastAsia"/>
          <w:color w:val="000000" w:themeColor="text1"/>
        </w:rPr>
        <w:t>光伏</w:t>
      </w:r>
      <w:r>
        <w:rPr>
          <w:rFonts w:eastAsiaTheme="minorEastAsia"/>
          <w:color w:val="000000" w:themeColor="text1"/>
        </w:rPr>
        <w:t>+</w:t>
      </w:r>
      <w:r>
        <w:rPr>
          <w:rFonts w:eastAsiaTheme="minorEastAsia"/>
          <w:color w:val="000000" w:themeColor="text1"/>
        </w:rPr>
        <w:t>电动车</w:t>
      </w:r>
      <w:r>
        <w:rPr>
          <w:rFonts w:eastAsiaTheme="minorEastAsia"/>
          <w:color w:val="000000" w:themeColor="text1"/>
        </w:rPr>
        <w:t>”</w:t>
      </w:r>
      <w:r>
        <w:rPr>
          <w:rFonts w:eastAsiaTheme="minorEastAsia"/>
          <w:color w:val="000000" w:themeColor="text1"/>
        </w:rPr>
        <w:t>机会依然非常明确，四季度新能源车销量预计在缺芯背景下仍会超预期，展望明年后年，</w:t>
      </w:r>
      <w:r>
        <w:rPr>
          <w:rFonts w:eastAsiaTheme="minorEastAsia"/>
          <w:color w:val="000000" w:themeColor="text1"/>
        </w:rPr>
        <w:t>“</w:t>
      </w:r>
      <w:r>
        <w:rPr>
          <w:rFonts w:eastAsiaTheme="minorEastAsia"/>
          <w:color w:val="000000" w:themeColor="text1"/>
        </w:rPr>
        <w:t>光伏</w:t>
      </w:r>
      <w:r>
        <w:rPr>
          <w:rFonts w:eastAsiaTheme="minorEastAsia"/>
          <w:color w:val="000000" w:themeColor="text1"/>
        </w:rPr>
        <w:t>+</w:t>
      </w:r>
      <w:r>
        <w:rPr>
          <w:rFonts w:eastAsiaTheme="minorEastAsia"/>
          <w:color w:val="000000" w:themeColor="text1"/>
        </w:rPr>
        <w:t>电动车</w:t>
      </w:r>
      <w:r>
        <w:rPr>
          <w:rFonts w:eastAsiaTheme="minorEastAsia"/>
          <w:color w:val="000000" w:themeColor="text1"/>
        </w:rPr>
        <w:t>”</w:t>
      </w:r>
      <w:r>
        <w:rPr>
          <w:rFonts w:eastAsiaTheme="minorEastAsia"/>
          <w:color w:val="000000" w:themeColor="text1"/>
        </w:rPr>
        <w:t>等新能源行业渗透率提升的逻辑依然清晰且可预见、可跟踪。阶段性静态的高估值也有望通过业绩的持续高增长消化。</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另外，相比上半年末，三季度末本基金规模有了超</w:t>
      </w:r>
      <w:r w:rsidRPr="00FF6B9A">
        <w:rPr>
          <w:rFonts w:eastAsiaTheme="minorEastAsia"/>
          <w:color w:val="000000" w:themeColor="text1"/>
        </w:rPr>
        <w:t>10</w:t>
      </w:r>
      <w:r w:rsidRPr="00FF6B9A">
        <w:rPr>
          <w:rFonts w:eastAsiaTheme="minorEastAsia"/>
          <w:color w:val="000000" w:themeColor="text1"/>
        </w:rPr>
        <w:t>倍的增长，感谢持有人信任的同时，我们将始终坚持从中长期视角来配置主要投资标的，同时紧密跟踪和关注宏观政策（尤其是流动性变化）、国际环境的变化，适度动态调整组合，力争为基金持有人创造持续稳定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本报告期上投摩根核心精选股票份额净值增长率为</w:t>
      </w:r>
      <w:r w:rsidRPr="00FF6B9A">
        <w:rPr>
          <w:rFonts w:eastAsiaTheme="minorEastAsia"/>
          <w:color w:val="000000" w:themeColor="text1"/>
        </w:rPr>
        <w:t>:10.09%</w:t>
      </w:r>
      <w:r w:rsidRPr="00FF6B9A">
        <w:rPr>
          <w:rFonts w:eastAsiaTheme="minorEastAsia"/>
          <w:color w:val="000000" w:themeColor="text1"/>
        </w:rPr>
        <w:t>，同期业绩比较基准收益率为</w:t>
      </w:r>
      <w:r w:rsidRPr="00FF6B9A">
        <w:rPr>
          <w:rFonts w:eastAsiaTheme="minorEastAsia"/>
          <w:color w:val="000000" w:themeColor="text1"/>
        </w:rPr>
        <w:t>:-3.51%</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858,418,356.90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80.94</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858,418,356.90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80.94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859,968.40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859,968.40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189,673,679.54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17.89</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11,548,292.46</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1.09</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1,060,500,297.30</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w:t>
            </w:r>
            <w:r w:rsidRPr="00FF6B9A">
              <w:rPr>
                <w:rFonts w:eastAsiaTheme="minorEastAsia"/>
                <w:color w:val="000000" w:themeColor="text1"/>
                <w:kern w:val="0"/>
              </w:rPr>
              <w:lastRenderedPageBreak/>
              <w:t>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720,497,474.43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76.08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89,201,071.59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9.42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27,712,146.00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3,345.12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20,988,891.47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11,484.00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3,944.29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858,418,356.90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90.64</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821E39">
        <w:tc>
          <w:tcPr>
            <w:tcW w:w="817" w:type="dxa"/>
            <w:vAlign w:val="center"/>
          </w:tcPr>
          <w:p w:rsidR="00821E39" w:rsidRDefault="00275D3E">
            <w:pPr>
              <w:jc w:val="center"/>
            </w:pPr>
            <w:r>
              <w:rPr>
                <w:rFonts w:eastAsiaTheme="minorEastAsia"/>
                <w:kern w:val="0"/>
                <w:sz w:val="24"/>
                <w:szCs w:val="24"/>
              </w:rPr>
              <w:t>1</w:t>
            </w:r>
          </w:p>
        </w:tc>
        <w:tc>
          <w:tcPr>
            <w:tcW w:w="1276" w:type="dxa"/>
            <w:vAlign w:val="center"/>
          </w:tcPr>
          <w:p w:rsidR="00821E39" w:rsidRDefault="00275D3E">
            <w:pPr>
              <w:jc w:val="center"/>
            </w:pPr>
            <w:r>
              <w:rPr>
                <w:rFonts w:eastAsiaTheme="minorEastAsia"/>
                <w:kern w:val="0"/>
                <w:sz w:val="24"/>
                <w:szCs w:val="24"/>
              </w:rPr>
              <w:t>300390</w:t>
            </w:r>
          </w:p>
        </w:tc>
        <w:tc>
          <w:tcPr>
            <w:tcW w:w="1701" w:type="dxa"/>
            <w:vAlign w:val="center"/>
          </w:tcPr>
          <w:p w:rsidR="00821E39" w:rsidRDefault="00275D3E">
            <w:pPr>
              <w:jc w:val="center"/>
            </w:pPr>
            <w:r>
              <w:rPr>
                <w:rFonts w:eastAsiaTheme="minorEastAsia"/>
                <w:kern w:val="0"/>
                <w:sz w:val="24"/>
                <w:szCs w:val="24"/>
              </w:rPr>
              <w:t>天华超净</w:t>
            </w:r>
          </w:p>
        </w:tc>
        <w:tc>
          <w:tcPr>
            <w:tcW w:w="1276" w:type="dxa"/>
            <w:vAlign w:val="center"/>
          </w:tcPr>
          <w:p w:rsidR="00821E39" w:rsidRDefault="00275D3E">
            <w:pPr>
              <w:jc w:val="right"/>
            </w:pPr>
            <w:r>
              <w:rPr>
                <w:rFonts w:eastAsiaTheme="minorEastAsia"/>
                <w:kern w:val="0"/>
                <w:sz w:val="24"/>
                <w:szCs w:val="24"/>
              </w:rPr>
              <w:t>489,878.00</w:t>
            </w:r>
          </w:p>
        </w:tc>
        <w:tc>
          <w:tcPr>
            <w:tcW w:w="1842" w:type="dxa"/>
            <w:vAlign w:val="center"/>
          </w:tcPr>
          <w:p w:rsidR="00821E39" w:rsidRDefault="00275D3E">
            <w:pPr>
              <w:jc w:val="right"/>
            </w:pPr>
            <w:r>
              <w:rPr>
                <w:rFonts w:eastAsiaTheme="minorEastAsia"/>
                <w:kern w:val="0"/>
                <w:sz w:val="24"/>
                <w:szCs w:val="24"/>
              </w:rPr>
              <w:t>52,588,403.30</w:t>
            </w:r>
          </w:p>
        </w:tc>
        <w:tc>
          <w:tcPr>
            <w:tcW w:w="1616" w:type="dxa"/>
            <w:vAlign w:val="center"/>
          </w:tcPr>
          <w:p w:rsidR="00821E39" w:rsidRDefault="00275D3E">
            <w:pPr>
              <w:jc w:val="right"/>
            </w:pPr>
            <w:r>
              <w:rPr>
                <w:rFonts w:eastAsiaTheme="minorEastAsia"/>
                <w:kern w:val="0"/>
                <w:sz w:val="24"/>
                <w:szCs w:val="24"/>
              </w:rPr>
              <w:t>5.55</w:t>
            </w:r>
          </w:p>
        </w:tc>
      </w:tr>
      <w:tr w:rsidR="00821E39">
        <w:tc>
          <w:tcPr>
            <w:tcW w:w="817" w:type="dxa"/>
            <w:vAlign w:val="center"/>
          </w:tcPr>
          <w:p w:rsidR="00821E39" w:rsidRDefault="00275D3E">
            <w:pPr>
              <w:jc w:val="center"/>
            </w:pPr>
            <w:r>
              <w:rPr>
                <w:rFonts w:eastAsiaTheme="minorEastAsia"/>
                <w:kern w:val="0"/>
                <w:sz w:val="24"/>
                <w:szCs w:val="24"/>
              </w:rPr>
              <w:t>2</w:t>
            </w:r>
          </w:p>
        </w:tc>
        <w:tc>
          <w:tcPr>
            <w:tcW w:w="1276" w:type="dxa"/>
            <w:vAlign w:val="center"/>
          </w:tcPr>
          <w:p w:rsidR="00821E39" w:rsidRDefault="00275D3E">
            <w:pPr>
              <w:jc w:val="center"/>
            </w:pPr>
            <w:r>
              <w:rPr>
                <w:rFonts w:eastAsiaTheme="minorEastAsia"/>
                <w:kern w:val="0"/>
                <w:sz w:val="24"/>
                <w:szCs w:val="24"/>
              </w:rPr>
              <w:t>600111</w:t>
            </w:r>
          </w:p>
        </w:tc>
        <w:tc>
          <w:tcPr>
            <w:tcW w:w="1701" w:type="dxa"/>
            <w:vAlign w:val="center"/>
          </w:tcPr>
          <w:p w:rsidR="00821E39" w:rsidRDefault="00275D3E">
            <w:pPr>
              <w:jc w:val="center"/>
            </w:pPr>
            <w:r>
              <w:rPr>
                <w:rFonts w:eastAsiaTheme="minorEastAsia"/>
                <w:kern w:val="0"/>
                <w:sz w:val="24"/>
                <w:szCs w:val="24"/>
              </w:rPr>
              <w:t>北方稀土</w:t>
            </w:r>
          </w:p>
        </w:tc>
        <w:tc>
          <w:tcPr>
            <w:tcW w:w="1276" w:type="dxa"/>
            <w:vAlign w:val="center"/>
          </w:tcPr>
          <w:p w:rsidR="00821E39" w:rsidRDefault="00275D3E">
            <w:pPr>
              <w:jc w:val="right"/>
            </w:pPr>
            <w:r>
              <w:rPr>
                <w:rFonts w:eastAsiaTheme="minorEastAsia"/>
                <w:kern w:val="0"/>
                <w:sz w:val="24"/>
                <w:szCs w:val="24"/>
              </w:rPr>
              <w:t>1,120,100.00</w:t>
            </w:r>
          </w:p>
        </w:tc>
        <w:tc>
          <w:tcPr>
            <w:tcW w:w="1842" w:type="dxa"/>
            <w:vAlign w:val="center"/>
          </w:tcPr>
          <w:p w:rsidR="00821E39" w:rsidRDefault="00275D3E">
            <w:pPr>
              <w:jc w:val="right"/>
            </w:pPr>
            <w:r>
              <w:rPr>
                <w:rFonts w:eastAsiaTheme="minorEastAsia"/>
                <w:kern w:val="0"/>
                <w:sz w:val="24"/>
                <w:szCs w:val="24"/>
              </w:rPr>
              <w:t>49,586,827.00</w:t>
            </w:r>
          </w:p>
        </w:tc>
        <w:tc>
          <w:tcPr>
            <w:tcW w:w="1616" w:type="dxa"/>
            <w:vAlign w:val="center"/>
          </w:tcPr>
          <w:p w:rsidR="00821E39" w:rsidRDefault="00275D3E">
            <w:pPr>
              <w:jc w:val="right"/>
            </w:pPr>
            <w:r>
              <w:rPr>
                <w:rFonts w:eastAsiaTheme="minorEastAsia"/>
                <w:kern w:val="0"/>
                <w:sz w:val="24"/>
                <w:szCs w:val="24"/>
              </w:rPr>
              <w:t>5.24</w:t>
            </w:r>
          </w:p>
        </w:tc>
      </w:tr>
      <w:tr w:rsidR="00821E39">
        <w:tc>
          <w:tcPr>
            <w:tcW w:w="817" w:type="dxa"/>
            <w:vAlign w:val="center"/>
          </w:tcPr>
          <w:p w:rsidR="00821E39" w:rsidRDefault="00275D3E">
            <w:pPr>
              <w:jc w:val="center"/>
            </w:pPr>
            <w:r>
              <w:rPr>
                <w:rFonts w:eastAsiaTheme="minorEastAsia"/>
                <w:kern w:val="0"/>
                <w:sz w:val="24"/>
                <w:szCs w:val="24"/>
              </w:rPr>
              <w:t>3</w:t>
            </w:r>
          </w:p>
        </w:tc>
        <w:tc>
          <w:tcPr>
            <w:tcW w:w="1276" w:type="dxa"/>
            <w:vAlign w:val="center"/>
          </w:tcPr>
          <w:p w:rsidR="00821E39" w:rsidRDefault="00275D3E">
            <w:pPr>
              <w:jc w:val="center"/>
            </w:pPr>
            <w:r>
              <w:rPr>
                <w:rFonts w:eastAsiaTheme="minorEastAsia"/>
                <w:kern w:val="0"/>
                <w:sz w:val="24"/>
                <w:szCs w:val="24"/>
              </w:rPr>
              <w:t>600110</w:t>
            </w:r>
          </w:p>
        </w:tc>
        <w:tc>
          <w:tcPr>
            <w:tcW w:w="1701" w:type="dxa"/>
            <w:vAlign w:val="center"/>
          </w:tcPr>
          <w:p w:rsidR="00821E39" w:rsidRDefault="00275D3E">
            <w:pPr>
              <w:jc w:val="center"/>
            </w:pPr>
            <w:r>
              <w:rPr>
                <w:rFonts w:eastAsiaTheme="minorEastAsia"/>
                <w:kern w:val="0"/>
                <w:sz w:val="24"/>
                <w:szCs w:val="24"/>
              </w:rPr>
              <w:t>诺德股份</w:t>
            </w:r>
          </w:p>
        </w:tc>
        <w:tc>
          <w:tcPr>
            <w:tcW w:w="1276" w:type="dxa"/>
            <w:vAlign w:val="center"/>
          </w:tcPr>
          <w:p w:rsidR="00821E39" w:rsidRDefault="00275D3E">
            <w:pPr>
              <w:jc w:val="right"/>
            </w:pPr>
            <w:r>
              <w:rPr>
                <w:rFonts w:eastAsiaTheme="minorEastAsia"/>
                <w:kern w:val="0"/>
                <w:sz w:val="24"/>
                <w:szCs w:val="24"/>
              </w:rPr>
              <w:t>1,653,800.00</w:t>
            </w:r>
          </w:p>
        </w:tc>
        <w:tc>
          <w:tcPr>
            <w:tcW w:w="1842" w:type="dxa"/>
            <w:vAlign w:val="center"/>
          </w:tcPr>
          <w:p w:rsidR="00821E39" w:rsidRDefault="00275D3E">
            <w:pPr>
              <w:jc w:val="right"/>
            </w:pPr>
            <w:r>
              <w:rPr>
                <w:rFonts w:eastAsiaTheme="minorEastAsia"/>
                <w:kern w:val="0"/>
                <w:sz w:val="24"/>
                <w:szCs w:val="24"/>
              </w:rPr>
              <w:t>35,407,858.00</w:t>
            </w:r>
          </w:p>
        </w:tc>
        <w:tc>
          <w:tcPr>
            <w:tcW w:w="1616" w:type="dxa"/>
            <w:vAlign w:val="center"/>
          </w:tcPr>
          <w:p w:rsidR="00821E39" w:rsidRDefault="00275D3E">
            <w:pPr>
              <w:jc w:val="right"/>
            </w:pPr>
            <w:r>
              <w:rPr>
                <w:rFonts w:eastAsiaTheme="minorEastAsia"/>
                <w:kern w:val="0"/>
                <w:sz w:val="24"/>
                <w:szCs w:val="24"/>
              </w:rPr>
              <w:t>3.74</w:t>
            </w:r>
          </w:p>
        </w:tc>
      </w:tr>
      <w:tr w:rsidR="00821E39">
        <w:tc>
          <w:tcPr>
            <w:tcW w:w="817" w:type="dxa"/>
            <w:vAlign w:val="center"/>
          </w:tcPr>
          <w:p w:rsidR="00821E39" w:rsidRDefault="00275D3E">
            <w:pPr>
              <w:jc w:val="center"/>
            </w:pPr>
            <w:r>
              <w:rPr>
                <w:rFonts w:eastAsiaTheme="minorEastAsia"/>
                <w:kern w:val="0"/>
                <w:sz w:val="24"/>
                <w:szCs w:val="24"/>
              </w:rPr>
              <w:t>4</w:t>
            </w:r>
          </w:p>
        </w:tc>
        <w:tc>
          <w:tcPr>
            <w:tcW w:w="1276" w:type="dxa"/>
            <w:vAlign w:val="center"/>
          </w:tcPr>
          <w:p w:rsidR="00821E39" w:rsidRDefault="00275D3E">
            <w:pPr>
              <w:jc w:val="center"/>
            </w:pPr>
            <w:r>
              <w:rPr>
                <w:rFonts w:eastAsiaTheme="minorEastAsia"/>
                <w:kern w:val="0"/>
                <w:sz w:val="24"/>
                <w:szCs w:val="24"/>
              </w:rPr>
              <w:t>603799</w:t>
            </w:r>
          </w:p>
        </w:tc>
        <w:tc>
          <w:tcPr>
            <w:tcW w:w="1701" w:type="dxa"/>
            <w:vAlign w:val="center"/>
          </w:tcPr>
          <w:p w:rsidR="00821E39" w:rsidRDefault="00275D3E">
            <w:pPr>
              <w:jc w:val="center"/>
            </w:pPr>
            <w:r>
              <w:rPr>
                <w:rFonts w:eastAsiaTheme="minorEastAsia"/>
                <w:kern w:val="0"/>
                <w:sz w:val="24"/>
                <w:szCs w:val="24"/>
              </w:rPr>
              <w:t>华友钴业</w:t>
            </w:r>
          </w:p>
        </w:tc>
        <w:tc>
          <w:tcPr>
            <w:tcW w:w="1276" w:type="dxa"/>
            <w:vAlign w:val="center"/>
          </w:tcPr>
          <w:p w:rsidR="00821E39" w:rsidRDefault="00275D3E">
            <w:pPr>
              <w:jc w:val="right"/>
            </w:pPr>
            <w:r>
              <w:rPr>
                <w:rFonts w:eastAsiaTheme="minorEastAsia"/>
                <w:kern w:val="0"/>
                <w:sz w:val="24"/>
                <w:szCs w:val="24"/>
              </w:rPr>
              <w:t>341,116.0</w:t>
            </w:r>
            <w:r>
              <w:rPr>
                <w:rFonts w:eastAsiaTheme="minorEastAsia"/>
                <w:kern w:val="0"/>
                <w:sz w:val="24"/>
                <w:szCs w:val="24"/>
              </w:rPr>
              <w:lastRenderedPageBreak/>
              <w:t>0</w:t>
            </w:r>
          </w:p>
        </w:tc>
        <w:tc>
          <w:tcPr>
            <w:tcW w:w="1842" w:type="dxa"/>
            <w:vAlign w:val="center"/>
          </w:tcPr>
          <w:p w:rsidR="00821E39" w:rsidRDefault="00275D3E">
            <w:pPr>
              <w:jc w:val="right"/>
            </w:pPr>
            <w:r>
              <w:rPr>
                <w:rFonts w:eastAsiaTheme="minorEastAsia"/>
                <w:kern w:val="0"/>
                <w:sz w:val="24"/>
                <w:szCs w:val="24"/>
              </w:rPr>
              <w:lastRenderedPageBreak/>
              <w:t>35,271,394.40</w:t>
            </w:r>
          </w:p>
        </w:tc>
        <w:tc>
          <w:tcPr>
            <w:tcW w:w="1616" w:type="dxa"/>
            <w:vAlign w:val="center"/>
          </w:tcPr>
          <w:p w:rsidR="00821E39" w:rsidRDefault="00275D3E">
            <w:pPr>
              <w:jc w:val="right"/>
            </w:pPr>
            <w:r>
              <w:rPr>
                <w:rFonts w:eastAsiaTheme="minorEastAsia"/>
                <w:kern w:val="0"/>
                <w:sz w:val="24"/>
                <w:szCs w:val="24"/>
              </w:rPr>
              <w:t>3.72</w:t>
            </w:r>
          </w:p>
        </w:tc>
      </w:tr>
      <w:tr w:rsidR="00821E39">
        <w:tc>
          <w:tcPr>
            <w:tcW w:w="817" w:type="dxa"/>
            <w:vAlign w:val="center"/>
          </w:tcPr>
          <w:p w:rsidR="00821E39" w:rsidRDefault="00275D3E">
            <w:pPr>
              <w:jc w:val="center"/>
            </w:pPr>
            <w:r>
              <w:rPr>
                <w:rFonts w:eastAsiaTheme="minorEastAsia"/>
                <w:kern w:val="0"/>
                <w:sz w:val="24"/>
                <w:szCs w:val="24"/>
              </w:rPr>
              <w:t>5</w:t>
            </w:r>
          </w:p>
        </w:tc>
        <w:tc>
          <w:tcPr>
            <w:tcW w:w="1276" w:type="dxa"/>
            <w:vAlign w:val="center"/>
          </w:tcPr>
          <w:p w:rsidR="00821E39" w:rsidRDefault="00275D3E">
            <w:pPr>
              <w:jc w:val="center"/>
            </w:pPr>
            <w:r>
              <w:rPr>
                <w:rFonts w:eastAsiaTheme="minorEastAsia"/>
                <w:kern w:val="0"/>
                <w:sz w:val="24"/>
                <w:szCs w:val="24"/>
              </w:rPr>
              <w:t>600438</w:t>
            </w:r>
          </w:p>
        </w:tc>
        <w:tc>
          <w:tcPr>
            <w:tcW w:w="1701" w:type="dxa"/>
            <w:vAlign w:val="center"/>
          </w:tcPr>
          <w:p w:rsidR="00821E39" w:rsidRDefault="00275D3E">
            <w:pPr>
              <w:jc w:val="center"/>
            </w:pPr>
            <w:r>
              <w:rPr>
                <w:rFonts w:eastAsiaTheme="minorEastAsia"/>
                <w:kern w:val="0"/>
                <w:sz w:val="24"/>
                <w:szCs w:val="24"/>
              </w:rPr>
              <w:t>通威股份</w:t>
            </w:r>
          </w:p>
        </w:tc>
        <w:tc>
          <w:tcPr>
            <w:tcW w:w="1276" w:type="dxa"/>
            <w:vAlign w:val="center"/>
          </w:tcPr>
          <w:p w:rsidR="00821E39" w:rsidRDefault="00275D3E">
            <w:pPr>
              <w:jc w:val="right"/>
            </w:pPr>
            <w:r>
              <w:rPr>
                <w:rFonts w:eastAsiaTheme="minorEastAsia"/>
                <w:kern w:val="0"/>
                <w:sz w:val="24"/>
                <w:szCs w:val="24"/>
              </w:rPr>
              <w:t>630,488.00</w:t>
            </w:r>
          </w:p>
        </w:tc>
        <w:tc>
          <w:tcPr>
            <w:tcW w:w="1842" w:type="dxa"/>
            <w:vAlign w:val="center"/>
          </w:tcPr>
          <w:p w:rsidR="00821E39" w:rsidRDefault="00275D3E">
            <w:pPr>
              <w:jc w:val="right"/>
            </w:pPr>
            <w:r>
              <w:rPr>
                <w:rFonts w:eastAsiaTheme="minorEastAsia"/>
                <w:kern w:val="0"/>
                <w:sz w:val="24"/>
                <w:szCs w:val="24"/>
              </w:rPr>
              <w:t>32,117,058.72</w:t>
            </w:r>
          </w:p>
        </w:tc>
        <w:tc>
          <w:tcPr>
            <w:tcW w:w="1616" w:type="dxa"/>
            <w:vAlign w:val="center"/>
          </w:tcPr>
          <w:p w:rsidR="00821E39" w:rsidRDefault="00275D3E">
            <w:pPr>
              <w:jc w:val="right"/>
            </w:pPr>
            <w:r>
              <w:rPr>
                <w:rFonts w:eastAsiaTheme="minorEastAsia"/>
                <w:kern w:val="0"/>
                <w:sz w:val="24"/>
                <w:szCs w:val="24"/>
              </w:rPr>
              <w:t>3.39</w:t>
            </w:r>
          </w:p>
        </w:tc>
      </w:tr>
      <w:tr w:rsidR="00821E39">
        <w:tc>
          <w:tcPr>
            <w:tcW w:w="817" w:type="dxa"/>
            <w:vAlign w:val="center"/>
          </w:tcPr>
          <w:p w:rsidR="00821E39" w:rsidRDefault="00275D3E">
            <w:pPr>
              <w:jc w:val="center"/>
            </w:pPr>
            <w:r>
              <w:rPr>
                <w:rFonts w:eastAsiaTheme="minorEastAsia"/>
                <w:kern w:val="0"/>
                <w:sz w:val="24"/>
                <w:szCs w:val="24"/>
              </w:rPr>
              <w:t>6</w:t>
            </w:r>
          </w:p>
        </w:tc>
        <w:tc>
          <w:tcPr>
            <w:tcW w:w="1276" w:type="dxa"/>
            <w:vAlign w:val="center"/>
          </w:tcPr>
          <w:p w:rsidR="00821E39" w:rsidRDefault="00275D3E">
            <w:pPr>
              <w:jc w:val="center"/>
            </w:pPr>
            <w:r>
              <w:rPr>
                <w:rFonts w:eastAsiaTheme="minorEastAsia"/>
                <w:kern w:val="0"/>
                <w:sz w:val="24"/>
                <w:szCs w:val="24"/>
              </w:rPr>
              <w:t>601012</w:t>
            </w:r>
          </w:p>
        </w:tc>
        <w:tc>
          <w:tcPr>
            <w:tcW w:w="1701" w:type="dxa"/>
            <w:vAlign w:val="center"/>
          </w:tcPr>
          <w:p w:rsidR="00821E39" w:rsidRDefault="00275D3E">
            <w:pPr>
              <w:jc w:val="center"/>
            </w:pPr>
            <w:r>
              <w:rPr>
                <w:rFonts w:eastAsiaTheme="minorEastAsia"/>
                <w:kern w:val="0"/>
                <w:sz w:val="24"/>
                <w:szCs w:val="24"/>
              </w:rPr>
              <w:t>隆基股份</w:t>
            </w:r>
          </w:p>
        </w:tc>
        <w:tc>
          <w:tcPr>
            <w:tcW w:w="1276" w:type="dxa"/>
            <w:vAlign w:val="center"/>
          </w:tcPr>
          <w:p w:rsidR="00821E39" w:rsidRDefault="00275D3E">
            <w:pPr>
              <w:jc w:val="right"/>
            </w:pPr>
            <w:r>
              <w:rPr>
                <w:rFonts w:eastAsiaTheme="minorEastAsia"/>
                <w:kern w:val="0"/>
                <w:sz w:val="24"/>
                <w:szCs w:val="24"/>
              </w:rPr>
              <w:t>384,105.00</w:t>
            </w:r>
          </w:p>
        </w:tc>
        <w:tc>
          <w:tcPr>
            <w:tcW w:w="1842" w:type="dxa"/>
            <w:vAlign w:val="center"/>
          </w:tcPr>
          <w:p w:rsidR="00821E39" w:rsidRDefault="00275D3E">
            <w:pPr>
              <w:jc w:val="right"/>
            </w:pPr>
            <w:r>
              <w:rPr>
                <w:rFonts w:eastAsiaTheme="minorEastAsia"/>
                <w:kern w:val="0"/>
                <w:sz w:val="24"/>
                <w:szCs w:val="24"/>
              </w:rPr>
              <w:t>31,680,980.40</w:t>
            </w:r>
          </w:p>
        </w:tc>
        <w:tc>
          <w:tcPr>
            <w:tcW w:w="1616" w:type="dxa"/>
            <w:vAlign w:val="center"/>
          </w:tcPr>
          <w:p w:rsidR="00821E39" w:rsidRDefault="00275D3E">
            <w:pPr>
              <w:jc w:val="right"/>
            </w:pPr>
            <w:r>
              <w:rPr>
                <w:rFonts w:eastAsiaTheme="minorEastAsia"/>
                <w:kern w:val="0"/>
                <w:sz w:val="24"/>
                <w:szCs w:val="24"/>
              </w:rPr>
              <w:t>3.35</w:t>
            </w:r>
          </w:p>
        </w:tc>
      </w:tr>
      <w:tr w:rsidR="00821E39">
        <w:tc>
          <w:tcPr>
            <w:tcW w:w="817" w:type="dxa"/>
            <w:vAlign w:val="center"/>
          </w:tcPr>
          <w:p w:rsidR="00821E39" w:rsidRDefault="00275D3E">
            <w:pPr>
              <w:jc w:val="center"/>
            </w:pPr>
            <w:r>
              <w:rPr>
                <w:rFonts w:eastAsiaTheme="minorEastAsia"/>
                <w:kern w:val="0"/>
                <w:sz w:val="24"/>
                <w:szCs w:val="24"/>
              </w:rPr>
              <w:t>7</w:t>
            </w:r>
          </w:p>
        </w:tc>
        <w:tc>
          <w:tcPr>
            <w:tcW w:w="1276" w:type="dxa"/>
            <w:vAlign w:val="center"/>
          </w:tcPr>
          <w:p w:rsidR="00821E39" w:rsidRDefault="00275D3E">
            <w:pPr>
              <w:jc w:val="center"/>
            </w:pPr>
            <w:r>
              <w:rPr>
                <w:rFonts w:eastAsiaTheme="minorEastAsia"/>
                <w:kern w:val="0"/>
                <w:sz w:val="24"/>
                <w:szCs w:val="24"/>
              </w:rPr>
              <w:t>000301</w:t>
            </w:r>
          </w:p>
        </w:tc>
        <w:tc>
          <w:tcPr>
            <w:tcW w:w="1701" w:type="dxa"/>
            <w:vAlign w:val="center"/>
          </w:tcPr>
          <w:p w:rsidR="00821E39" w:rsidRDefault="00275D3E">
            <w:pPr>
              <w:jc w:val="center"/>
            </w:pPr>
            <w:r>
              <w:rPr>
                <w:rFonts w:eastAsiaTheme="minorEastAsia"/>
                <w:kern w:val="0"/>
                <w:sz w:val="24"/>
                <w:szCs w:val="24"/>
              </w:rPr>
              <w:t>东方盛虹</w:t>
            </w:r>
          </w:p>
        </w:tc>
        <w:tc>
          <w:tcPr>
            <w:tcW w:w="1276" w:type="dxa"/>
            <w:vAlign w:val="center"/>
          </w:tcPr>
          <w:p w:rsidR="00821E39" w:rsidRDefault="00275D3E">
            <w:pPr>
              <w:jc w:val="right"/>
            </w:pPr>
            <w:r>
              <w:rPr>
                <w:rFonts w:eastAsiaTheme="minorEastAsia"/>
                <w:kern w:val="0"/>
                <w:sz w:val="24"/>
                <w:szCs w:val="24"/>
              </w:rPr>
              <w:t>988,800.00</w:t>
            </w:r>
          </w:p>
        </w:tc>
        <w:tc>
          <w:tcPr>
            <w:tcW w:w="1842" w:type="dxa"/>
            <w:vAlign w:val="center"/>
          </w:tcPr>
          <w:p w:rsidR="00821E39" w:rsidRDefault="00275D3E">
            <w:pPr>
              <w:jc w:val="right"/>
            </w:pPr>
            <w:r>
              <w:rPr>
                <w:rFonts w:eastAsiaTheme="minorEastAsia"/>
                <w:kern w:val="0"/>
                <w:sz w:val="24"/>
                <w:szCs w:val="24"/>
              </w:rPr>
              <w:t>27,805,056.00</w:t>
            </w:r>
          </w:p>
        </w:tc>
        <w:tc>
          <w:tcPr>
            <w:tcW w:w="1616" w:type="dxa"/>
            <w:vAlign w:val="center"/>
          </w:tcPr>
          <w:p w:rsidR="00821E39" w:rsidRDefault="00275D3E">
            <w:pPr>
              <w:jc w:val="right"/>
            </w:pPr>
            <w:r>
              <w:rPr>
                <w:rFonts w:eastAsiaTheme="minorEastAsia"/>
                <w:kern w:val="0"/>
                <w:sz w:val="24"/>
                <w:szCs w:val="24"/>
              </w:rPr>
              <w:t>2.94</w:t>
            </w:r>
          </w:p>
        </w:tc>
      </w:tr>
      <w:tr w:rsidR="00821E39">
        <w:tc>
          <w:tcPr>
            <w:tcW w:w="817" w:type="dxa"/>
            <w:vAlign w:val="center"/>
          </w:tcPr>
          <w:p w:rsidR="00821E39" w:rsidRDefault="00275D3E">
            <w:pPr>
              <w:jc w:val="center"/>
            </w:pPr>
            <w:r>
              <w:rPr>
                <w:rFonts w:eastAsiaTheme="minorEastAsia"/>
                <w:kern w:val="0"/>
                <w:sz w:val="24"/>
                <w:szCs w:val="24"/>
              </w:rPr>
              <w:t>8</w:t>
            </w:r>
          </w:p>
        </w:tc>
        <w:tc>
          <w:tcPr>
            <w:tcW w:w="1276" w:type="dxa"/>
            <w:vAlign w:val="center"/>
          </w:tcPr>
          <w:p w:rsidR="00821E39" w:rsidRDefault="00275D3E">
            <w:pPr>
              <w:jc w:val="center"/>
            </w:pPr>
            <w:r>
              <w:rPr>
                <w:rFonts w:eastAsiaTheme="minorEastAsia"/>
                <w:kern w:val="0"/>
                <w:sz w:val="24"/>
                <w:szCs w:val="24"/>
              </w:rPr>
              <w:t>601669</w:t>
            </w:r>
          </w:p>
        </w:tc>
        <w:tc>
          <w:tcPr>
            <w:tcW w:w="1701" w:type="dxa"/>
            <w:vAlign w:val="center"/>
          </w:tcPr>
          <w:p w:rsidR="00821E39" w:rsidRDefault="00275D3E">
            <w:pPr>
              <w:jc w:val="center"/>
            </w:pPr>
            <w:r>
              <w:rPr>
                <w:rFonts w:eastAsiaTheme="minorEastAsia"/>
                <w:kern w:val="0"/>
                <w:sz w:val="24"/>
                <w:szCs w:val="24"/>
              </w:rPr>
              <w:t>中国电建</w:t>
            </w:r>
          </w:p>
        </w:tc>
        <w:tc>
          <w:tcPr>
            <w:tcW w:w="1276" w:type="dxa"/>
            <w:vAlign w:val="center"/>
          </w:tcPr>
          <w:p w:rsidR="00821E39" w:rsidRDefault="00275D3E">
            <w:pPr>
              <w:jc w:val="right"/>
            </w:pPr>
            <w:r>
              <w:rPr>
                <w:rFonts w:eastAsiaTheme="minorEastAsia"/>
                <w:kern w:val="0"/>
                <w:sz w:val="24"/>
                <w:szCs w:val="24"/>
              </w:rPr>
              <w:t>3,271,800.00</w:t>
            </w:r>
          </w:p>
        </w:tc>
        <w:tc>
          <w:tcPr>
            <w:tcW w:w="1842" w:type="dxa"/>
            <w:vAlign w:val="center"/>
          </w:tcPr>
          <w:p w:rsidR="00821E39" w:rsidRDefault="00275D3E">
            <w:pPr>
              <w:jc w:val="right"/>
            </w:pPr>
            <w:r>
              <w:rPr>
                <w:rFonts w:eastAsiaTheme="minorEastAsia"/>
                <w:kern w:val="0"/>
                <w:sz w:val="24"/>
                <w:szCs w:val="24"/>
              </w:rPr>
              <w:t>27,712,146.00</w:t>
            </w:r>
          </w:p>
        </w:tc>
        <w:tc>
          <w:tcPr>
            <w:tcW w:w="1616" w:type="dxa"/>
            <w:vAlign w:val="center"/>
          </w:tcPr>
          <w:p w:rsidR="00821E39" w:rsidRDefault="00275D3E">
            <w:pPr>
              <w:jc w:val="right"/>
            </w:pPr>
            <w:r>
              <w:rPr>
                <w:rFonts w:eastAsiaTheme="minorEastAsia"/>
                <w:kern w:val="0"/>
                <w:sz w:val="24"/>
                <w:szCs w:val="24"/>
              </w:rPr>
              <w:t>2.93</w:t>
            </w:r>
          </w:p>
        </w:tc>
      </w:tr>
      <w:tr w:rsidR="00821E39">
        <w:tc>
          <w:tcPr>
            <w:tcW w:w="817" w:type="dxa"/>
            <w:vAlign w:val="center"/>
          </w:tcPr>
          <w:p w:rsidR="00821E39" w:rsidRDefault="00275D3E">
            <w:pPr>
              <w:jc w:val="center"/>
            </w:pPr>
            <w:r>
              <w:rPr>
                <w:rFonts w:eastAsiaTheme="minorEastAsia"/>
                <w:kern w:val="0"/>
                <w:sz w:val="24"/>
                <w:szCs w:val="24"/>
              </w:rPr>
              <w:t>9</w:t>
            </w:r>
          </w:p>
        </w:tc>
        <w:tc>
          <w:tcPr>
            <w:tcW w:w="1276" w:type="dxa"/>
            <w:vAlign w:val="center"/>
          </w:tcPr>
          <w:p w:rsidR="00821E39" w:rsidRDefault="00275D3E">
            <w:pPr>
              <w:jc w:val="center"/>
            </w:pPr>
            <w:r>
              <w:rPr>
                <w:rFonts w:eastAsiaTheme="minorEastAsia"/>
                <w:kern w:val="0"/>
                <w:sz w:val="24"/>
                <w:szCs w:val="24"/>
              </w:rPr>
              <w:t>002466</w:t>
            </w:r>
          </w:p>
        </w:tc>
        <w:tc>
          <w:tcPr>
            <w:tcW w:w="1701" w:type="dxa"/>
            <w:vAlign w:val="center"/>
          </w:tcPr>
          <w:p w:rsidR="00821E39" w:rsidRDefault="00275D3E">
            <w:pPr>
              <w:jc w:val="center"/>
            </w:pPr>
            <w:r>
              <w:rPr>
                <w:rFonts w:eastAsiaTheme="minorEastAsia"/>
                <w:kern w:val="0"/>
                <w:sz w:val="24"/>
                <w:szCs w:val="24"/>
              </w:rPr>
              <w:t>天齐锂业</w:t>
            </w:r>
          </w:p>
        </w:tc>
        <w:tc>
          <w:tcPr>
            <w:tcW w:w="1276" w:type="dxa"/>
            <w:vAlign w:val="center"/>
          </w:tcPr>
          <w:p w:rsidR="00821E39" w:rsidRDefault="00275D3E">
            <w:pPr>
              <w:jc w:val="right"/>
            </w:pPr>
            <w:r>
              <w:rPr>
                <w:rFonts w:eastAsiaTheme="minorEastAsia"/>
                <w:kern w:val="0"/>
                <w:sz w:val="24"/>
                <w:szCs w:val="24"/>
              </w:rPr>
              <w:t>267,583.00</w:t>
            </w:r>
          </w:p>
        </w:tc>
        <w:tc>
          <w:tcPr>
            <w:tcW w:w="1842" w:type="dxa"/>
            <w:vAlign w:val="center"/>
          </w:tcPr>
          <w:p w:rsidR="00821E39" w:rsidRDefault="00275D3E">
            <w:pPr>
              <w:jc w:val="right"/>
            </w:pPr>
            <w:r>
              <w:rPr>
                <w:rFonts w:eastAsiaTheme="minorEastAsia"/>
                <w:kern w:val="0"/>
                <w:sz w:val="24"/>
                <w:szCs w:val="24"/>
              </w:rPr>
              <w:t>27,181,081.14</w:t>
            </w:r>
          </w:p>
        </w:tc>
        <w:tc>
          <w:tcPr>
            <w:tcW w:w="1616" w:type="dxa"/>
            <w:vAlign w:val="center"/>
          </w:tcPr>
          <w:p w:rsidR="00821E39" w:rsidRDefault="00275D3E">
            <w:pPr>
              <w:jc w:val="right"/>
            </w:pPr>
            <w:r>
              <w:rPr>
                <w:rFonts w:eastAsiaTheme="minorEastAsia"/>
                <w:kern w:val="0"/>
                <w:sz w:val="24"/>
                <w:szCs w:val="24"/>
              </w:rPr>
              <w:t>2.87</w:t>
            </w:r>
          </w:p>
        </w:tc>
      </w:tr>
      <w:tr w:rsidR="00821E39">
        <w:tc>
          <w:tcPr>
            <w:tcW w:w="817" w:type="dxa"/>
            <w:vAlign w:val="center"/>
          </w:tcPr>
          <w:p w:rsidR="00821E39" w:rsidRDefault="00275D3E">
            <w:pPr>
              <w:jc w:val="center"/>
            </w:pPr>
            <w:r>
              <w:rPr>
                <w:rFonts w:eastAsiaTheme="minorEastAsia"/>
                <w:kern w:val="0"/>
                <w:sz w:val="24"/>
                <w:szCs w:val="24"/>
              </w:rPr>
              <w:t>10</w:t>
            </w:r>
          </w:p>
        </w:tc>
        <w:tc>
          <w:tcPr>
            <w:tcW w:w="1276" w:type="dxa"/>
            <w:vAlign w:val="center"/>
          </w:tcPr>
          <w:p w:rsidR="00821E39" w:rsidRDefault="00275D3E">
            <w:pPr>
              <w:jc w:val="center"/>
            </w:pPr>
            <w:r>
              <w:rPr>
                <w:rFonts w:eastAsiaTheme="minorEastAsia"/>
                <w:kern w:val="0"/>
                <w:sz w:val="24"/>
                <w:szCs w:val="24"/>
              </w:rPr>
              <w:t>300421</w:t>
            </w:r>
          </w:p>
        </w:tc>
        <w:tc>
          <w:tcPr>
            <w:tcW w:w="1701" w:type="dxa"/>
            <w:vAlign w:val="center"/>
          </w:tcPr>
          <w:p w:rsidR="00821E39" w:rsidRDefault="00275D3E">
            <w:pPr>
              <w:jc w:val="center"/>
            </w:pPr>
            <w:r>
              <w:rPr>
                <w:rFonts w:eastAsiaTheme="minorEastAsia"/>
                <w:kern w:val="0"/>
                <w:sz w:val="24"/>
                <w:szCs w:val="24"/>
              </w:rPr>
              <w:t>力星股份</w:t>
            </w:r>
          </w:p>
        </w:tc>
        <w:tc>
          <w:tcPr>
            <w:tcW w:w="1276" w:type="dxa"/>
            <w:vAlign w:val="center"/>
          </w:tcPr>
          <w:p w:rsidR="00821E39" w:rsidRDefault="00275D3E">
            <w:pPr>
              <w:jc w:val="right"/>
            </w:pPr>
            <w:r>
              <w:rPr>
                <w:rFonts w:eastAsiaTheme="minorEastAsia"/>
                <w:kern w:val="0"/>
                <w:sz w:val="24"/>
                <w:szCs w:val="24"/>
              </w:rPr>
              <w:t>1,228,600.00</w:t>
            </w:r>
          </w:p>
        </w:tc>
        <w:tc>
          <w:tcPr>
            <w:tcW w:w="1842" w:type="dxa"/>
            <w:vAlign w:val="center"/>
          </w:tcPr>
          <w:p w:rsidR="00821E39" w:rsidRDefault="00275D3E">
            <w:pPr>
              <w:jc w:val="right"/>
            </w:pPr>
            <w:r>
              <w:rPr>
                <w:rFonts w:eastAsiaTheme="minorEastAsia"/>
                <w:kern w:val="0"/>
                <w:sz w:val="24"/>
                <w:szCs w:val="24"/>
              </w:rPr>
              <w:t>25,591,738.00</w:t>
            </w:r>
          </w:p>
        </w:tc>
        <w:tc>
          <w:tcPr>
            <w:tcW w:w="1616" w:type="dxa"/>
            <w:vAlign w:val="center"/>
          </w:tcPr>
          <w:p w:rsidR="00821E39" w:rsidRDefault="00275D3E">
            <w:pPr>
              <w:jc w:val="right"/>
            </w:pPr>
            <w:r>
              <w:rPr>
                <w:rFonts w:eastAsiaTheme="minorEastAsia"/>
                <w:kern w:val="0"/>
                <w:sz w:val="24"/>
                <w:szCs w:val="24"/>
              </w:rPr>
              <w:t>2.70</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859,968.40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0.09</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859,968.40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821E39">
        <w:tc>
          <w:tcPr>
            <w:tcW w:w="1252" w:type="dxa"/>
            <w:vAlign w:val="center"/>
          </w:tcPr>
          <w:p w:rsidR="00821E39" w:rsidRDefault="00275D3E">
            <w:pPr>
              <w:jc w:val="center"/>
            </w:pPr>
            <w:r>
              <w:rPr>
                <w:rFonts w:eastAsiaTheme="minorEastAsia"/>
                <w:color w:val="000000" w:themeColor="text1"/>
                <w:kern w:val="0"/>
              </w:rPr>
              <w:t>1</w:t>
            </w:r>
          </w:p>
        </w:tc>
        <w:tc>
          <w:tcPr>
            <w:tcW w:w="1310" w:type="dxa"/>
            <w:vAlign w:val="center"/>
          </w:tcPr>
          <w:p w:rsidR="00821E39" w:rsidRDefault="00275D3E">
            <w:pPr>
              <w:jc w:val="center"/>
            </w:pPr>
            <w:r>
              <w:rPr>
                <w:rFonts w:eastAsiaTheme="minorEastAsia"/>
                <w:color w:val="000000" w:themeColor="text1"/>
                <w:kern w:val="0"/>
              </w:rPr>
              <w:t>118002</w:t>
            </w:r>
          </w:p>
        </w:tc>
        <w:tc>
          <w:tcPr>
            <w:tcW w:w="1282" w:type="dxa"/>
            <w:vAlign w:val="center"/>
          </w:tcPr>
          <w:p w:rsidR="00821E39" w:rsidRDefault="00275D3E">
            <w:pPr>
              <w:jc w:val="center"/>
            </w:pPr>
            <w:r>
              <w:rPr>
                <w:rFonts w:eastAsiaTheme="minorEastAsia"/>
                <w:color w:val="000000" w:themeColor="text1"/>
                <w:kern w:val="0"/>
              </w:rPr>
              <w:t>天合转债</w:t>
            </w:r>
          </w:p>
        </w:tc>
        <w:tc>
          <w:tcPr>
            <w:tcW w:w="1426" w:type="dxa"/>
            <w:vAlign w:val="center"/>
          </w:tcPr>
          <w:p w:rsidR="00821E39" w:rsidRDefault="00275D3E">
            <w:pPr>
              <w:jc w:val="right"/>
            </w:pPr>
            <w:r>
              <w:rPr>
                <w:rFonts w:eastAsiaTheme="minorEastAsia"/>
                <w:color w:val="000000" w:themeColor="text1"/>
                <w:kern w:val="0"/>
              </w:rPr>
              <w:t>6,140</w:t>
            </w:r>
          </w:p>
        </w:tc>
        <w:tc>
          <w:tcPr>
            <w:tcW w:w="1646" w:type="dxa"/>
            <w:vAlign w:val="center"/>
          </w:tcPr>
          <w:p w:rsidR="00821E39" w:rsidRDefault="00275D3E">
            <w:pPr>
              <w:jc w:val="right"/>
            </w:pPr>
            <w:r>
              <w:rPr>
                <w:rFonts w:eastAsiaTheme="minorEastAsia"/>
                <w:color w:val="000000" w:themeColor="text1"/>
                <w:kern w:val="0"/>
              </w:rPr>
              <w:t>859,968.40</w:t>
            </w:r>
          </w:p>
        </w:tc>
        <w:tc>
          <w:tcPr>
            <w:tcW w:w="1612" w:type="dxa"/>
            <w:vAlign w:val="center"/>
          </w:tcPr>
          <w:p w:rsidR="00821E39" w:rsidRDefault="00275D3E">
            <w:pPr>
              <w:jc w:val="right"/>
            </w:pPr>
            <w:r>
              <w:rPr>
                <w:rFonts w:eastAsiaTheme="minorEastAsia"/>
                <w:color w:val="000000" w:themeColor="text1"/>
                <w:kern w:val="0"/>
              </w:rPr>
              <w:t>0.09</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164,058.32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20,663.98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11,363,570.16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11,548,292.46</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因四舍五入的原因，投资组合报告中分项之和与合计数可能存在尾差。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31,162,369.90</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407,923,014.39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124,716,740.68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314,368,643.61</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 xml:space="preserve">1. </w:t>
      </w:r>
      <w:r>
        <w:rPr>
          <w:rFonts w:eastAsiaTheme="minorEastAsia"/>
          <w:color w:val="000000" w:themeColor="text1"/>
        </w:rPr>
        <w:t>中国证监会准予上投摩根核心精选股票型证券投资基金募集注册的文件；</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《上投摩根核心精选股票型证券投资基金基金合同》；</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 xml:space="preserve">3. </w:t>
      </w:r>
      <w:r>
        <w:rPr>
          <w:rFonts w:eastAsiaTheme="minorEastAsia"/>
          <w:color w:val="000000" w:themeColor="text1"/>
        </w:rPr>
        <w:t>《上投摩根核心精选股票型证券投资基金托管协议》；</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 xml:space="preserve">4. </w:t>
      </w:r>
      <w:r>
        <w:rPr>
          <w:rFonts w:eastAsiaTheme="minorEastAsia"/>
          <w:color w:val="000000" w:themeColor="text1"/>
        </w:rPr>
        <w:t>《上投摩根开放式基金业务规则》；</w:t>
      </w:r>
    </w:p>
    <w:p w:rsidR="00821E39" w:rsidRDefault="00275D3E">
      <w:pPr>
        <w:spacing w:line="360" w:lineRule="auto"/>
        <w:ind w:firstLineChars="200" w:firstLine="420"/>
        <w:rPr>
          <w:rFonts w:eastAsiaTheme="minorEastAsia"/>
          <w:color w:val="000000" w:themeColor="text1"/>
        </w:rPr>
      </w:pPr>
      <w:r>
        <w:rPr>
          <w:rFonts w:eastAsiaTheme="minorEastAsia"/>
          <w:color w:val="000000" w:themeColor="text1"/>
        </w:rPr>
        <w:t xml:space="preserve">5. </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 xml:space="preserve">6. </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二〇二一年十月二十七日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275D3E" w:rsidRPr="00275D3E">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275D3E">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上投摩根核心精选股票型证券投资基金</w:t>
    </w:r>
    <w:r>
      <w:rPr>
        <w:rFonts w:hint="eastAsia"/>
      </w:rPr>
      <w:t>2021</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5D3E"/>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1E39"/>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2D066-9124-47DD-84CB-2266E807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Wentian.Zhou@FA</cp:lastModifiedBy>
  <cp:revision>268</cp:revision>
  <dcterms:created xsi:type="dcterms:W3CDTF">2012-10-16T06:07:00Z</dcterms:created>
  <dcterms:modified xsi:type="dcterms:W3CDTF">2021-10-26T05:41:00Z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