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上投摩根核心精选股票型证券投资基金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2021年3月31日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二〇二一年四月二十二日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本报告期自2021年1月1日起至3月31日止。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上投摩根核心精选股票</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005983</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005983</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2018年11月29日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22,889,504.25</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本基金将充分利用基金管理人投研团队的集体智慧，精选具有长期增长潜力的上市公司，力争获取超越业绩基准的收益。</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62B60" w:rsidRDefault="008D521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w:t>
            </w:r>
            <w:r>
              <w:rPr>
                <w:rFonts w:asciiTheme="minorEastAsia" w:eastAsiaTheme="minorEastAsia" w:hAnsiTheme="minorEastAsia"/>
                <w:color w:val="000000" w:themeColor="text1"/>
                <w:kern w:val="0"/>
              </w:rPr>
              <w:t>、资产配置策略</w:t>
            </w:r>
          </w:p>
          <w:p w:rsidR="00D62B60" w:rsidRDefault="008D521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本基金将综合分析和持续跟踪基本面、政策面、市场面等多方面因素，对宏观经济、国家政策、资金面和市场情绪等影响证券市场的重要因素进行深入分析，确定合适的资</w:t>
            </w:r>
            <w:r>
              <w:rPr>
                <w:rFonts w:asciiTheme="minorEastAsia" w:eastAsiaTheme="minorEastAsia" w:hAnsiTheme="minorEastAsia"/>
                <w:color w:val="000000" w:themeColor="text1"/>
                <w:kern w:val="0"/>
              </w:rPr>
              <w:lastRenderedPageBreak/>
              <w:t>产配置比例。本基金将根据各类证券的风险收益特征的相对变化，适度的调整确定基金资产在股票、债券及现金等类别资产间的分配比例，动态优化投资组合。</w:t>
            </w:r>
          </w:p>
          <w:p w:rsidR="00D62B60" w:rsidRDefault="008D521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、股票投资策略</w:t>
            </w:r>
          </w:p>
          <w:p w:rsidR="00D62B60" w:rsidRDefault="008D521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本基金将充分发挥基金管理人的研究优势，将严谨、规范的选股方法与积</w:t>
            </w:r>
            <w:r>
              <w:rPr>
                <w:rFonts w:asciiTheme="minorEastAsia" w:eastAsiaTheme="minorEastAsia" w:hAnsiTheme="minorEastAsia"/>
                <w:color w:val="000000" w:themeColor="text1"/>
                <w:kern w:val="0"/>
              </w:rPr>
              <w:t>极主动的投资风格相结和，通过</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的个股精选策略，精选公司治理良好且具有较好成长性的公司，分享其发展和成长机会。</w:t>
            </w:r>
          </w:p>
          <w:p w:rsidR="00D62B60" w:rsidRDefault="008D521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的股票投资包含核心股票和精选股票两个层面。核心股票由公司内部研究组合构成，主要包含了研究部推荐股票，是研究员在对个股进行深度研究和实地调研基础上提出的投资建议。精选股票是指基金经理基于对宏观经济、政策走向、行业发展以及个股的深入研究与把握，从核心股票中精选具有良好投资价值的股票，构建股票投资组合。</w:t>
            </w:r>
          </w:p>
          <w:p w:rsidR="00D62B60" w:rsidRDefault="008D521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、债券投资策略</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中证800 指数收益率×85%+中债总指数收益率×15%</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8D5219" w:rsidTr="008D5219">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2021年1月1日-2021年3月31日</w:t>
            </w:r>
            <w:r>
              <w:rPr>
                <w:rFonts w:asciiTheme="minorEastAsia" w:eastAsiaTheme="minorEastAsia" w:hAnsiTheme="minorEastAsia" w:cs="宋体" w:hint="eastAsia"/>
                <w:color w:val="000000" w:themeColor="text1"/>
              </w:rPr>
              <w:t>)</w:t>
            </w:r>
          </w:p>
        </w:tc>
      </w:tr>
      <w:tr w:rsidR="008D5219" w:rsidTr="008D521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1,385,778.09</w:t>
            </w:r>
          </w:p>
        </w:tc>
      </w:tr>
      <w:tr w:rsidR="008D5219" w:rsidTr="008D521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3,345,333.65</w:t>
            </w:r>
          </w:p>
        </w:tc>
      </w:tr>
      <w:tr w:rsidR="008D5219" w:rsidTr="008D521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0.2560</w:t>
            </w:r>
          </w:p>
        </w:tc>
      </w:tr>
      <w:tr w:rsidR="008D5219" w:rsidTr="008D5219">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51,824,079.41</w:t>
            </w:r>
          </w:p>
        </w:tc>
      </w:tr>
      <w:tr w:rsidR="008D5219" w:rsidTr="008D5219">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2.2641</w:t>
            </w:r>
          </w:p>
        </w:tc>
      </w:tr>
    </w:tbl>
    <w:p w:rsidR="00D62B60" w:rsidRDefault="008D521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D62B60">
        <w:tc>
          <w:tcPr>
            <w:tcW w:w="1395" w:type="dxa"/>
            <w:vAlign w:val="center"/>
          </w:tcPr>
          <w:p w:rsidR="00D62B60" w:rsidRDefault="008D5219">
            <w:pPr>
              <w:jc w:val="left"/>
            </w:pPr>
            <w:r>
              <w:rPr>
                <w:rFonts w:asciiTheme="minorEastAsia" w:eastAsiaTheme="minorEastAsia" w:hAnsiTheme="minorEastAsia"/>
                <w:color w:val="000000" w:themeColor="text1"/>
                <w:kern w:val="0"/>
              </w:rPr>
              <w:t>过去三个月</w:t>
            </w:r>
          </w:p>
        </w:tc>
        <w:tc>
          <w:tcPr>
            <w:tcW w:w="1092" w:type="dxa"/>
            <w:vAlign w:val="center"/>
          </w:tcPr>
          <w:p w:rsidR="00D62B60" w:rsidRDefault="008D5219">
            <w:pPr>
              <w:jc w:val="center"/>
            </w:pPr>
            <w:r>
              <w:rPr>
                <w:rFonts w:asciiTheme="minorEastAsia" w:eastAsiaTheme="minorEastAsia" w:hAnsiTheme="minorEastAsia"/>
                <w:color w:val="000000" w:themeColor="text1"/>
                <w:kern w:val="0"/>
              </w:rPr>
              <w:t>15.05%</w:t>
            </w:r>
          </w:p>
        </w:tc>
        <w:tc>
          <w:tcPr>
            <w:tcW w:w="1161" w:type="dxa"/>
            <w:vAlign w:val="center"/>
          </w:tcPr>
          <w:p w:rsidR="00D62B60" w:rsidRDefault="008D5219">
            <w:pPr>
              <w:jc w:val="center"/>
            </w:pPr>
            <w:r>
              <w:rPr>
                <w:rFonts w:asciiTheme="minorEastAsia" w:eastAsiaTheme="minorEastAsia" w:hAnsiTheme="minorEastAsia"/>
                <w:color w:val="000000" w:themeColor="text1"/>
                <w:kern w:val="0"/>
              </w:rPr>
              <w:t>1.33%</w:t>
            </w:r>
          </w:p>
        </w:tc>
        <w:tc>
          <w:tcPr>
            <w:tcW w:w="1181" w:type="dxa"/>
            <w:vAlign w:val="center"/>
          </w:tcPr>
          <w:p w:rsidR="00D62B60" w:rsidRDefault="008D5219">
            <w:pPr>
              <w:jc w:val="center"/>
            </w:pPr>
            <w:r>
              <w:rPr>
                <w:rFonts w:asciiTheme="minorEastAsia" w:eastAsiaTheme="minorEastAsia" w:hAnsiTheme="minorEastAsia"/>
                <w:color w:val="000000" w:themeColor="text1"/>
                <w:kern w:val="0"/>
              </w:rPr>
              <w:t>-2.43%</w:t>
            </w:r>
          </w:p>
        </w:tc>
        <w:tc>
          <w:tcPr>
            <w:tcW w:w="1188" w:type="dxa"/>
            <w:vAlign w:val="center"/>
          </w:tcPr>
          <w:p w:rsidR="00D62B60" w:rsidRDefault="008D5219">
            <w:pPr>
              <w:jc w:val="center"/>
            </w:pPr>
            <w:r>
              <w:rPr>
                <w:rFonts w:asciiTheme="minorEastAsia" w:eastAsiaTheme="minorEastAsia" w:hAnsiTheme="minorEastAsia"/>
                <w:color w:val="000000" w:themeColor="text1"/>
                <w:kern w:val="0"/>
              </w:rPr>
              <w:t>1.26%</w:t>
            </w:r>
          </w:p>
        </w:tc>
        <w:tc>
          <w:tcPr>
            <w:tcW w:w="1199" w:type="dxa"/>
            <w:vAlign w:val="center"/>
          </w:tcPr>
          <w:p w:rsidR="00D62B60" w:rsidRDefault="008D5219">
            <w:pPr>
              <w:jc w:val="center"/>
            </w:pPr>
            <w:r>
              <w:rPr>
                <w:rFonts w:asciiTheme="minorEastAsia" w:eastAsiaTheme="minorEastAsia" w:hAnsiTheme="minorEastAsia"/>
                <w:color w:val="000000" w:themeColor="text1"/>
                <w:kern w:val="0"/>
              </w:rPr>
              <w:t>17.48%</w:t>
            </w:r>
          </w:p>
        </w:tc>
        <w:tc>
          <w:tcPr>
            <w:tcW w:w="1204" w:type="dxa"/>
            <w:vAlign w:val="center"/>
          </w:tcPr>
          <w:p w:rsidR="00D62B60" w:rsidRDefault="008D5219">
            <w:pPr>
              <w:jc w:val="center"/>
            </w:pPr>
            <w:r>
              <w:rPr>
                <w:rFonts w:asciiTheme="minorEastAsia" w:eastAsiaTheme="minorEastAsia" w:hAnsiTheme="minorEastAsia"/>
                <w:color w:val="000000" w:themeColor="text1"/>
                <w:kern w:val="0"/>
              </w:rPr>
              <w:t>0.07%</w:t>
            </w:r>
          </w:p>
        </w:tc>
      </w:tr>
      <w:tr w:rsidR="00D62B60">
        <w:tc>
          <w:tcPr>
            <w:tcW w:w="1395" w:type="dxa"/>
            <w:vAlign w:val="center"/>
          </w:tcPr>
          <w:p w:rsidR="00D62B60" w:rsidRDefault="008D5219">
            <w:pPr>
              <w:jc w:val="left"/>
            </w:pPr>
            <w:r>
              <w:rPr>
                <w:rFonts w:asciiTheme="minorEastAsia" w:eastAsiaTheme="minorEastAsia" w:hAnsiTheme="minorEastAsia"/>
                <w:color w:val="000000" w:themeColor="text1"/>
                <w:kern w:val="0"/>
              </w:rPr>
              <w:t>过去六个月</w:t>
            </w:r>
          </w:p>
        </w:tc>
        <w:tc>
          <w:tcPr>
            <w:tcW w:w="1092" w:type="dxa"/>
            <w:vAlign w:val="center"/>
          </w:tcPr>
          <w:p w:rsidR="00D62B60" w:rsidRDefault="008D5219">
            <w:pPr>
              <w:jc w:val="center"/>
            </w:pPr>
            <w:r>
              <w:rPr>
                <w:rFonts w:asciiTheme="minorEastAsia" w:eastAsiaTheme="minorEastAsia" w:hAnsiTheme="minorEastAsia"/>
                <w:color w:val="000000" w:themeColor="text1"/>
                <w:kern w:val="0"/>
              </w:rPr>
              <w:t>21.70%</w:t>
            </w:r>
          </w:p>
        </w:tc>
        <w:tc>
          <w:tcPr>
            <w:tcW w:w="1161" w:type="dxa"/>
            <w:vAlign w:val="center"/>
          </w:tcPr>
          <w:p w:rsidR="00D62B60" w:rsidRDefault="008D5219">
            <w:pPr>
              <w:jc w:val="center"/>
            </w:pPr>
            <w:r>
              <w:rPr>
                <w:rFonts w:asciiTheme="minorEastAsia" w:eastAsiaTheme="minorEastAsia" w:hAnsiTheme="minorEastAsia"/>
                <w:color w:val="000000" w:themeColor="text1"/>
                <w:kern w:val="0"/>
              </w:rPr>
              <w:t>1.25%</w:t>
            </w:r>
          </w:p>
        </w:tc>
        <w:tc>
          <w:tcPr>
            <w:tcW w:w="1181" w:type="dxa"/>
            <w:vAlign w:val="center"/>
          </w:tcPr>
          <w:p w:rsidR="00D62B60" w:rsidRDefault="008D5219">
            <w:pPr>
              <w:jc w:val="center"/>
            </w:pPr>
            <w:r>
              <w:rPr>
                <w:rFonts w:asciiTheme="minorEastAsia" w:eastAsiaTheme="minorEastAsia" w:hAnsiTheme="minorEastAsia"/>
                <w:color w:val="000000" w:themeColor="text1"/>
                <w:kern w:val="0"/>
              </w:rPr>
              <w:t>6.81%</w:t>
            </w:r>
          </w:p>
        </w:tc>
        <w:tc>
          <w:tcPr>
            <w:tcW w:w="1188" w:type="dxa"/>
            <w:vAlign w:val="center"/>
          </w:tcPr>
          <w:p w:rsidR="00D62B60" w:rsidRDefault="008D5219">
            <w:pPr>
              <w:jc w:val="center"/>
            </w:pPr>
            <w:r>
              <w:rPr>
                <w:rFonts w:asciiTheme="minorEastAsia" w:eastAsiaTheme="minorEastAsia" w:hAnsiTheme="minorEastAsia"/>
                <w:color w:val="000000" w:themeColor="text1"/>
                <w:kern w:val="0"/>
              </w:rPr>
              <w:t>1.07%</w:t>
            </w:r>
          </w:p>
        </w:tc>
        <w:tc>
          <w:tcPr>
            <w:tcW w:w="1199" w:type="dxa"/>
            <w:vAlign w:val="center"/>
          </w:tcPr>
          <w:p w:rsidR="00D62B60" w:rsidRDefault="008D5219">
            <w:pPr>
              <w:jc w:val="center"/>
            </w:pPr>
            <w:r>
              <w:rPr>
                <w:rFonts w:asciiTheme="minorEastAsia" w:eastAsiaTheme="minorEastAsia" w:hAnsiTheme="minorEastAsia"/>
                <w:color w:val="000000" w:themeColor="text1"/>
                <w:kern w:val="0"/>
              </w:rPr>
              <w:t>14.89%</w:t>
            </w:r>
          </w:p>
        </w:tc>
        <w:tc>
          <w:tcPr>
            <w:tcW w:w="1204" w:type="dxa"/>
            <w:vAlign w:val="center"/>
          </w:tcPr>
          <w:p w:rsidR="00D62B60" w:rsidRDefault="008D5219">
            <w:pPr>
              <w:jc w:val="center"/>
            </w:pPr>
            <w:r>
              <w:rPr>
                <w:rFonts w:asciiTheme="minorEastAsia" w:eastAsiaTheme="minorEastAsia" w:hAnsiTheme="minorEastAsia"/>
                <w:color w:val="000000" w:themeColor="text1"/>
                <w:kern w:val="0"/>
              </w:rPr>
              <w:t>0.18%</w:t>
            </w:r>
          </w:p>
        </w:tc>
      </w:tr>
      <w:tr w:rsidR="00D62B60">
        <w:tc>
          <w:tcPr>
            <w:tcW w:w="1395" w:type="dxa"/>
            <w:vAlign w:val="center"/>
          </w:tcPr>
          <w:p w:rsidR="00D62B60" w:rsidRDefault="008D5219">
            <w:pPr>
              <w:jc w:val="left"/>
            </w:pPr>
            <w:r>
              <w:rPr>
                <w:rFonts w:asciiTheme="minorEastAsia" w:eastAsiaTheme="minorEastAsia" w:hAnsiTheme="minorEastAsia"/>
                <w:color w:val="000000" w:themeColor="text1"/>
                <w:kern w:val="0"/>
              </w:rPr>
              <w:t>过去一年</w:t>
            </w:r>
          </w:p>
        </w:tc>
        <w:tc>
          <w:tcPr>
            <w:tcW w:w="1092" w:type="dxa"/>
            <w:vAlign w:val="center"/>
          </w:tcPr>
          <w:p w:rsidR="00D62B60" w:rsidRDefault="008D5219">
            <w:pPr>
              <w:jc w:val="center"/>
            </w:pPr>
            <w:r>
              <w:rPr>
                <w:rFonts w:asciiTheme="minorEastAsia" w:eastAsiaTheme="minorEastAsia" w:hAnsiTheme="minorEastAsia"/>
                <w:color w:val="000000" w:themeColor="text1"/>
                <w:kern w:val="0"/>
              </w:rPr>
              <w:t>73.71%</w:t>
            </w:r>
          </w:p>
        </w:tc>
        <w:tc>
          <w:tcPr>
            <w:tcW w:w="1161" w:type="dxa"/>
            <w:vAlign w:val="center"/>
          </w:tcPr>
          <w:p w:rsidR="00D62B60" w:rsidRDefault="008D5219">
            <w:pPr>
              <w:jc w:val="center"/>
            </w:pPr>
            <w:r>
              <w:rPr>
                <w:rFonts w:asciiTheme="minorEastAsia" w:eastAsiaTheme="minorEastAsia" w:hAnsiTheme="minorEastAsia"/>
                <w:color w:val="000000" w:themeColor="text1"/>
                <w:kern w:val="0"/>
              </w:rPr>
              <w:t>1.34%</w:t>
            </w:r>
          </w:p>
        </w:tc>
        <w:tc>
          <w:tcPr>
            <w:tcW w:w="1181" w:type="dxa"/>
            <w:vAlign w:val="center"/>
          </w:tcPr>
          <w:p w:rsidR="00D62B60" w:rsidRDefault="008D5219">
            <w:pPr>
              <w:jc w:val="center"/>
            </w:pPr>
            <w:r>
              <w:rPr>
                <w:rFonts w:asciiTheme="minorEastAsia" w:eastAsiaTheme="minorEastAsia" w:hAnsiTheme="minorEastAsia"/>
                <w:color w:val="000000" w:themeColor="text1"/>
                <w:kern w:val="0"/>
              </w:rPr>
              <w:t>28.32%</w:t>
            </w:r>
          </w:p>
        </w:tc>
        <w:tc>
          <w:tcPr>
            <w:tcW w:w="1188" w:type="dxa"/>
            <w:vAlign w:val="center"/>
          </w:tcPr>
          <w:p w:rsidR="00D62B60" w:rsidRDefault="008D5219">
            <w:pPr>
              <w:jc w:val="center"/>
            </w:pPr>
            <w:r>
              <w:rPr>
                <w:rFonts w:asciiTheme="minorEastAsia" w:eastAsiaTheme="minorEastAsia" w:hAnsiTheme="minorEastAsia"/>
                <w:color w:val="000000" w:themeColor="text1"/>
                <w:kern w:val="0"/>
              </w:rPr>
              <w:t>1.10%</w:t>
            </w:r>
          </w:p>
        </w:tc>
        <w:tc>
          <w:tcPr>
            <w:tcW w:w="1199" w:type="dxa"/>
            <w:vAlign w:val="center"/>
          </w:tcPr>
          <w:p w:rsidR="00D62B60" w:rsidRDefault="008D5219">
            <w:pPr>
              <w:jc w:val="center"/>
            </w:pPr>
            <w:r>
              <w:rPr>
                <w:rFonts w:asciiTheme="minorEastAsia" w:eastAsiaTheme="minorEastAsia" w:hAnsiTheme="minorEastAsia"/>
                <w:color w:val="000000" w:themeColor="text1"/>
                <w:kern w:val="0"/>
              </w:rPr>
              <w:t>45.39%</w:t>
            </w:r>
          </w:p>
        </w:tc>
        <w:tc>
          <w:tcPr>
            <w:tcW w:w="1204" w:type="dxa"/>
            <w:vAlign w:val="center"/>
          </w:tcPr>
          <w:p w:rsidR="00D62B60" w:rsidRDefault="008D5219">
            <w:pPr>
              <w:jc w:val="center"/>
            </w:pPr>
            <w:r>
              <w:rPr>
                <w:rFonts w:asciiTheme="minorEastAsia" w:eastAsiaTheme="minorEastAsia" w:hAnsiTheme="minorEastAsia"/>
                <w:color w:val="000000" w:themeColor="text1"/>
                <w:kern w:val="0"/>
              </w:rPr>
              <w:t>0.24%</w:t>
            </w:r>
          </w:p>
        </w:tc>
      </w:tr>
      <w:tr w:rsidR="00D62B60">
        <w:tc>
          <w:tcPr>
            <w:tcW w:w="1395" w:type="dxa"/>
            <w:vAlign w:val="center"/>
          </w:tcPr>
          <w:p w:rsidR="00D62B60" w:rsidRDefault="008D5219">
            <w:pPr>
              <w:jc w:val="left"/>
            </w:pPr>
            <w:r>
              <w:rPr>
                <w:rFonts w:asciiTheme="minorEastAsia" w:eastAsiaTheme="minorEastAsia" w:hAnsiTheme="minorEastAsia"/>
                <w:color w:val="000000" w:themeColor="text1"/>
                <w:kern w:val="0"/>
              </w:rPr>
              <w:t>过去三年</w:t>
            </w:r>
          </w:p>
        </w:tc>
        <w:tc>
          <w:tcPr>
            <w:tcW w:w="1092"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61"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81"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88"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99" w:type="dxa"/>
            <w:vAlign w:val="center"/>
          </w:tcPr>
          <w:p w:rsidR="00D62B60" w:rsidRDefault="008D5219">
            <w:pPr>
              <w:jc w:val="center"/>
            </w:pPr>
            <w:r>
              <w:rPr>
                <w:rFonts w:asciiTheme="minorEastAsia" w:eastAsiaTheme="minorEastAsia" w:hAnsiTheme="minorEastAsia"/>
                <w:color w:val="000000" w:themeColor="text1"/>
                <w:kern w:val="0"/>
              </w:rPr>
              <w:t>-</w:t>
            </w:r>
          </w:p>
        </w:tc>
        <w:tc>
          <w:tcPr>
            <w:tcW w:w="1204" w:type="dxa"/>
            <w:vAlign w:val="center"/>
          </w:tcPr>
          <w:p w:rsidR="00D62B60" w:rsidRDefault="008D5219">
            <w:pPr>
              <w:jc w:val="center"/>
            </w:pPr>
            <w:r>
              <w:rPr>
                <w:rFonts w:asciiTheme="minorEastAsia" w:eastAsiaTheme="minorEastAsia" w:hAnsiTheme="minorEastAsia"/>
                <w:color w:val="000000" w:themeColor="text1"/>
                <w:kern w:val="0"/>
              </w:rPr>
              <w:t>-</w:t>
            </w:r>
          </w:p>
        </w:tc>
      </w:tr>
      <w:tr w:rsidR="00D62B60">
        <w:tc>
          <w:tcPr>
            <w:tcW w:w="1395" w:type="dxa"/>
            <w:vAlign w:val="center"/>
          </w:tcPr>
          <w:p w:rsidR="00D62B60" w:rsidRDefault="008D5219">
            <w:pPr>
              <w:jc w:val="left"/>
            </w:pPr>
            <w:r>
              <w:rPr>
                <w:rFonts w:asciiTheme="minorEastAsia" w:eastAsiaTheme="minorEastAsia" w:hAnsiTheme="minorEastAsia"/>
                <w:color w:val="000000" w:themeColor="text1"/>
                <w:kern w:val="0"/>
              </w:rPr>
              <w:t>过去五年</w:t>
            </w:r>
          </w:p>
        </w:tc>
        <w:tc>
          <w:tcPr>
            <w:tcW w:w="1092"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61"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81"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88" w:type="dxa"/>
            <w:vAlign w:val="center"/>
          </w:tcPr>
          <w:p w:rsidR="00D62B60" w:rsidRDefault="008D5219">
            <w:pPr>
              <w:jc w:val="center"/>
            </w:pPr>
            <w:r>
              <w:rPr>
                <w:rFonts w:asciiTheme="minorEastAsia" w:eastAsiaTheme="minorEastAsia" w:hAnsiTheme="minorEastAsia"/>
                <w:color w:val="000000" w:themeColor="text1"/>
                <w:kern w:val="0"/>
              </w:rPr>
              <w:t>-</w:t>
            </w:r>
          </w:p>
        </w:tc>
        <w:tc>
          <w:tcPr>
            <w:tcW w:w="1199" w:type="dxa"/>
            <w:vAlign w:val="center"/>
          </w:tcPr>
          <w:p w:rsidR="00D62B60" w:rsidRDefault="008D5219">
            <w:pPr>
              <w:jc w:val="center"/>
            </w:pPr>
            <w:r>
              <w:rPr>
                <w:rFonts w:asciiTheme="minorEastAsia" w:eastAsiaTheme="minorEastAsia" w:hAnsiTheme="minorEastAsia"/>
                <w:color w:val="000000" w:themeColor="text1"/>
                <w:kern w:val="0"/>
              </w:rPr>
              <w:t>-</w:t>
            </w:r>
          </w:p>
        </w:tc>
        <w:tc>
          <w:tcPr>
            <w:tcW w:w="1204" w:type="dxa"/>
            <w:vAlign w:val="center"/>
          </w:tcPr>
          <w:p w:rsidR="00D62B60" w:rsidRDefault="008D5219">
            <w:pPr>
              <w:jc w:val="center"/>
            </w:pPr>
            <w:r>
              <w:rPr>
                <w:rFonts w:asciiTheme="minorEastAsia" w:eastAsiaTheme="minorEastAsia" w:hAnsiTheme="minorEastAsia"/>
                <w:color w:val="000000" w:themeColor="text1"/>
                <w:kern w:val="0"/>
              </w:rPr>
              <w:t>-</w:t>
            </w:r>
          </w:p>
        </w:tc>
      </w:tr>
      <w:tr w:rsidR="00D62B60">
        <w:tc>
          <w:tcPr>
            <w:tcW w:w="1395" w:type="dxa"/>
            <w:vAlign w:val="center"/>
          </w:tcPr>
          <w:p w:rsidR="00D62B60" w:rsidRDefault="008D5219">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D62B60" w:rsidRDefault="008D5219">
            <w:pPr>
              <w:jc w:val="center"/>
            </w:pPr>
            <w:r>
              <w:rPr>
                <w:rFonts w:asciiTheme="minorEastAsia" w:eastAsiaTheme="minorEastAsia" w:hAnsiTheme="minorEastAsia"/>
                <w:color w:val="000000" w:themeColor="text1"/>
                <w:kern w:val="0"/>
              </w:rPr>
              <w:t>126.41%</w:t>
            </w:r>
          </w:p>
        </w:tc>
        <w:tc>
          <w:tcPr>
            <w:tcW w:w="1161" w:type="dxa"/>
            <w:vAlign w:val="center"/>
          </w:tcPr>
          <w:p w:rsidR="00D62B60" w:rsidRDefault="008D5219">
            <w:pPr>
              <w:jc w:val="center"/>
            </w:pPr>
            <w:r>
              <w:rPr>
                <w:rFonts w:asciiTheme="minorEastAsia" w:eastAsiaTheme="minorEastAsia" w:hAnsiTheme="minorEastAsia"/>
                <w:color w:val="000000" w:themeColor="text1"/>
                <w:kern w:val="0"/>
              </w:rPr>
              <w:t>1.18%</w:t>
            </w:r>
          </w:p>
        </w:tc>
        <w:tc>
          <w:tcPr>
            <w:tcW w:w="1181" w:type="dxa"/>
            <w:vAlign w:val="center"/>
          </w:tcPr>
          <w:p w:rsidR="00D62B60" w:rsidRDefault="008D5219">
            <w:pPr>
              <w:jc w:val="center"/>
            </w:pPr>
            <w:r>
              <w:rPr>
                <w:rFonts w:asciiTheme="minorEastAsia" w:eastAsiaTheme="minorEastAsia" w:hAnsiTheme="minorEastAsia"/>
                <w:color w:val="000000" w:themeColor="text1"/>
                <w:kern w:val="0"/>
              </w:rPr>
              <w:t>46.57%</w:t>
            </w:r>
          </w:p>
        </w:tc>
        <w:tc>
          <w:tcPr>
            <w:tcW w:w="1188" w:type="dxa"/>
            <w:vAlign w:val="center"/>
          </w:tcPr>
          <w:p w:rsidR="00D62B60" w:rsidRDefault="008D5219">
            <w:pPr>
              <w:jc w:val="center"/>
            </w:pPr>
            <w:r>
              <w:rPr>
                <w:rFonts w:asciiTheme="minorEastAsia" w:eastAsiaTheme="minorEastAsia" w:hAnsiTheme="minorEastAsia"/>
                <w:color w:val="000000" w:themeColor="text1"/>
                <w:kern w:val="0"/>
              </w:rPr>
              <w:t>1.16%</w:t>
            </w:r>
          </w:p>
        </w:tc>
        <w:tc>
          <w:tcPr>
            <w:tcW w:w="1199" w:type="dxa"/>
            <w:vAlign w:val="center"/>
          </w:tcPr>
          <w:p w:rsidR="00D62B60" w:rsidRDefault="008D5219">
            <w:pPr>
              <w:jc w:val="center"/>
            </w:pPr>
            <w:r>
              <w:rPr>
                <w:rFonts w:asciiTheme="minorEastAsia" w:eastAsiaTheme="minorEastAsia" w:hAnsiTheme="minorEastAsia"/>
                <w:color w:val="000000" w:themeColor="text1"/>
                <w:kern w:val="0"/>
              </w:rPr>
              <w:t>79.84%</w:t>
            </w:r>
          </w:p>
        </w:tc>
        <w:tc>
          <w:tcPr>
            <w:tcW w:w="1204" w:type="dxa"/>
            <w:vAlign w:val="center"/>
          </w:tcPr>
          <w:p w:rsidR="00D62B60" w:rsidRDefault="008D5219">
            <w:pPr>
              <w:jc w:val="center"/>
            </w:pPr>
            <w:r>
              <w:rPr>
                <w:rFonts w:asciiTheme="minorEastAsia" w:eastAsiaTheme="minorEastAsia" w:hAnsiTheme="minorEastAsia"/>
                <w:color w:val="000000" w:themeColor="text1"/>
                <w:kern w:val="0"/>
              </w:rPr>
              <w:t>0.02%</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w:t>
      </w:r>
      <w:r>
        <w:rPr>
          <w:rFonts w:asciiTheme="minorEastAsia" w:eastAsiaTheme="minorEastAsia" w:hAnsiTheme="minorEastAsia" w:hint="eastAsia"/>
          <w:b/>
          <w:bCs/>
          <w:color w:val="000000" w:themeColor="text1"/>
          <w:kern w:val="0"/>
          <w:sz w:val="24"/>
          <w:szCs w:val="24"/>
        </w:rPr>
        <w:lastRenderedPageBreak/>
        <w:t>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上投摩根核心精选股票型证券投资基金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2018年11月29日</w:t>
      </w:r>
      <w:r>
        <w:rPr>
          <w:rFonts w:asciiTheme="minorEastAsia" w:eastAsiaTheme="minorEastAsia" w:hAnsiTheme="minorEastAsia" w:hint="eastAsia"/>
          <w:color w:val="000000" w:themeColor="text1"/>
        </w:rPr>
        <w:t>至2021年3月31日)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D62B60" w:rsidRDefault="008D521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29</w:t>
      </w:r>
      <w:r>
        <w:rPr>
          <w:rFonts w:asciiTheme="minorEastAsia" w:eastAsiaTheme="minorEastAsia" w:hAnsiTheme="minorEastAsia"/>
          <w:color w:val="000000" w:themeColor="text1"/>
        </w:rPr>
        <w:t>日，图示的时间段为合同生效日至本报告期末。</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本基金建仓期为本基金合同生效日起 6 个月，建仓期结束时资产配置比例符合本基金基金合同规定。</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D62B60">
        <w:tc>
          <w:tcPr>
            <w:tcW w:w="851" w:type="dxa"/>
            <w:vAlign w:val="center"/>
          </w:tcPr>
          <w:p w:rsidR="00D62B60" w:rsidRDefault="008D5219">
            <w:pPr>
              <w:jc w:val="center"/>
            </w:pPr>
            <w:r>
              <w:rPr>
                <w:rFonts w:asciiTheme="minorEastAsia" w:eastAsiaTheme="minorEastAsia" w:hAnsiTheme="minorEastAsia"/>
                <w:color w:val="000000" w:themeColor="text1"/>
              </w:rPr>
              <w:t>李博</w:t>
            </w:r>
          </w:p>
        </w:tc>
        <w:tc>
          <w:tcPr>
            <w:tcW w:w="850" w:type="dxa"/>
            <w:vAlign w:val="center"/>
          </w:tcPr>
          <w:p w:rsidR="00D62B60" w:rsidRDefault="008D5219">
            <w:pPr>
              <w:jc w:val="center"/>
            </w:pPr>
            <w:r>
              <w:rPr>
                <w:rFonts w:asciiTheme="minorEastAsia" w:eastAsiaTheme="minorEastAsia" w:hAnsiTheme="minorEastAsia"/>
                <w:color w:val="000000" w:themeColor="text1"/>
              </w:rPr>
              <w:t>本基金基金经理</w:t>
            </w:r>
          </w:p>
        </w:tc>
        <w:tc>
          <w:tcPr>
            <w:tcW w:w="1560" w:type="dxa"/>
            <w:vAlign w:val="center"/>
          </w:tcPr>
          <w:p w:rsidR="00D62B60" w:rsidRDefault="008D5219">
            <w:pPr>
              <w:jc w:val="center"/>
            </w:pPr>
            <w:r>
              <w:rPr>
                <w:rFonts w:asciiTheme="minorEastAsia" w:eastAsiaTheme="minorEastAsia" w:hAnsiTheme="minorEastAsia"/>
                <w:color w:val="000000" w:themeColor="text1"/>
              </w:rPr>
              <w:t>2018-11-29</w:t>
            </w:r>
          </w:p>
        </w:tc>
        <w:tc>
          <w:tcPr>
            <w:tcW w:w="1559" w:type="dxa"/>
            <w:vAlign w:val="center"/>
          </w:tcPr>
          <w:p w:rsidR="00D62B60" w:rsidRDefault="008D5219">
            <w:pPr>
              <w:jc w:val="center"/>
            </w:pPr>
            <w:r>
              <w:rPr>
                <w:rFonts w:asciiTheme="minorEastAsia" w:eastAsiaTheme="minorEastAsia" w:hAnsiTheme="minorEastAsia"/>
                <w:color w:val="000000" w:themeColor="text1"/>
              </w:rPr>
              <w:t>-</w:t>
            </w:r>
          </w:p>
        </w:tc>
        <w:tc>
          <w:tcPr>
            <w:tcW w:w="1417" w:type="dxa"/>
            <w:vAlign w:val="center"/>
          </w:tcPr>
          <w:p w:rsidR="00D62B60" w:rsidRDefault="008D5219">
            <w:pPr>
              <w:jc w:val="center"/>
            </w:pP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年</w:t>
            </w:r>
          </w:p>
        </w:tc>
        <w:tc>
          <w:tcPr>
            <w:tcW w:w="2694" w:type="dxa"/>
            <w:vAlign w:val="center"/>
          </w:tcPr>
          <w:p w:rsidR="00D62B60" w:rsidRDefault="008D5219">
            <w:r>
              <w:rPr>
                <w:rFonts w:asciiTheme="minorEastAsia" w:eastAsiaTheme="minorEastAsia" w:hAnsiTheme="minorEastAsia"/>
                <w:color w:val="000000" w:themeColor="text1"/>
              </w:rPr>
              <w:t>李博先生，上海交通大学硕士，自</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月在中银国际证券有限公司担任研究员，负责研究方面的工作。自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月起加入上投摩根基金管理有限公司，先后担任行</w:t>
            </w:r>
            <w:r>
              <w:rPr>
                <w:rFonts w:asciiTheme="minorEastAsia" w:eastAsiaTheme="minorEastAsia" w:hAnsiTheme="minorEastAsia"/>
                <w:color w:val="000000" w:themeColor="text1"/>
              </w:rPr>
              <w:lastRenderedPageBreak/>
              <w:t>业专家、基金经理、资深基金经理、国内权益投资部价值成长组组长兼资深基金经理，自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月起担任上投摩根核心成长股票型证券投资基金基金经理，</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月同时担任上投摩根科技前沿灵活配置混合型证券投资基金基金经理，自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月起同时担任上投摩根阿尔法混合型证券投资基金基金经理，自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月起同时担任上投</w:t>
            </w:r>
            <w:r>
              <w:rPr>
                <w:rFonts w:asciiTheme="minorEastAsia" w:eastAsiaTheme="minorEastAsia" w:hAnsiTheme="minorEastAsia"/>
                <w:color w:val="000000" w:themeColor="text1"/>
              </w:rPr>
              <w:t>摩根双息平衡混合型证券投资基金基金经理，自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月起同时担任上投摩根核心精选股票型证券投资基金基金经理。</w:t>
            </w:r>
          </w:p>
        </w:tc>
      </w:tr>
    </w:tbl>
    <w:p w:rsidR="00D62B60" w:rsidRDefault="008D521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D62B60" w:rsidRDefault="008D521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李博先生为本基金首任基金经理，其任职日期指本基金基金合同生效之日。</w:t>
      </w:r>
    </w:p>
    <w:p w:rsidR="00D62B60" w:rsidRDefault="008D521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4.赵隆隆先生自2021年4月23日起担任上投摩根核心精选股票型证券投资基金的基金经理。</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精选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w:t>
      </w:r>
      <w:r>
        <w:rPr>
          <w:rFonts w:asciiTheme="minorEastAsia" w:eastAsiaTheme="minorEastAsia" w:hAnsiTheme="minorEastAsia"/>
          <w:color w:val="000000" w:themeColor="text1"/>
        </w:rPr>
        <w:t>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w:t>
      </w:r>
      <w:r>
        <w:rPr>
          <w:rFonts w:asciiTheme="minorEastAsia" w:eastAsiaTheme="minorEastAsia" w:hAnsiTheme="minorEastAsia"/>
          <w:color w:val="000000" w:themeColor="text1"/>
        </w:rPr>
        <w:lastRenderedPageBreak/>
        <w:t>保本公司管理的不同投资组合在授权、研究分析、投资决策、交易执行、业绩评估等投资管理活动相关的环节均得到公平对待。</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w:t>
      </w:r>
      <w:r>
        <w:rPr>
          <w:rFonts w:asciiTheme="minorEastAsia" w:eastAsiaTheme="minorEastAsia" w:hAnsiTheme="minorEastAsia"/>
          <w:color w:val="000000" w:themeColor="text1"/>
        </w:rPr>
        <w:t>控制和交易室询价机制，严格防范对手风险并检查价格公允性；对于申购投资行为，本公司遵循价格优先、比例分配的原则，根据事前独立申报的价格和数量对交易结果进行公平分配。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一季度，市场冲高回落，沪深</w:t>
      </w:r>
      <w:r>
        <w:rPr>
          <w:rFonts w:asciiTheme="minorEastAsia" w:eastAsiaTheme="minorEastAsia" w:hAnsiTheme="minorEastAsia"/>
          <w:color w:val="000000" w:themeColor="text1"/>
        </w:rPr>
        <w:t>300</w:t>
      </w:r>
      <w:r>
        <w:rPr>
          <w:rFonts w:asciiTheme="minorEastAsia" w:eastAsiaTheme="minorEastAsia" w:hAnsiTheme="minorEastAsia"/>
          <w:color w:val="000000" w:themeColor="text1"/>
        </w:rPr>
        <w:t>下跌</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，创业板下跌</w:t>
      </w:r>
      <w:r>
        <w:rPr>
          <w:rFonts w:asciiTheme="minorEastAsia" w:eastAsiaTheme="minorEastAsia" w:hAnsiTheme="minorEastAsia"/>
          <w:color w:val="000000" w:themeColor="text1"/>
        </w:rPr>
        <w:t>7.0%</w:t>
      </w:r>
      <w:r>
        <w:rPr>
          <w:rFonts w:asciiTheme="minorEastAsia" w:eastAsiaTheme="minorEastAsia" w:hAnsiTheme="minorEastAsia"/>
          <w:color w:val="000000" w:themeColor="text1"/>
        </w:rPr>
        <w:t>。板块方面，钢铁、公用事业和银行领涨，国防军工、非银金融和通信领跌。今年前</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个月，受去年疫情低基数影响，我国主要经济指标同比呈现大幅增长，如规模以上工业增加值同比增长</w:t>
      </w:r>
      <w:r>
        <w:rPr>
          <w:rFonts w:asciiTheme="minorEastAsia" w:eastAsiaTheme="minorEastAsia" w:hAnsiTheme="minorEastAsia"/>
          <w:color w:val="000000" w:themeColor="text1"/>
        </w:rPr>
        <w:t>35.1%</w:t>
      </w:r>
      <w:r>
        <w:rPr>
          <w:rFonts w:asciiTheme="minorEastAsia" w:eastAsiaTheme="minorEastAsia" w:hAnsiTheme="minorEastAsia"/>
          <w:color w:val="000000" w:themeColor="text1"/>
        </w:rPr>
        <w:t>，固定资产投资同比增长</w:t>
      </w:r>
      <w:r>
        <w:rPr>
          <w:rFonts w:asciiTheme="minorEastAsia" w:eastAsiaTheme="minorEastAsia" w:hAnsiTheme="minorEastAsia"/>
          <w:color w:val="000000" w:themeColor="text1"/>
        </w:rPr>
        <w:t>35.0%</w:t>
      </w:r>
      <w:r>
        <w:rPr>
          <w:rFonts w:asciiTheme="minorEastAsia" w:eastAsiaTheme="minorEastAsia" w:hAnsiTheme="minorEastAsia"/>
          <w:color w:val="000000" w:themeColor="text1"/>
        </w:rPr>
        <w:t>等。伴随着经济回暖，企业盈利增速延续了去年下半年的向好趋势。本基金重点配置了估值和成长相匹配的个股，此外，本季度还减持了部分前期超额收益较多个股，增持了部分市场关注度不高的成长股。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进入二季度，我们判断市场机会将大于风险，A股有望呈现结构性的投资机会。过去2年股价的上涨更多来源于估值的上升，站在目前的时点，我们认为未来公司估值继续提升的可能性大幅降低，我们将更看重公司业绩的增长。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lastRenderedPageBreak/>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本报告期上投摩根核心精选股票份额净值增长率为:15.05%，同期业绩比较基准收益率为:-2.43%。</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报告期内，本基金存在连续二十个工作日基金资产净值低于五千万元的情况，出现该情况的时间范围为</w:t>
      </w:r>
      <w:r>
        <w:rPr>
          <w:rFonts w:asciiTheme="minorEastAsia" w:eastAsiaTheme="minorEastAsia" w:hAnsiTheme="minorEastAsia"/>
          <w:color w:val="000000" w:themeColor="text1"/>
          <w:kern w:val="0"/>
        </w:rPr>
        <w:t>2021</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01</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04</w:t>
      </w:r>
      <w:r>
        <w:rPr>
          <w:rFonts w:asciiTheme="minorEastAsia" w:eastAsiaTheme="minorEastAsia" w:hAnsiTheme="minorEastAsia"/>
          <w:color w:val="000000" w:themeColor="text1"/>
          <w:kern w:val="0"/>
        </w:rPr>
        <w:t>日至</w:t>
      </w:r>
      <w:r>
        <w:rPr>
          <w:rFonts w:asciiTheme="minorEastAsia" w:eastAsiaTheme="minorEastAsia" w:hAnsiTheme="minorEastAsia"/>
          <w:color w:val="000000" w:themeColor="text1"/>
          <w:kern w:val="0"/>
        </w:rPr>
        <w:t>2021</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03</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30</w:t>
      </w:r>
      <w:r>
        <w:rPr>
          <w:rFonts w:asciiTheme="minorEastAsia" w:eastAsiaTheme="minorEastAsia" w:hAnsiTheme="minorEastAsia"/>
          <w:color w:val="000000" w:themeColor="text1"/>
          <w:kern w:val="0"/>
        </w:rPr>
        <w:t>日。</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基金管理人拟调整本基金运作方式，加大营销力度，提升基金规模，方案已报监管机关。</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41,990,807.34</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75.44</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41,990,807.34</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75.44</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10,721,466.04</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19.26</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2,950,076.26</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5.30</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55,662,349.64</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lastRenderedPageBreak/>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33,470,512.26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64.58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868,140.00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154,755.00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74,438.00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0.14</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3,200,453.08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773,444.00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1.49</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122,432.00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0.24</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1,669,244.20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1,657,388.80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41,990,807.34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81.03</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1</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002043</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兔</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宝</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宝</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324,200.00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3,507,844.00</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6.77</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2</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603008</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喜临门</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132,573.00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3,501,252.93</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6.76</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3</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002614</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奥佳华</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124,894.00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2,154,421.50</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4.16</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4</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002236</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大华股份</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74,525.00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1,838,531.75</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3.55</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5</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002572</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索菲亚</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54,929.00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1,808,811.97</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3.49</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6</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002739</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万达电影</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84,120.00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1,534,348.80</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2.96</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lastRenderedPageBreak/>
              <w:t>7</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300433</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蓝思科技</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54,520.00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1,424,607.60</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2.75</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8</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603833</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欧派家居</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9,000.00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1,418,490.00</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2.74</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9</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603661</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恒林股份</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20,800.00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1,286,480.00</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2.48</w:t>
            </w:r>
          </w:p>
        </w:tc>
      </w:tr>
      <w:tr w:rsidR="00D62B60">
        <w:tc>
          <w:tcPr>
            <w:tcW w:w="817" w:type="dxa"/>
            <w:vAlign w:val="center"/>
          </w:tcPr>
          <w:p w:rsidR="00D62B60" w:rsidRDefault="008D5219">
            <w:pPr>
              <w:jc w:val="center"/>
            </w:pPr>
            <w:r>
              <w:rPr>
                <w:rFonts w:asciiTheme="minorEastAsia" w:eastAsiaTheme="minorEastAsia" w:hAnsiTheme="minorEastAsia" w:cs="宋体"/>
                <w:color w:val="000000" w:themeColor="text1"/>
                <w:kern w:val="0"/>
              </w:rPr>
              <w:t>10</w:t>
            </w:r>
          </w:p>
        </w:tc>
        <w:tc>
          <w:tcPr>
            <w:tcW w:w="1276" w:type="dxa"/>
            <w:vAlign w:val="center"/>
          </w:tcPr>
          <w:p w:rsidR="00D62B60" w:rsidRDefault="008D5219">
            <w:pPr>
              <w:jc w:val="center"/>
            </w:pPr>
            <w:r>
              <w:rPr>
                <w:rFonts w:asciiTheme="minorEastAsia" w:eastAsiaTheme="minorEastAsia" w:hAnsiTheme="minorEastAsia" w:cs="宋体"/>
                <w:color w:val="000000" w:themeColor="text1"/>
                <w:kern w:val="0"/>
              </w:rPr>
              <w:t>603018</w:t>
            </w:r>
          </w:p>
        </w:tc>
        <w:tc>
          <w:tcPr>
            <w:tcW w:w="1701" w:type="dxa"/>
            <w:vAlign w:val="center"/>
          </w:tcPr>
          <w:p w:rsidR="00D62B60" w:rsidRDefault="008D5219">
            <w:pPr>
              <w:jc w:val="center"/>
            </w:pPr>
            <w:r>
              <w:rPr>
                <w:rFonts w:asciiTheme="minorEastAsia" w:eastAsiaTheme="minorEastAsia" w:hAnsiTheme="minorEastAsia" w:cs="宋体"/>
                <w:color w:val="000000" w:themeColor="text1"/>
                <w:kern w:val="0"/>
              </w:rPr>
              <w:t>华设集团</w:t>
            </w:r>
          </w:p>
        </w:tc>
        <w:tc>
          <w:tcPr>
            <w:tcW w:w="1276" w:type="dxa"/>
            <w:vAlign w:val="center"/>
          </w:tcPr>
          <w:p w:rsidR="00D62B60" w:rsidRDefault="008D5219">
            <w:pPr>
              <w:jc w:val="right"/>
            </w:pPr>
            <w:r>
              <w:rPr>
                <w:rFonts w:asciiTheme="minorEastAsia" w:eastAsiaTheme="minorEastAsia" w:hAnsiTheme="minorEastAsia" w:cs="宋体"/>
                <w:color w:val="000000" w:themeColor="text1"/>
                <w:kern w:val="0"/>
              </w:rPr>
              <w:t>107,465.00</w:t>
            </w:r>
          </w:p>
        </w:tc>
        <w:tc>
          <w:tcPr>
            <w:tcW w:w="1842" w:type="dxa"/>
            <w:vAlign w:val="center"/>
          </w:tcPr>
          <w:p w:rsidR="00D62B60" w:rsidRDefault="008D5219">
            <w:pPr>
              <w:jc w:val="right"/>
            </w:pPr>
            <w:r>
              <w:rPr>
                <w:rFonts w:asciiTheme="minorEastAsia" w:eastAsiaTheme="minorEastAsia" w:hAnsiTheme="minorEastAsia" w:cs="宋体"/>
                <w:color w:val="000000" w:themeColor="text1"/>
                <w:kern w:val="0"/>
              </w:rPr>
              <w:t>1,276,684.20</w:t>
            </w:r>
          </w:p>
        </w:tc>
        <w:tc>
          <w:tcPr>
            <w:tcW w:w="1616" w:type="dxa"/>
            <w:vAlign w:val="center"/>
          </w:tcPr>
          <w:p w:rsidR="00D62B60" w:rsidRDefault="008D5219">
            <w:pPr>
              <w:jc w:val="right"/>
            </w:pPr>
            <w:r>
              <w:rPr>
                <w:rFonts w:asciiTheme="minorEastAsia" w:eastAsiaTheme="minorEastAsia" w:hAnsiTheme="minorEastAsia" w:cs="宋体"/>
                <w:color w:val="000000" w:themeColor="text1"/>
                <w:kern w:val="0"/>
              </w:rPr>
              <w:t>2.46</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w:t>
      </w:r>
      <w:r>
        <w:rPr>
          <w:rFonts w:asciiTheme="minorEastAsia" w:eastAsiaTheme="minorEastAsia" w:hAnsiTheme="minorEastAsia"/>
          <w:color w:val="000000" w:themeColor="text1"/>
          <w:sz w:val="24"/>
          <w:szCs w:val="24"/>
        </w:rPr>
        <w:lastRenderedPageBreak/>
        <w:t>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14,232.51</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265,834.28</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986.13</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2,669,023.34</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2,950,076.26</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11,978,773.93</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19,215,830.06</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8,305,099.74</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22,889,504.25</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中国证监会准予上投摩根核心精选股票型证券投资基金募集注册的文件；</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《上投摩根核心精选股票型证券投资基金基金合同》；</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《上投摩根核心精选股票型证券投资基金托管协议》；</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《上投摩根开放式基金业务规则》；</w:t>
      </w:r>
    </w:p>
    <w:p w:rsidR="00D62B60" w:rsidRDefault="008D521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lastRenderedPageBreak/>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二〇二一年四月二十二日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8D5219" w:rsidRPr="008D5219">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8D5219">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上投摩根核心精选股票型证券投资基金</w:t>
    </w:r>
    <w:r>
      <w:rPr>
        <w:rFonts w:hint="eastAsia"/>
      </w:rPr>
      <w:t>2021</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D5219"/>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2B60"/>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63E0B-6B3E-4A88-82B9-270A906C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267</cp:revision>
  <dcterms:created xsi:type="dcterms:W3CDTF">2012-10-16T06:07:00Z</dcterms:created>
  <dcterms:modified xsi:type="dcterms:W3CDTF">2021-04-21T02:55:00Z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