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上投摩根核心精选股票型证券投资基金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256DE3">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A40B3A" w:rsidRDefault="0060040C">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A40B3A" w:rsidRDefault="0060040C">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A40B3A" w:rsidRDefault="0060040C">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256DE3" w:rsidRDefault="00256DE3">
      <w:pPr>
        <w:spacing w:line="360" w:lineRule="auto"/>
        <w:ind w:firstLineChars="200" w:firstLine="420"/>
        <w:rPr>
          <w:rFonts w:eastAsiaTheme="minorEastAsia"/>
          <w:szCs w:val="21"/>
        </w:rPr>
      </w:pPr>
      <w:r>
        <w:rPr>
          <w:rFonts w:hAnsi="宋体" w:hint="eastAsia"/>
          <w:color w:val="000000"/>
          <w:kern w:val="0"/>
          <w:szCs w:val="21"/>
        </w:rPr>
        <w:t>本半年度报告摘要摘自半年度报告正文，投资者欲了解详细内容，应阅读半年度报告正文。</w:t>
      </w:r>
    </w:p>
    <w:p w:rsidR="00A40B3A" w:rsidRDefault="0060040C">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rsidP="00AF2916">
      <w:pPr>
        <w:spacing w:line="360" w:lineRule="auto"/>
        <w:ind w:firstLineChars="200" w:firstLine="420"/>
        <w:rPr>
          <w:rFonts w:eastAsiaTheme="minorEastAsia"/>
          <w:b/>
          <w:color w:val="000000"/>
          <w:kern w:val="0"/>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bookmarkStart w:id="3" w:name="_GoBack"/>
      <w:bookmarkEnd w:id="3"/>
      <w:r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374540539"/>
      <w:bookmarkStart w:id="5" w:name="_Toc225498244"/>
      <w:r w:rsidRPr="00C56F63">
        <w:rPr>
          <w:rFonts w:eastAsiaTheme="minorEastAsia"/>
          <w:b/>
          <w:bCs/>
          <w:sz w:val="21"/>
          <w:szCs w:val="21"/>
          <w:lang w:val="en-US"/>
        </w:rPr>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上投摩根核心精选股票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005983</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005983</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11</w:t>
            </w:r>
            <w:r w:rsidRPr="00C56F63">
              <w:rPr>
                <w:rFonts w:eastAsiaTheme="minorEastAsia"/>
                <w:szCs w:val="21"/>
              </w:rPr>
              <w:t>月</w:t>
            </w:r>
            <w:r w:rsidRPr="00C56F63">
              <w:rPr>
                <w:rFonts w:eastAsiaTheme="minorEastAsia"/>
                <w:szCs w:val="21"/>
              </w:rPr>
              <w:t>29</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52,070,369.76</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7"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本基金将充分利用基金管理人投研团队的集体智慧，精选具有长期增长潜力的上市公司，力争获取超越业绩基准的收益。</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A40B3A" w:rsidRDefault="0060040C">
            <w:pPr>
              <w:rPr>
                <w:rFonts w:eastAsiaTheme="minorEastAsia"/>
                <w:szCs w:val="21"/>
              </w:rPr>
            </w:pPr>
            <w:r>
              <w:rPr>
                <w:rFonts w:eastAsiaTheme="minorEastAsia"/>
                <w:szCs w:val="21"/>
              </w:rPr>
              <w:t>1</w:t>
            </w:r>
            <w:r>
              <w:rPr>
                <w:rFonts w:eastAsiaTheme="minorEastAsia"/>
                <w:szCs w:val="21"/>
              </w:rPr>
              <w:t>、资产配置策略</w:t>
            </w:r>
          </w:p>
          <w:p w:rsidR="00A40B3A" w:rsidRDefault="0060040C">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确定合适的资产配置比例。本基金将根据各类证券的风险收益特征的相对变化，适度的调整确定基金资产在股票、债券及现金等类别资产间的分配比例，动态优化投资组合。</w:t>
            </w:r>
          </w:p>
          <w:p w:rsidR="00A40B3A" w:rsidRDefault="0060040C">
            <w:pPr>
              <w:rPr>
                <w:rFonts w:eastAsiaTheme="minorEastAsia"/>
                <w:szCs w:val="21"/>
              </w:rPr>
            </w:pPr>
            <w:r>
              <w:rPr>
                <w:rFonts w:eastAsiaTheme="minorEastAsia"/>
                <w:szCs w:val="21"/>
              </w:rPr>
              <w:t>2</w:t>
            </w:r>
            <w:r>
              <w:rPr>
                <w:rFonts w:eastAsiaTheme="minorEastAsia"/>
                <w:szCs w:val="21"/>
              </w:rPr>
              <w:t>、股票投资策略</w:t>
            </w:r>
          </w:p>
          <w:p w:rsidR="00A40B3A" w:rsidRDefault="0060040C">
            <w:pPr>
              <w:rPr>
                <w:rFonts w:eastAsiaTheme="minorEastAsia"/>
                <w:szCs w:val="21"/>
              </w:rPr>
            </w:pPr>
            <w:r>
              <w:rPr>
                <w:rFonts w:eastAsiaTheme="minorEastAsia"/>
                <w:szCs w:val="21"/>
              </w:rPr>
              <w:t>本基金将充分发挥基金管理人的研究优势，将严谨、规范的选股方法与积极主动的投资风格相结和，通过</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的个股精选策略，精选公司治理良好且具有较好成长性的公司，分享其发展和成长机会。</w:t>
            </w:r>
          </w:p>
          <w:p w:rsidR="00A40B3A" w:rsidRDefault="0060040C">
            <w:pPr>
              <w:rPr>
                <w:rFonts w:eastAsiaTheme="minorEastAsia"/>
                <w:szCs w:val="21"/>
              </w:rPr>
            </w:pPr>
            <w:r>
              <w:rPr>
                <w:rFonts w:eastAsiaTheme="minorEastAsia"/>
                <w:szCs w:val="21"/>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宏观经济、政策走向、行业发展以及个股的深入研究与把握，从核心股票中精选具有良好投资价值的股票，构建股票投资组合。</w:t>
            </w:r>
          </w:p>
          <w:p w:rsidR="00A40B3A" w:rsidRDefault="0060040C">
            <w:pPr>
              <w:rPr>
                <w:rFonts w:eastAsiaTheme="minorEastAsia"/>
                <w:szCs w:val="21"/>
              </w:rPr>
            </w:pPr>
            <w:r>
              <w:rPr>
                <w:rFonts w:eastAsiaTheme="minorEastAsia"/>
                <w:szCs w:val="21"/>
              </w:rPr>
              <w:t>3</w:t>
            </w:r>
            <w:r>
              <w:rPr>
                <w:rFonts w:eastAsiaTheme="minorEastAsia"/>
                <w:szCs w:val="21"/>
              </w:rPr>
              <w:t>、债券投资策略</w:t>
            </w:r>
          </w:p>
          <w:p w:rsidR="006B65E1" w:rsidRPr="00C56F63" w:rsidRDefault="00945F2E">
            <w:pPr>
              <w:rPr>
                <w:rFonts w:eastAsiaTheme="minorEastAsia"/>
                <w:szCs w:val="21"/>
              </w:rPr>
            </w:pPr>
            <w:r w:rsidRPr="00C56F63">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 xml:space="preserve">800 </w:t>
            </w:r>
            <w:r w:rsidRPr="00C56F63">
              <w:rPr>
                <w:rFonts w:eastAsiaTheme="minorEastAsia"/>
                <w:szCs w:val="21"/>
              </w:rPr>
              <w:t>指数收益率</w:t>
            </w:r>
            <w:r w:rsidRPr="00C56F63">
              <w:rPr>
                <w:rFonts w:eastAsiaTheme="minorEastAsia"/>
                <w:szCs w:val="21"/>
              </w:rPr>
              <w:t>×85%+</w:t>
            </w:r>
            <w:r w:rsidRPr="00C56F63">
              <w:rPr>
                <w:rFonts w:eastAsiaTheme="minorEastAsia"/>
                <w:szCs w:val="21"/>
              </w:rPr>
              <w:t>中债总指数收益率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A40B3A" w:rsidRDefault="0060040C">
            <w:pPr>
              <w:rPr>
                <w:rFonts w:eastAsiaTheme="minorEastAsia"/>
                <w:szCs w:val="21"/>
              </w:rPr>
            </w:pPr>
            <w:r>
              <w:rPr>
                <w:rFonts w:eastAsiaTheme="minorEastAsia"/>
                <w:szCs w:val="21"/>
              </w:rPr>
              <w:t>本基金属于股票型基金产品，预期风险和收益水平高于混合型基金、债券型基金和货币市场基金。</w:t>
            </w:r>
          </w:p>
          <w:p w:rsidR="006B65E1" w:rsidRPr="00C56F63" w:rsidRDefault="00945F2E">
            <w:pPr>
              <w:rPr>
                <w:rFonts w:eastAsiaTheme="minorEastAsia"/>
                <w:szCs w:val="21"/>
              </w:rPr>
            </w:pPr>
            <w:r w:rsidRPr="00C56F63">
              <w:rPr>
                <w:rFonts w:eastAsiaTheme="minorEastAsia"/>
                <w:szCs w:val="21"/>
              </w:rPr>
              <w:t>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8" w:name="_Toc225498247"/>
      <w:bookmarkStart w:id="9"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8"/>
      <w:bookmarkEnd w:id="9"/>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 w:name="_Toc390421232"/>
      <w:bookmarkStart w:id="11" w:name="_Toc22549824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0"/>
      <w:bookmarkEnd w:id="1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基金管理人及基金托管人住所</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 w:name="_Toc225498250"/>
      <w:bookmarkStart w:id="13" w:name="_Toc374540545"/>
      <w:bookmarkStart w:id="14" w:name="_Toc194312019"/>
      <w:bookmarkStart w:id="15"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2"/>
      <w:bookmarkEnd w:id="13"/>
    </w:p>
    <w:p w:rsidR="006B65E1" w:rsidRPr="00C56F63" w:rsidRDefault="00945F2E">
      <w:pPr>
        <w:pStyle w:val="2"/>
        <w:spacing w:before="0" w:after="0"/>
        <w:rPr>
          <w:rFonts w:ascii="Times New Roman" w:eastAsiaTheme="minorEastAsia" w:hAnsi="Times New Roman"/>
          <w:kern w:val="0"/>
          <w:sz w:val="21"/>
          <w:szCs w:val="21"/>
        </w:rPr>
      </w:pPr>
      <w:bookmarkStart w:id="16" w:name="_Toc286996129"/>
      <w:bookmarkStart w:id="17"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6"/>
      <w:bookmarkEnd w:id="1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3,835,911.41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6,080,537.71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0.0751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8.33%</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0.0483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56,470,365.97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1.0845</w:t>
            </w:r>
          </w:p>
        </w:tc>
      </w:tr>
    </w:tbl>
    <w:bookmarkEnd w:id="14"/>
    <w:bookmarkEnd w:id="15"/>
    <w:p w:rsidR="00A40B3A" w:rsidRDefault="0060040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18" w:name="_Toc390421236"/>
      <w:bookmarkStart w:id="19"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8"/>
      <w:bookmarkEnd w:id="19"/>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A40B3A">
        <w:tc>
          <w:tcPr>
            <w:tcW w:w="1620" w:type="dxa"/>
            <w:vAlign w:val="center"/>
          </w:tcPr>
          <w:p w:rsidR="00A40B3A" w:rsidRDefault="0060040C">
            <w:pPr>
              <w:jc w:val="left"/>
            </w:pPr>
            <w:r>
              <w:rPr>
                <w:rFonts w:eastAsiaTheme="minorEastAsia"/>
                <w:color w:val="000000"/>
                <w:szCs w:val="21"/>
              </w:rPr>
              <w:t>过去一个月</w:t>
            </w:r>
          </w:p>
        </w:tc>
        <w:tc>
          <w:tcPr>
            <w:tcW w:w="1350" w:type="dxa"/>
            <w:vAlign w:val="center"/>
          </w:tcPr>
          <w:p w:rsidR="00A40B3A" w:rsidRDefault="0060040C">
            <w:pPr>
              <w:jc w:val="center"/>
            </w:pPr>
            <w:r>
              <w:rPr>
                <w:rFonts w:eastAsiaTheme="minorEastAsia"/>
                <w:color w:val="000000"/>
                <w:szCs w:val="21"/>
              </w:rPr>
              <w:t>6.12%</w:t>
            </w:r>
          </w:p>
        </w:tc>
        <w:tc>
          <w:tcPr>
            <w:tcW w:w="1350" w:type="dxa"/>
            <w:vAlign w:val="center"/>
          </w:tcPr>
          <w:p w:rsidR="00A40B3A" w:rsidRDefault="0060040C">
            <w:pPr>
              <w:jc w:val="center"/>
            </w:pPr>
            <w:r>
              <w:rPr>
                <w:rFonts w:eastAsiaTheme="minorEastAsia"/>
                <w:color w:val="000000"/>
                <w:szCs w:val="21"/>
              </w:rPr>
              <w:t>1.28%</w:t>
            </w:r>
          </w:p>
        </w:tc>
        <w:tc>
          <w:tcPr>
            <w:tcW w:w="1350" w:type="dxa"/>
            <w:vAlign w:val="center"/>
          </w:tcPr>
          <w:p w:rsidR="00A40B3A" w:rsidRDefault="0060040C">
            <w:pPr>
              <w:jc w:val="center"/>
            </w:pPr>
            <w:r>
              <w:rPr>
                <w:rFonts w:eastAsiaTheme="minorEastAsia"/>
                <w:color w:val="000000"/>
                <w:szCs w:val="21"/>
              </w:rPr>
              <w:t>3.71%</w:t>
            </w:r>
          </w:p>
        </w:tc>
        <w:tc>
          <w:tcPr>
            <w:tcW w:w="1350" w:type="dxa"/>
            <w:vAlign w:val="center"/>
          </w:tcPr>
          <w:p w:rsidR="00A40B3A" w:rsidRDefault="0060040C">
            <w:pPr>
              <w:jc w:val="center"/>
            </w:pPr>
            <w:r>
              <w:rPr>
                <w:rFonts w:eastAsiaTheme="minorEastAsia"/>
                <w:color w:val="000000"/>
                <w:szCs w:val="21"/>
              </w:rPr>
              <w:t>1.00%</w:t>
            </w:r>
          </w:p>
        </w:tc>
        <w:tc>
          <w:tcPr>
            <w:tcW w:w="1350" w:type="dxa"/>
            <w:vAlign w:val="center"/>
          </w:tcPr>
          <w:p w:rsidR="00A40B3A" w:rsidRDefault="0060040C">
            <w:pPr>
              <w:jc w:val="center"/>
            </w:pPr>
            <w:r>
              <w:rPr>
                <w:rFonts w:eastAsiaTheme="minorEastAsia"/>
                <w:color w:val="000000"/>
                <w:szCs w:val="21"/>
              </w:rPr>
              <w:t>2.41%</w:t>
            </w:r>
          </w:p>
        </w:tc>
        <w:tc>
          <w:tcPr>
            <w:tcW w:w="1350" w:type="dxa"/>
            <w:vAlign w:val="center"/>
          </w:tcPr>
          <w:p w:rsidR="00A40B3A" w:rsidRDefault="0060040C">
            <w:pPr>
              <w:jc w:val="center"/>
            </w:pPr>
            <w:r>
              <w:rPr>
                <w:rFonts w:eastAsiaTheme="minorEastAsia"/>
                <w:color w:val="000000"/>
                <w:szCs w:val="21"/>
              </w:rPr>
              <w:t>0.28%</w:t>
            </w:r>
          </w:p>
        </w:tc>
      </w:tr>
      <w:tr w:rsidR="00A40B3A">
        <w:tc>
          <w:tcPr>
            <w:tcW w:w="1620" w:type="dxa"/>
            <w:vAlign w:val="center"/>
          </w:tcPr>
          <w:p w:rsidR="00A40B3A" w:rsidRDefault="0060040C">
            <w:pPr>
              <w:jc w:val="left"/>
            </w:pPr>
            <w:r>
              <w:rPr>
                <w:rFonts w:eastAsiaTheme="minorEastAsia"/>
                <w:color w:val="000000"/>
                <w:szCs w:val="21"/>
              </w:rPr>
              <w:t>过去三个月</w:t>
            </w:r>
          </w:p>
        </w:tc>
        <w:tc>
          <w:tcPr>
            <w:tcW w:w="1350" w:type="dxa"/>
            <w:vAlign w:val="center"/>
          </w:tcPr>
          <w:p w:rsidR="00A40B3A" w:rsidRDefault="0060040C">
            <w:pPr>
              <w:jc w:val="center"/>
            </w:pPr>
            <w:r>
              <w:rPr>
                <w:rFonts w:eastAsiaTheme="minorEastAsia"/>
                <w:color w:val="000000"/>
                <w:szCs w:val="21"/>
              </w:rPr>
              <w:t>5.67%</w:t>
            </w:r>
          </w:p>
        </w:tc>
        <w:tc>
          <w:tcPr>
            <w:tcW w:w="1350" w:type="dxa"/>
            <w:vAlign w:val="center"/>
          </w:tcPr>
          <w:p w:rsidR="00A40B3A" w:rsidRDefault="0060040C">
            <w:pPr>
              <w:jc w:val="center"/>
            </w:pPr>
            <w:r>
              <w:rPr>
                <w:rFonts w:eastAsiaTheme="minorEastAsia"/>
                <w:color w:val="000000"/>
                <w:szCs w:val="21"/>
              </w:rPr>
              <w:t>0.85%</w:t>
            </w:r>
          </w:p>
        </w:tc>
        <w:tc>
          <w:tcPr>
            <w:tcW w:w="1350" w:type="dxa"/>
            <w:vAlign w:val="center"/>
          </w:tcPr>
          <w:p w:rsidR="00A40B3A" w:rsidRDefault="0060040C">
            <w:pPr>
              <w:jc w:val="center"/>
            </w:pPr>
            <w:r>
              <w:rPr>
                <w:rFonts w:eastAsiaTheme="minorEastAsia"/>
                <w:color w:val="000000"/>
                <w:szCs w:val="21"/>
              </w:rPr>
              <w:t>-3.14%</w:t>
            </w:r>
          </w:p>
        </w:tc>
        <w:tc>
          <w:tcPr>
            <w:tcW w:w="1350" w:type="dxa"/>
            <w:vAlign w:val="center"/>
          </w:tcPr>
          <w:p w:rsidR="00A40B3A" w:rsidRDefault="0060040C">
            <w:pPr>
              <w:jc w:val="center"/>
            </w:pPr>
            <w:r>
              <w:rPr>
                <w:rFonts w:eastAsiaTheme="minorEastAsia"/>
                <w:color w:val="000000"/>
                <w:szCs w:val="21"/>
              </w:rPr>
              <w:t>1.33%</w:t>
            </w:r>
          </w:p>
        </w:tc>
        <w:tc>
          <w:tcPr>
            <w:tcW w:w="1350" w:type="dxa"/>
            <w:vAlign w:val="center"/>
          </w:tcPr>
          <w:p w:rsidR="00A40B3A" w:rsidRDefault="0060040C">
            <w:pPr>
              <w:jc w:val="center"/>
            </w:pPr>
            <w:r>
              <w:rPr>
                <w:rFonts w:eastAsiaTheme="minorEastAsia"/>
                <w:color w:val="000000"/>
                <w:szCs w:val="21"/>
              </w:rPr>
              <w:t>8.81%</w:t>
            </w:r>
          </w:p>
        </w:tc>
        <w:tc>
          <w:tcPr>
            <w:tcW w:w="1350" w:type="dxa"/>
            <w:vAlign w:val="center"/>
          </w:tcPr>
          <w:p w:rsidR="00A40B3A" w:rsidRDefault="0060040C">
            <w:pPr>
              <w:jc w:val="center"/>
            </w:pPr>
            <w:r>
              <w:rPr>
                <w:rFonts w:eastAsiaTheme="minorEastAsia"/>
                <w:color w:val="000000"/>
                <w:szCs w:val="21"/>
              </w:rPr>
              <w:t>-0.48%</w:t>
            </w:r>
          </w:p>
        </w:tc>
      </w:tr>
      <w:tr w:rsidR="00A40B3A">
        <w:tc>
          <w:tcPr>
            <w:tcW w:w="1620" w:type="dxa"/>
            <w:vAlign w:val="center"/>
          </w:tcPr>
          <w:p w:rsidR="00A40B3A" w:rsidRDefault="0060040C">
            <w:pPr>
              <w:jc w:val="left"/>
            </w:pPr>
            <w:r>
              <w:rPr>
                <w:rFonts w:eastAsiaTheme="minorEastAsia"/>
                <w:color w:val="000000"/>
                <w:szCs w:val="21"/>
              </w:rPr>
              <w:t>过去六个月</w:t>
            </w:r>
          </w:p>
        </w:tc>
        <w:tc>
          <w:tcPr>
            <w:tcW w:w="1350" w:type="dxa"/>
            <w:vAlign w:val="center"/>
          </w:tcPr>
          <w:p w:rsidR="00A40B3A" w:rsidRDefault="0060040C">
            <w:pPr>
              <w:jc w:val="center"/>
            </w:pPr>
            <w:r>
              <w:rPr>
                <w:rFonts w:eastAsiaTheme="minorEastAsia"/>
                <w:color w:val="000000"/>
                <w:szCs w:val="21"/>
              </w:rPr>
              <w:t>8.33%</w:t>
            </w:r>
          </w:p>
        </w:tc>
        <w:tc>
          <w:tcPr>
            <w:tcW w:w="1350" w:type="dxa"/>
            <w:vAlign w:val="center"/>
          </w:tcPr>
          <w:p w:rsidR="00A40B3A" w:rsidRDefault="0060040C">
            <w:pPr>
              <w:jc w:val="center"/>
            </w:pPr>
            <w:r>
              <w:rPr>
                <w:rFonts w:eastAsiaTheme="minorEastAsia"/>
                <w:color w:val="000000"/>
                <w:szCs w:val="21"/>
              </w:rPr>
              <w:t>0.63%</w:t>
            </w:r>
          </w:p>
        </w:tc>
        <w:tc>
          <w:tcPr>
            <w:tcW w:w="1350" w:type="dxa"/>
            <w:vAlign w:val="center"/>
          </w:tcPr>
          <w:p w:rsidR="00A40B3A" w:rsidRDefault="0060040C">
            <w:pPr>
              <w:jc w:val="center"/>
            </w:pPr>
            <w:r>
              <w:rPr>
                <w:rFonts w:eastAsiaTheme="minorEastAsia"/>
                <w:color w:val="000000"/>
                <w:szCs w:val="21"/>
              </w:rPr>
              <w:t>21.23%</w:t>
            </w:r>
          </w:p>
        </w:tc>
        <w:tc>
          <w:tcPr>
            <w:tcW w:w="1350" w:type="dxa"/>
            <w:vAlign w:val="center"/>
          </w:tcPr>
          <w:p w:rsidR="00A40B3A" w:rsidRDefault="0060040C">
            <w:pPr>
              <w:jc w:val="center"/>
            </w:pPr>
            <w:r>
              <w:rPr>
                <w:rFonts w:eastAsiaTheme="minorEastAsia"/>
                <w:color w:val="000000"/>
                <w:szCs w:val="21"/>
              </w:rPr>
              <w:t>1.33%</w:t>
            </w:r>
          </w:p>
        </w:tc>
        <w:tc>
          <w:tcPr>
            <w:tcW w:w="1350" w:type="dxa"/>
            <w:vAlign w:val="center"/>
          </w:tcPr>
          <w:p w:rsidR="00A40B3A" w:rsidRDefault="0060040C">
            <w:pPr>
              <w:jc w:val="center"/>
            </w:pPr>
            <w:r>
              <w:rPr>
                <w:rFonts w:eastAsiaTheme="minorEastAsia"/>
                <w:color w:val="000000"/>
                <w:szCs w:val="21"/>
              </w:rPr>
              <w:t>-12.90%</w:t>
            </w:r>
          </w:p>
        </w:tc>
        <w:tc>
          <w:tcPr>
            <w:tcW w:w="1350" w:type="dxa"/>
            <w:vAlign w:val="center"/>
          </w:tcPr>
          <w:p w:rsidR="00A40B3A" w:rsidRDefault="0060040C">
            <w:pPr>
              <w:jc w:val="center"/>
            </w:pPr>
            <w:r>
              <w:rPr>
                <w:rFonts w:eastAsiaTheme="minorEastAsia"/>
                <w:color w:val="000000"/>
                <w:szCs w:val="21"/>
              </w:rPr>
              <w:t>-0.70%</w:t>
            </w:r>
          </w:p>
        </w:tc>
      </w:tr>
      <w:tr w:rsidR="00A40B3A">
        <w:tc>
          <w:tcPr>
            <w:tcW w:w="1620" w:type="dxa"/>
            <w:vAlign w:val="center"/>
          </w:tcPr>
          <w:p w:rsidR="00A40B3A" w:rsidRDefault="0060040C">
            <w:pPr>
              <w:jc w:val="left"/>
            </w:pPr>
            <w:r>
              <w:rPr>
                <w:rFonts w:eastAsiaTheme="minorEastAsia"/>
                <w:color w:val="000000"/>
                <w:szCs w:val="21"/>
              </w:rPr>
              <w:t>过去一年</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r>
      <w:tr w:rsidR="00A40B3A">
        <w:tc>
          <w:tcPr>
            <w:tcW w:w="1620" w:type="dxa"/>
            <w:vAlign w:val="center"/>
          </w:tcPr>
          <w:p w:rsidR="00A40B3A" w:rsidRDefault="0060040C">
            <w:pPr>
              <w:jc w:val="left"/>
            </w:pPr>
            <w:r>
              <w:rPr>
                <w:rFonts w:eastAsiaTheme="minorEastAsia"/>
                <w:color w:val="000000"/>
                <w:szCs w:val="21"/>
              </w:rPr>
              <w:t>过去三年</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c>
          <w:tcPr>
            <w:tcW w:w="1350" w:type="dxa"/>
            <w:vAlign w:val="center"/>
          </w:tcPr>
          <w:p w:rsidR="00A40B3A" w:rsidRDefault="0060040C">
            <w:pPr>
              <w:jc w:val="center"/>
            </w:pPr>
            <w:r>
              <w:rPr>
                <w:rFonts w:eastAsiaTheme="minorEastAsia"/>
                <w:color w:val="000000"/>
                <w:szCs w:val="21"/>
              </w:rPr>
              <w:t>-</w:t>
            </w:r>
          </w:p>
        </w:tc>
      </w:tr>
      <w:tr w:rsidR="00A40B3A">
        <w:tc>
          <w:tcPr>
            <w:tcW w:w="1620" w:type="dxa"/>
            <w:vAlign w:val="center"/>
          </w:tcPr>
          <w:p w:rsidR="00A40B3A" w:rsidRDefault="0060040C">
            <w:pPr>
              <w:jc w:val="left"/>
            </w:pPr>
            <w:r>
              <w:rPr>
                <w:rFonts w:eastAsiaTheme="minorEastAsia"/>
                <w:color w:val="000000"/>
                <w:szCs w:val="21"/>
              </w:rPr>
              <w:t>自基金合同生效起至今</w:t>
            </w:r>
          </w:p>
        </w:tc>
        <w:tc>
          <w:tcPr>
            <w:tcW w:w="1350" w:type="dxa"/>
            <w:vAlign w:val="center"/>
          </w:tcPr>
          <w:p w:rsidR="00A40B3A" w:rsidRDefault="0060040C">
            <w:pPr>
              <w:jc w:val="center"/>
            </w:pPr>
            <w:r>
              <w:rPr>
                <w:rFonts w:eastAsiaTheme="minorEastAsia"/>
                <w:color w:val="000000"/>
                <w:szCs w:val="21"/>
              </w:rPr>
              <w:t>8.45%</w:t>
            </w:r>
          </w:p>
        </w:tc>
        <w:tc>
          <w:tcPr>
            <w:tcW w:w="1350" w:type="dxa"/>
            <w:vAlign w:val="center"/>
          </w:tcPr>
          <w:p w:rsidR="00A40B3A" w:rsidRDefault="0060040C">
            <w:pPr>
              <w:jc w:val="center"/>
            </w:pPr>
            <w:r>
              <w:rPr>
                <w:rFonts w:eastAsiaTheme="minorEastAsia"/>
                <w:color w:val="000000"/>
                <w:szCs w:val="21"/>
              </w:rPr>
              <w:t>0.58%</w:t>
            </w:r>
          </w:p>
        </w:tc>
        <w:tc>
          <w:tcPr>
            <w:tcW w:w="1350" w:type="dxa"/>
            <w:vAlign w:val="center"/>
          </w:tcPr>
          <w:p w:rsidR="00A40B3A" w:rsidRDefault="0060040C">
            <w:pPr>
              <w:jc w:val="center"/>
            </w:pPr>
            <w:r>
              <w:rPr>
                <w:rFonts w:eastAsiaTheme="minorEastAsia"/>
                <w:color w:val="000000"/>
                <w:szCs w:val="21"/>
              </w:rPr>
              <w:t>15.57%</w:t>
            </w:r>
          </w:p>
        </w:tc>
        <w:tc>
          <w:tcPr>
            <w:tcW w:w="1350" w:type="dxa"/>
            <w:vAlign w:val="center"/>
          </w:tcPr>
          <w:p w:rsidR="00A40B3A" w:rsidRDefault="0060040C">
            <w:pPr>
              <w:jc w:val="center"/>
            </w:pPr>
            <w:r>
              <w:rPr>
                <w:rFonts w:eastAsiaTheme="minorEastAsia"/>
                <w:color w:val="000000"/>
                <w:szCs w:val="21"/>
              </w:rPr>
              <w:t>1.28%</w:t>
            </w:r>
          </w:p>
        </w:tc>
        <w:tc>
          <w:tcPr>
            <w:tcW w:w="1350" w:type="dxa"/>
            <w:vAlign w:val="center"/>
          </w:tcPr>
          <w:p w:rsidR="00A40B3A" w:rsidRDefault="0060040C">
            <w:pPr>
              <w:jc w:val="center"/>
            </w:pPr>
            <w:r>
              <w:rPr>
                <w:rFonts w:eastAsiaTheme="minorEastAsia"/>
                <w:color w:val="000000"/>
                <w:szCs w:val="21"/>
              </w:rPr>
              <w:t>-7.12%</w:t>
            </w:r>
          </w:p>
        </w:tc>
        <w:tc>
          <w:tcPr>
            <w:tcW w:w="1350" w:type="dxa"/>
            <w:vAlign w:val="center"/>
          </w:tcPr>
          <w:p w:rsidR="00A40B3A" w:rsidRDefault="0060040C">
            <w:pPr>
              <w:jc w:val="center"/>
            </w:pPr>
            <w:r>
              <w:rPr>
                <w:rFonts w:eastAsiaTheme="minorEastAsia"/>
                <w:color w:val="000000"/>
                <w:szCs w:val="21"/>
              </w:rPr>
              <w:t>-0.70%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*85%+</w:t>
      </w:r>
      <w:r w:rsidRPr="00C56F63">
        <w:rPr>
          <w:rFonts w:eastAsiaTheme="minorEastAsia"/>
          <w:kern w:val="0"/>
          <w:szCs w:val="21"/>
        </w:rPr>
        <w:t>中债总指数收益率</w:t>
      </w:r>
      <w:r w:rsidRPr="00C56F63">
        <w:rPr>
          <w:rFonts w:eastAsiaTheme="minorEastAsia"/>
          <w:kern w:val="0"/>
          <w:szCs w:val="21"/>
        </w:rPr>
        <w:t>*15%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上投摩根核心精选股票型证券投资基金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2018</w:t>
      </w:r>
      <w:r w:rsidRPr="00C56F63">
        <w:rPr>
          <w:rFonts w:ascii="Times New Roman" w:eastAsiaTheme="minorEastAsia" w:hAnsi="Times New Roman"/>
        </w:rPr>
        <w:t>年</w:t>
      </w:r>
      <w:r w:rsidRPr="00C56F63">
        <w:rPr>
          <w:rFonts w:ascii="Times New Roman" w:eastAsiaTheme="minorEastAsia" w:hAnsi="Times New Roman"/>
        </w:rPr>
        <w:t>11</w:t>
      </w:r>
      <w:r w:rsidRPr="00C56F63">
        <w:rPr>
          <w:rFonts w:ascii="Times New Roman" w:eastAsiaTheme="minorEastAsia" w:hAnsi="Times New Roman"/>
        </w:rPr>
        <w:t>月</w:t>
      </w:r>
      <w:r w:rsidRPr="00C56F63">
        <w:rPr>
          <w:rFonts w:ascii="Times New Roman" w:eastAsiaTheme="minorEastAsia" w:hAnsi="Times New Roman"/>
        </w:rPr>
        <w:t>29</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4BCCB10E" wp14:editId="06B14D31">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A40B3A" w:rsidRDefault="0060040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29</w:t>
      </w:r>
      <w:r>
        <w:rPr>
          <w:rFonts w:eastAsiaTheme="minorEastAsia"/>
          <w:kern w:val="0"/>
          <w:szCs w:val="21"/>
        </w:rPr>
        <w:t>日，截至报告期末本基金合同生效未满一年。</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本基金建仓期自</w:t>
      </w:r>
      <w:r w:rsidRPr="00C56F63">
        <w:rPr>
          <w:rFonts w:eastAsiaTheme="minorEastAsia"/>
          <w:kern w:val="0"/>
          <w:szCs w:val="21"/>
        </w:rPr>
        <w:t>2018</w:t>
      </w:r>
      <w:r w:rsidRPr="00C56F63">
        <w:rPr>
          <w:rFonts w:eastAsiaTheme="minorEastAsia"/>
          <w:kern w:val="0"/>
          <w:szCs w:val="21"/>
        </w:rPr>
        <w:t>年</w:t>
      </w:r>
      <w:r w:rsidRPr="00C56F63">
        <w:rPr>
          <w:rFonts w:eastAsiaTheme="minorEastAsia"/>
          <w:kern w:val="0"/>
          <w:szCs w:val="21"/>
        </w:rPr>
        <w:t>11</w:t>
      </w:r>
      <w:r w:rsidRPr="00C56F63">
        <w:rPr>
          <w:rFonts w:eastAsiaTheme="minorEastAsia"/>
          <w:kern w:val="0"/>
          <w:szCs w:val="21"/>
        </w:rPr>
        <w:t>月</w:t>
      </w:r>
      <w:r w:rsidRPr="00C56F63">
        <w:rPr>
          <w:rFonts w:eastAsiaTheme="minorEastAsia"/>
          <w:kern w:val="0"/>
          <w:szCs w:val="21"/>
        </w:rPr>
        <w:t>29</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5</w:t>
      </w:r>
      <w:r w:rsidRPr="00C56F63">
        <w:rPr>
          <w:rFonts w:eastAsiaTheme="minorEastAsia"/>
          <w:kern w:val="0"/>
          <w:szCs w:val="21"/>
        </w:rPr>
        <w:t>月</w:t>
      </w:r>
      <w:r w:rsidRPr="00C56F63">
        <w:rPr>
          <w:rFonts w:eastAsiaTheme="minorEastAsia"/>
          <w:kern w:val="0"/>
          <w:szCs w:val="21"/>
        </w:rPr>
        <w:t>28</w:t>
      </w:r>
      <w:r w:rsidRPr="00C56F63">
        <w:rPr>
          <w:rFonts w:eastAsiaTheme="minorEastAsia"/>
          <w:kern w:val="0"/>
          <w:szCs w:val="21"/>
        </w:rPr>
        <w:t>日，建仓期结束时资产配置比例符合本基金基金合同规定。</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0" w:name="_Toc374540548"/>
      <w:bookmarkStart w:id="21"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0"/>
      <w:bookmarkEnd w:id="21"/>
    </w:p>
    <w:p w:rsidR="006B65E1" w:rsidRPr="00C56F63" w:rsidRDefault="00945F2E">
      <w:pPr>
        <w:pStyle w:val="2"/>
        <w:spacing w:before="0" w:after="0"/>
        <w:rPr>
          <w:rFonts w:ascii="Times New Roman" w:eastAsiaTheme="minorEastAsia" w:hAnsi="Times New Roman"/>
          <w:kern w:val="0"/>
          <w:sz w:val="21"/>
          <w:szCs w:val="21"/>
        </w:rPr>
      </w:pPr>
      <w:bookmarkStart w:id="22"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A40B3A">
        <w:tc>
          <w:tcPr>
            <w:tcW w:w="1090" w:type="dxa"/>
            <w:vAlign w:val="center"/>
          </w:tcPr>
          <w:p w:rsidR="00A40B3A" w:rsidRDefault="0060040C">
            <w:pPr>
              <w:jc w:val="center"/>
            </w:pPr>
            <w:r>
              <w:rPr>
                <w:rFonts w:eastAsiaTheme="minorEastAsia"/>
                <w:color w:val="000000"/>
                <w:szCs w:val="21"/>
              </w:rPr>
              <w:t>李博</w:t>
            </w:r>
          </w:p>
        </w:tc>
        <w:tc>
          <w:tcPr>
            <w:tcW w:w="1500" w:type="dxa"/>
            <w:vAlign w:val="center"/>
          </w:tcPr>
          <w:p w:rsidR="00A40B3A" w:rsidRDefault="0060040C">
            <w:pPr>
              <w:jc w:val="center"/>
            </w:pPr>
            <w:r>
              <w:rPr>
                <w:rFonts w:eastAsiaTheme="minorEastAsia"/>
                <w:color w:val="000000"/>
                <w:szCs w:val="21"/>
              </w:rPr>
              <w:t>本基金基金经理</w:t>
            </w:r>
          </w:p>
        </w:tc>
        <w:tc>
          <w:tcPr>
            <w:tcW w:w="1190" w:type="dxa"/>
            <w:vAlign w:val="center"/>
          </w:tcPr>
          <w:p w:rsidR="00A40B3A" w:rsidRDefault="0060040C">
            <w:pPr>
              <w:jc w:val="center"/>
            </w:pPr>
            <w:r>
              <w:rPr>
                <w:rFonts w:eastAsiaTheme="minorEastAsia"/>
                <w:color w:val="000000"/>
                <w:szCs w:val="21"/>
              </w:rPr>
              <w:t>2018-11-29</w:t>
            </w:r>
          </w:p>
        </w:tc>
        <w:tc>
          <w:tcPr>
            <w:tcW w:w="1260" w:type="dxa"/>
            <w:vAlign w:val="center"/>
          </w:tcPr>
          <w:p w:rsidR="00A40B3A" w:rsidRDefault="0060040C">
            <w:pPr>
              <w:jc w:val="center"/>
            </w:pPr>
            <w:r>
              <w:rPr>
                <w:rFonts w:eastAsiaTheme="minorEastAsia"/>
                <w:color w:val="000000"/>
                <w:szCs w:val="21"/>
              </w:rPr>
              <w:t>-</w:t>
            </w:r>
          </w:p>
        </w:tc>
        <w:tc>
          <w:tcPr>
            <w:tcW w:w="1236" w:type="dxa"/>
            <w:vAlign w:val="center"/>
          </w:tcPr>
          <w:p w:rsidR="00A40B3A" w:rsidRDefault="0060040C">
            <w:pPr>
              <w:jc w:val="center"/>
            </w:pPr>
            <w:r>
              <w:rPr>
                <w:rFonts w:eastAsiaTheme="minorEastAsia"/>
                <w:color w:val="000000"/>
                <w:szCs w:val="21"/>
              </w:rPr>
              <w:t>10</w:t>
            </w:r>
            <w:r>
              <w:rPr>
                <w:rFonts w:eastAsiaTheme="minorEastAsia"/>
                <w:color w:val="000000"/>
                <w:szCs w:val="21"/>
              </w:rPr>
              <w:t>年</w:t>
            </w:r>
          </w:p>
        </w:tc>
        <w:tc>
          <w:tcPr>
            <w:tcW w:w="3264" w:type="dxa"/>
            <w:vAlign w:val="center"/>
          </w:tcPr>
          <w:p w:rsidR="00A40B3A" w:rsidRDefault="0060040C">
            <w:r>
              <w:rPr>
                <w:rFonts w:eastAsiaTheme="minorEastAsia"/>
                <w:color w:val="000000"/>
                <w:szCs w:val="21"/>
              </w:rPr>
              <w:t>李博先生，上海交通大学硕士，自</w:t>
            </w:r>
            <w:r>
              <w:rPr>
                <w:rFonts w:eastAsiaTheme="minorEastAsia"/>
                <w:color w:val="000000"/>
                <w:szCs w:val="21"/>
              </w:rPr>
              <w:t>2009</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10</w:t>
            </w:r>
            <w:r>
              <w:rPr>
                <w:rFonts w:eastAsiaTheme="minorEastAsia"/>
                <w:color w:val="000000"/>
                <w:szCs w:val="21"/>
              </w:rPr>
              <w:t>月在中银国际证券有限公司担任研究员，负责研究方面的工作，自</w:t>
            </w:r>
            <w:r>
              <w:rPr>
                <w:rFonts w:eastAsiaTheme="minorEastAsia"/>
                <w:color w:val="000000"/>
                <w:szCs w:val="21"/>
              </w:rPr>
              <w:t>2010</w:t>
            </w:r>
            <w:r>
              <w:rPr>
                <w:rFonts w:eastAsiaTheme="minorEastAsia"/>
                <w:color w:val="000000"/>
                <w:szCs w:val="21"/>
              </w:rPr>
              <w:t>年</w:t>
            </w:r>
            <w:r>
              <w:rPr>
                <w:rFonts w:eastAsiaTheme="minorEastAsia"/>
                <w:color w:val="000000"/>
                <w:szCs w:val="21"/>
              </w:rPr>
              <w:t>11</w:t>
            </w:r>
            <w:r>
              <w:rPr>
                <w:rFonts w:eastAsiaTheme="minorEastAsia"/>
                <w:color w:val="000000"/>
                <w:szCs w:val="21"/>
              </w:rPr>
              <w:t>月起加入上投摩根基金管理有限公司，先后担任行业专家、基金经理、资深基金经理，自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月起担任上投摩根核心成长股票型证券投资基金基金经理，自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月担任上投摩根科技前沿灵活配置混合型证券投资基金基金经理，自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月起同时担任上投摩根阿尔法混合型证券投资基金基金经理，自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月起同时担任上投摩根双息平衡混合型证券投资基金基金经理，自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月起同时担任上投摩根核心精选股票型证券投资基金基金经理。</w:t>
            </w:r>
          </w:p>
        </w:tc>
      </w:tr>
    </w:tbl>
    <w:p w:rsidR="0060040C" w:rsidRDefault="0060040C" w:rsidP="0060040C">
      <w:pPr>
        <w:autoSpaceDE w:val="0"/>
        <w:autoSpaceDN w:val="0"/>
        <w:adjustRightInd w:val="0"/>
        <w:spacing w:line="360" w:lineRule="auto"/>
        <w:jc w:val="left"/>
        <w:rPr>
          <w:rFonts w:asciiTheme="minorEastAsia" w:eastAsiaTheme="minorEastAsia" w:hAnsiTheme="minorEastAsia"/>
          <w:color w:val="000000" w:themeColor="text1"/>
        </w:rPr>
      </w:pPr>
      <w:bookmarkStart w:id="23" w:name="_Toc225498256"/>
      <w:bookmarkStart w:id="24" w:name="_Toc390421239"/>
      <w:r>
        <w:rPr>
          <w:rFonts w:asciiTheme="minorEastAsia" w:eastAsiaTheme="minorEastAsia" w:hAnsiTheme="minorEastAsia"/>
          <w:color w:val="000000" w:themeColor="text1"/>
        </w:rPr>
        <w:t>注：1.任职日期和离任日期均指根据公司决定确定的聘任日期和解聘日期。</w:t>
      </w:r>
    </w:p>
    <w:p w:rsidR="0060040C" w:rsidRDefault="0060040C" w:rsidP="0060040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李博先生为本基金首任基金经理，其任职日期指本基金基金合同生效之日。</w:t>
      </w:r>
    </w:p>
    <w:p w:rsidR="0060040C" w:rsidRDefault="0060040C" w:rsidP="0060040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23"/>
      <w:bookmarkEnd w:id="2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核心精选股票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5" w:name="_Toc225498257"/>
      <w:bookmarkStart w:id="26" w:name="_Toc390421240"/>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25"/>
      <w:bookmarkEnd w:id="2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7" w:name="_Toc225498258"/>
      <w:bookmarkStart w:id="28"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7"/>
      <w:bookmarkEnd w:id="28"/>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上半年，市场出现较大幅度上涨，其中沪深</w:t>
      </w:r>
      <w:r w:rsidRPr="00C56F63">
        <w:rPr>
          <w:rFonts w:eastAsiaTheme="minorEastAsia"/>
          <w:color w:val="000000"/>
          <w:szCs w:val="21"/>
        </w:rPr>
        <w:t>300</w:t>
      </w:r>
      <w:r w:rsidRPr="00C56F63">
        <w:rPr>
          <w:rFonts w:eastAsiaTheme="minorEastAsia"/>
          <w:color w:val="000000"/>
          <w:szCs w:val="21"/>
        </w:rPr>
        <w:t>上涨</w:t>
      </w:r>
      <w:r w:rsidRPr="00C56F63">
        <w:rPr>
          <w:rFonts w:eastAsiaTheme="minorEastAsia"/>
          <w:color w:val="000000"/>
          <w:szCs w:val="21"/>
        </w:rPr>
        <w:t>27.1%</w:t>
      </w:r>
      <w:r w:rsidRPr="00C56F63">
        <w:rPr>
          <w:rFonts w:eastAsiaTheme="minorEastAsia"/>
          <w:color w:val="000000"/>
          <w:szCs w:val="21"/>
        </w:rPr>
        <w:t>，创业板上涨</w:t>
      </w:r>
      <w:r w:rsidRPr="00C56F63">
        <w:rPr>
          <w:rFonts w:eastAsiaTheme="minorEastAsia"/>
          <w:color w:val="000000"/>
          <w:szCs w:val="21"/>
        </w:rPr>
        <w:t>20.9%</w:t>
      </w:r>
      <w:r w:rsidRPr="00C56F63">
        <w:rPr>
          <w:rFonts w:eastAsiaTheme="minorEastAsia"/>
          <w:color w:val="000000"/>
          <w:szCs w:val="21"/>
        </w:rPr>
        <w:t>。板块方面，食品饮料、非银金融和农林牧渔领涨，建筑、传媒和汽车涨幅居后。伴随着中美贸易摩擦缓解、降增值税率等政策红利，国内经济复苏可期。本基金重点配置了估值和成长相匹配的个股，此外，上半年还减持了部分前期超额收益较多个股，增持了部分市场关注度不高的成长股。</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本报告期上投摩根核心精选股票份额净值增长率为</w:t>
      </w:r>
      <w:r w:rsidRPr="00C56F63">
        <w:rPr>
          <w:rFonts w:eastAsiaTheme="minorEastAsia"/>
          <w:color w:val="000000"/>
          <w:szCs w:val="21"/>
        </w:rPr>
        <w:t>:8.33%</w:t>
      </w:r>
      <w:r w:rsidRPr="00C56F63">
        <w:rPr>
          <w:rFonts w:eastAsiaTheme="minorEastAsia"/>
          <w:color w:val="000000"/>
          <w:szCs w:val="21"/>
        </w:rPr>
        <w:t>，同期业绩比较基准收益率为</w:t>
      </w:r>
      <w:r w:rsidRPr="00C56F63">
        <w:rPr>
          <w:rFonts w:eastAsiaTheme="minorEastAsia"/>
          <w:color w:val="000000"/>
          <w:szCs w:val="21"/>
        </w:rPr>
        <w:t>:21.23%</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9" w:name="_Toc225498259"/>
      <w:bookmarkStart w:id="30" w:name="_Toc390421242"/>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29"/>
      <w:bookmarkEnd w:id="3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进入下半年，我们判断市场机会将大于风险，</w:t>
      </w:r>
      <w:r w:rsidRPr="00C56F63">
        <w:rPr>
          <w:rFonts w:eastAsiaTheme="minorEastAsia"/>
          <w:color w:val="000000"/>
          <w:szCs w:val="21"/>
        </w:rPr>
        <w:t>A</w:t>
      </w:r>
      <w:r w:rsidRPr="00C56F63">
        <w:rPr>
          <w:rFonts w:eastAsiaTheme="minorEastAsia"/>
          <w:color w:val="000000"/>
          <w:szCs w:val="21"/>
        </w:rPr>
        <w:t>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1" w:name="_Toc390421243"/>
      <w:bookmarkStart w:id="32" w:name="_Toc247959457"/>
      <w:bookmarkStart w:id="33"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1"/>
      <w:bookmarkEnd w:id="32"/>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390421244"/>
      <w:bookmarkStart w:id="35" w:name="_Toc247959458"/>
      <w:bookmarkStart w:id="36"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4"/>
      <w:bookmarkEnd w:id="35"/>
      <w:bookmarkEnd w:id="3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37" w:name="_Toc374540556"/>
      <w:bookmarkStart w:id="38" w:name="_Toc22549826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37"/>
      <w:bookmarkEnd w:id="38"/>
    </w:p>
    <w:p w:rsidR="006B65E1" w:rsidRPr="00C56F63" w:rsidRDefault="00945F2E">
      <w:pPr>
        <w:pStyle w:val="2"/>
        <w:spacing w:before="0" w:after="0"/>
        <w:rPr>
          <w:rFonts w:ascii="Times New Roman" w:eastAsiaTheme="minorEastAsia" w:hAnsi="Times New Roman"/>
          <w:kern w:val="0"/>
          <w:sz w:val="21"/>
          <w:szCs w:val="21"/>
        </w:rPr>
      </w:pPr>
      <w:bookmarkStart w:id="39" w:name="_Toc390421246"/>
      <w:bookmarkStart w:id="40"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9"/>
      <w:bookmarkEnd w:id="4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本报告期，本托管人在本基金的托管过程中，严格遵守了《证券投资基金法》、基金合同、托管协议和其他有关规定，不存在损害基金份额持有人利益的行为，完全尽职尽责地履行了基金托管人应尽的义务。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1" w:name="_Toc225498265"/>
      <w:bookmarkStart w:id="42" w:name="_Toc390421247"/>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1"/>
      <w:r w:rsidRPr="00C56F63">
        <w:rPr>
          <w:rFonts w:ascii="Times New Roman" w:eastAsiaTheme="minorEastAsia" w:hAnsi="Times New Roman"/>
          <w:kern w:val="0"/>
          <w:sz w:val="21"/>
          <w:szCs w:val="21"/>
        </w:rPr>
        <w:t>说明</w:t>
      </w:r>
      <w:bookmarkEnd w:id="42"/>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8"/>
      <w:bookmarkStart w:id="44" w:name="_Toc22549826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3"/>
      <w:bookmarkEnd w:id="4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bookmarkStart w:id="45" w:name="_Toc374540560"/>
      <w:r w:rsidRPr="00C56F63">
        <w:rPr>
          <w:rFonts w:eastAsiaTheme="minorEastAsia"/>
          <w:b/>
          <w:bCs/>
          <w:szCs w:val="21"/>
        </w:rPr>
        <w:br w:type="page"/>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45"/>
    </w:p>
    <w:p w:rsidR="006B65E1" w:rsidRPr="00C56F63" w:rsidRDefault="0005594A">
      <w:pPr>
        <w:pStyle w:val="2"/>
        <w:spacing w:before="0" w:after="0"/>
        <w:rPr>
          <w:rFonts w:ascii="Times New Roman" w:eastAsiaTheme="minorEastAsia" w:hAnsi="Times New Roman"/>
          <w:kern w:val="0"/>
          <w:sz w:val="21"/>
          <w:szCs w:val="21"/>
        </w:rPr>
      </w:pPr>
      <w:bookmarkStart w:id="46" w:name="_Toc225498268"/>
      <w:bookmarkStart w:id="47"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6"/>
      <w:bookmarkEnd w:id="47"/>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会计主体：上投摩根核心精选股票型证券投资基金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5,116,545.90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146,972,207.46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590,886.31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97,489.59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51,079,802.05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51,079,802.05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97,900,000.00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1,744.29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620,254.51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60,615.08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56,947,083.22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245,492,461.97</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37,991.26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75,770.58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312,109.84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12,628.44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52,018.30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259,212.33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91,114.64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476,717.25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364,128.14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52,070,369.76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244,862,431.35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4,399,996.21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265,902.48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56,470,365.97</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245,128,333.83</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56,947,083.22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245,492,461.97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1.0845</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52,070,369.76</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8" w:name="_Toc390421251"/>
      <w:bookmarkStart w:id="49"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8"/>
      <w:bookmarkEnd w:id="4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上投摩根核心精选股票型证券投资基金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60040C" w:rsidRPr="00C56F63" w:rsidTr="0060040C">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450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0040C" w:rsidRPr="00C56F63" w:rsidTr="0060040C">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7,575,139.68</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378,443.01</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234,688.63</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143,754.38</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4,250,068.42</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3,873,368.79</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450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376,699.63</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450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2,244,626.30</w:t>
            </w:r>
          </w:p>
        </w:tc>
      </w:tr>
      <w:tr w:rsidR="0060040C" w:rsidRPr="00C56F63" w:rsidTr="0060040C">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702,001.95</w:t>
            </w:r>
          </w:p>
        </w:tc>
      </w:tr>
      <w:tr w:rsidR="0060040C" w:rsidRPr="00C56F63" w:rsidTr="0060040C">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1,494,601.97</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615,171.98</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102,528.63</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680,507.00</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blPrEx>
          <w:tblLook w:val="00A0" w:firstRow="1" w:lastRow="0" w:firstColumn="1" w:lastColumn="0" w:noHBand="0" w:noVBand="0"/>
        </w:tblPrEx>
        <w:tc>
          <w:tcPr>
            <w:tcW w:w="3420" w:type="dxa"/>
            <w:vAlign w:val="center"/>
          </w:tcPr>
          <w:p w:rsidR="00572E9A" w:rsidRPr="00C56F63" w:rsidRDefault="00572E9A" w:rsidP="003E74FD">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3E74FD">
            <w:pPr>
              <w:pStyle w:val="afb"/>
              <w:jc w:val="center"/>
              <w:rPr>
                <w:rFonts w:ascii="Times New Roman" w:eastAsiaTheme="minorEastAsia" w:hAnsi="Times New Roman"/>
                <w:color w:val="000000"/>
                <w:sz w:val="21"/>
                <w:szCs w:val="21"/>
              </w:rPr>
            </w:pPr>
          </w:p>
        </w:tc>
        <w:tc>
          <w:tcPr>
            <w:tcW w:w="4500" w:type="dxa"/>
            <w:vAlign w:val="bottom"/>
          </w:tcPr>
          <w:p w:rsidR="00572E9A" w:rsidRPr="00C56F63" w:rsidRDefault="00572E9A" w:rsidP="003E74FD">
            <w:pPr>
              <w:jc w:val="right"/>
              <w:rPr>
                <w:rFonts w:eastAsiaTheme="minorEastAsia"/>
                <w:color w:val="000000"/>
                <w:szCs w:val="21"/>
              </w:rPr>
            </w:pPr>
            <w:r w:rsidRPr="00C56F63">
              <w:rPr>
                <w:rFonts w:eastAsiaTheme="minorEastAsia"/>
                <w:color w:val="000000"/>
                <w:szCs w:val="21"/>
              </w:rPr>
              <w:t>-</w:t>
            </w:r>
          </w:p>
        </w:tc>
      </w:tr>
      <w:tr w:rsidR="0060040C" w:rsidRPr="00C56F63" w:rsidTr="0060040C">
        <w:tblPrEx>
          <w:tblLook w:val="00A0" w:firstRow="1" w:lastRow="0" w:firstColumn="1" w:lastColumn="0" w:noHBand="0" w:noVBand="0"/>
        </w:tblPrEx>
        <w:tc>
          <w:tcPr>
            <w:tcW w:w="3420" w:type="dxa"/>
            <w:vAlign w:val="center"/>
          </w:tcPr>
          <w:p w:rsidR="00572E9A" w:rsidRPr="00C56F63" w:rsidRDefault="00572E9A" w:rsidP="003E74FD">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3E74FD">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4500" w:type="dxa"/>
            <w:vAlign w:val="bottom"/>
          </w:tcPr>
          <w:p w:rsidR="00572E9A" w:rsidRPr="00C56F63" w:rsidRDefault="00572E9A" w:rsidP="003E74FD">
            <w:pPr>
              <w:jc w:val="right"/>
              <w:rPr>
                <w:rFonts w:eastAsiaTheme="minorEastAsia"/>
                <w:color w:val="000000"/>
                <w:szCs w:val="21"/>
              </w:rPr>
            </w:pPr>
            <w:r w:rsidRPr="00C56F63">
              <w:rPr>
                <w:rFonts w:eastAsiaTheme="minorEastAsia"/>
                <w:color w:val="000000"/>
                <w:szCs w:val="21"/>
              </w:rPr>
              <w:t>96,394.36</w:t>
            </w:r>
          </w:p>
        </w:tc>
      </w:tr>
      <w:tr w:rsidR="0060040C" w:rsidRPr="00C56F63" w:rsidTr="0060040C">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6,080,537.71</w:t>
            </w:r>
          </w:p>
        </w:tc>
      </w:tr>
      <w:tr w:rsidR="0060040C" w:rsidRPr="00C56F63" w:rsidTr="0060040C">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450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0040C" w:rsidRPr="00C56F63" w:rsidTr="0060040C">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450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6,080,537.71</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50" w:name="_Toc225498270"/>
      <w:bookmarkStart w:id="51"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50"/>
      <w:bookmarkEnd w:id="51"/>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上投摩根核心精选股票型证券投资基金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244,862,431.35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265,902.48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245,128,333.83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6,080,537.71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6,080,537.71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-192,792,061.59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-1,946,443.98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-194,738,505.57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6,314,712.24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159,992.72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6,474,704.96</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-199,106,773.83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-2,106,436.70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-201,213,210.53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52,070,369.76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4,399,996.21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56,470,365.97</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52" w:name="_Toc390421253"/>
      <w:bookmarkStart w:id="53"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2"/>
      <w:bookmarkEnd w:id="53"/>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上投摩根核心精选股票型证券投资基金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[2018]</w:t>
      </w:r>
      <w:r>
        <w:rPr>
          <w:rFonts w:eastAsiaTheme="minorEastAsia"/>
          <w:color w:val="000000"/>
          <w:szCs w:val="21"/>
        </w:rPr>
        <w:t>第</w:t>
      </w:r>
      <w:r>
        <w:rPr>
          <w:rFonts w:eastAsiaTheme="minorEastAsia"/>
          <w:color w:val="000000"/>
          <w:szCs w:val="21"/>
        </w:rPr>
        <w:t>766</w:t>
      </w:r>
      <w:r>
        <w:rPr>
          <w:rFonts w:eastAsiaTheme="minorEastAsia"/>
          <w:color w:val="000000"/>
          <w:szCs w:val="21"/>
        </w:rPr>
        <w:t>号《关于准予上投摩根核心精选股票型证券投资基金注册的批复》核准，由上投摩根基金管理有限公司依照《中华人民共和国证券投资基金法》和《上投摩根核心精选股票型证券投资基金基金合同》负责公开募集。本基金为契约型开放式基金，存续期限不定，首次设立募集不包括认购资金利息共募集</w:t>
      </w:r>
      <w:r>
        <w:rPr>
          <w:rFonts w:eastAsiaTheme="minorEastAsia"/>
          <w:color w:val="000000"/>
          <w:szCs w:val="21"/>
        </w:rPr>
        <w:t>244,802,149.68</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(2018)</w:t>
      </w:r>
      <w:r>
        <w:rPr>
          <w:rFonts w:eastAsiaTheme="minorEastAsia"/>
          <w:color w:val="000000"/>
          <w:szCs w:val="21"/>
        </w:rPr>
        <w:t>第</w:t>
      </w:r>
      <w:r>
        <w:rPr>
          <w:rFonts w:eastAsiaTheme="minorEastAsia"/>
          <w:color w:val="000000"/>
          <w:szCs w:val="21"/>
        </w:rPr>
        <w:t>0735</w:t>
      </w:r>
      <w:r>
        <w:rPr>
          <w:rFonts w:eastAsiaTheme="minorEastAsia"/>
          <w:color w:val="000000"/>
          <w:szCs w:val="21"/>
        </w:rPr>
        <w:t>号验资报告予以验证。经向中国证监会备案，《上投摩根核心精选股票型证券投资基金基金合同》于</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29</w:t>
      </w:r>
      <w:r>
        <w:rPr>
          <w:rFonts w:eastAsiaTheme="minorEastAsia"/>
          <w:color w:val="000000"/>
          <w:szCs w:val="21"/>
        </w:rPr>
        <w:t>日正式生效，基金合同生效日的基金份额总额为</w:t>
      </w:r>
      <w:r>
        <w:rPr>
          <w:rFonts w:eastAsiaTheme="minorEastAsia"/>
          <w:color w:val="000000"/>
          <w:szCs w:val="21"/>
        </w:rPr>
        <w:t>244,862,431.35</w:t>
      </w:r>
      <w:r>
        <w:rPr>
          <w:rFonts w:eastAsiaTheme="minorEastAsia"/>
          <w:color w:val="000000"/>
          <w:szCs w:val="21"/>
        </w:rPr>
        <w:t>份基金份额，其中认购资金利息折合</w:t>
      </w:r>
      <w:r>
        <w:rPr>
          <w:rFonts w:eastAsiaTheme="minorEastAsia"/>
          <w:color w:val="000000"/>
          <w:szCs w:val="21"/>
        </w:rPr>
        <w:t>60,281.67</w:t>
      </w:r>
      <w:r>
        <w:rPr>
          <w:rFonts w:eastAsiaTheme="minorEastAsia"/>
          <w:color w:val="000000"/>
          <w:szCs w:val="21"/>
        </w:rPr>
        <w:t>份基金份额。本基金的基金管理人为上投摩根基金管理有限公司，基金托管人为中国建设银行股份有限公司。</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根据《中华人民共和国证券投资基金法》和《上投摩根核心精选股票型证券投资基金基金合同》的有关规定，本基金的投资范围为具有良好流动性的金融工具，包括国内依法发行上市的股票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、权证、债券</w:t>
      </w:r>
      <w:r>
        <w:rPr>
          <w:rFonts w:eastAsiaTheme="minorEastAsia"/>
          <w:color w:val="000000"/>
          <w:szCs w:val="21"/>
        </w:rPr>
        <w:t>(</w:t>
      </w:r>
      <w:r>
        <w:rPr>
          <w:rFonts w:eastAsiaTheme="minorEastAsia"/>
          <w:color w:val="000000"/>
          <w:szCs w:val="21"/>
        </w:rPr>
        <w:t>包括国债、央行票据、金融债、企业债、公司债、中期票据、可转换债券</w:t>
      </w:r>
      <w:r>
        <w:rPr>
          <w:rFonts w:eastAsiaTheme="minorEastAsia"/>
          <w:color w:val="000000"/>
          <w:szCs w:val="21"/>
        </w:rPr>
        <w:t>(</w:t>
      </w:r>
      <w:r>
        <w:rPr>
          <w:rFonts w:eastAsiaTheme="minorEastAsia"/>
          <w:color w:val="000000"/>
          <w:szCs w:val="21"/>
        </w:rPr>
        <w:t>含分离交易可转债</w:t>
      </w:r>
      <w:r>
        <w:rPr>
          <w:rFonts w:eastAsiaTheme="minorEastAsia"/>
          <w:color w:val="000000"/>
          <w:szCs w:val="21"/>
        </w:rPr>
        <w:t>)</w:t>
      </w:r>
      <w:r>
        <w:rPr>
          <w:rFonts w:eastAsiaTheme="minorEastAsia"/>
          <w:color w:val="000000"/>
          <w:szCs w:val="21"/>
        </w:rPr>
        <w:t>、短期融资券、超短期融资债、中小企业私募债、证券公司短期公司债等</w:t>
      </w:r>
      <w:r>
        <w:rPr>
          <w:rFonts w:eastAsiaTheme="minorEastAsia"/>
          <w:color w:val="000000"/>
          <w:szCs w:val="21"/>
        </w:rPr>
        <w:t>)</w:t>
      </w:r>
      <w:r>
        <w:rPr>
          <w:rFonts w:eastAsiaTheme="minorEastAsia"/>
          <w:color w:val="000000"/>
          <w:szCs w:val="21"/>
        </w:rPr>
        <w:t>、资产支持证券、债券回购、同业存单、银行存款、股指期货、股票期权以及法律法规或中国证监会允许基金投资的其他金融工具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。本基金的投资组合比例为：股票资产占基金资产的比例为</w:t>
      </w:r>
      <w:r>
        <w:rPr>
          <w:rFonts w:eastAsiaTheme="minorEastAsia"/>
          <w:color w:val="000000"/>
          <w:szCs w:val="21"/>
        </w:rPr>
        <w:t>80%-95%</w:t>
      </w:r>
      <w:r>
        <w:rPr>
          <w:rFonts w:eastAsiaTheme="minorEastAsia"/>
          <w:color w:val="000000"/>
          <w:szCs w:val="21"/>
        </w:rPr>
        <w:t>，权证投资占基金资产净值的比例为</w:t>
      </w:r>
      <w:r>
        <w:rPr>
          <w:rFonts w:eastAsiaTheme="minorEastAsia"/>
          <w:color w:val="000000"/>
          <w:szCs w:val="21"/>
        </w:rPr>
        <w:t>0%-3%</w:t>
      </w:r>
      <w:r>
        <w:rPr>
          <w:rFonts w:eastAsiaTheme="minorEastAsia"/>
          <w:color w:val="000000"/>
          <w:szCs w:val="21"/>
        </w:rPr>
        <w:t>，每个交易日日终在扣除股指期货及股票期权保证金后，现金或到期日在一年以内的政府债券不低于基金资产净值的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×85%+</w:t>
      </w:r>
      <w:r>
        <w:rPr>
          <w:rFonts w:eastAsiaTheme="minorEastAsia"/>
          <w:color w:val="000000"/>
          <w:szCs w:val="21"/>
        </w:rPr>
        <w:t>中债总指数收益率</w:t>
      </w:r>
      <w:r>
        <w:rPr>
          <w:rFonts w:eastAsiaTheme="minorEastAsia"/>
          <w:color w:val="000000"/>
          <w:szCs w:val="21"/>
        </w:rPr>
        <w:t>×15%</w:t>
      </w:r>
      <w:r>
        <w:rPr>
          <w:rFonts w:eastAsiaTheme="minorEastAsia"/>
          <w:color w:val="000000"/>
          <w:szCs w:val="21"/>
        </w:rPr>
        <w:t>。</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颁布的《证券投资基金会计核算业务指引》、《上投摩根核心精选股票型证券投资基金基金合同》和在财务报表附注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年上半年度的财务报表符合企业会计准则的要求，真实、完整地反映了本基金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年上半年度的经营成果和基金净值变动情况等有关信息。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重要会计政策和会计估计</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6.4.4.1 </w:t>
      </w:r>
      <w:r w:rsidRPr="00C56F63">
        <w:rPr>
          <w:rFonts w:eastAsiaTheme="minorEastAsia"/>
          <w:b/>
          <w:bCs/>
          <w:color w:val="000000"/>
          <w:kern w:val="0"/>
          <w:szCs w:val="21"/>
        </w:rPr>
        <w:t>会计年度</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本基金会计年度为公历</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日止。本期财务报表的实际编制期间为</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6.4.4.2</w:t>
      </w:r>
      <w:r w:rsidRPr="00C56F63">
        <w:rPr>
          <w:rFonts w:eastAsiaTheme="minorEastAsia"/>
          <w:b/>
          <w:bCs/>
          <w:color w:val="000000"/>
          <w:kern w:val="0"/>
          <w:szCs w:val="21"/>
        </w:rPr>
        <w:t>记账本位币</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本基金的记账本位币为人民币。</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6.4.4.3</w:t>
      </w:r>
      <w:r w:rsidRPr="00C56F63">
        <w:rPr>
          <w:rFonts w:eastAsiaTheme="minorEastAsia"/>
          <w:b/>
          <w:bCs/>
          <w:color w:val="000000"/>
          <w:kern w:val="0"/>
          <w:szCs w:val="21"/>
        </w:rPr>
        <w:t>金融资产和金融负债的分类</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金融资产的分类</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本基金持有的其他金融资产分类为应收款项，包括银行存款、买入返售金融资产和其他各类应收款项等。应收款项是指在活跃市场中没有报价、回收金额固定或可确定的非衍生金融资产。</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金融负债的分类</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6.4.4.4</w:t>
      </w:r>
      <w:r w:rsidRPr="00C56F63">
        <w:rPr>
          <w:rFonts w:eastAsiaTheme="minorEastAsia"/>
          <w:b/>
          <w:bCs/>
          <w:color w:val="000000"/>
          <w:kern w:val="0"/>
          <w:szCs w:val="21"/>
        </w:rPr>
        <w:t>金融资产和金融负债的初始确认、后续计量和终止确认</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对于以公允价值计量且其变动计入当期损益的金融资产，按照公允价值进行后续计量；对于应收款项和其他金融负债采用实际利率法，以摊余成本进行后续计量。</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金融资产满足下列条件之一的，予以终止确认：</w:t>
      </w:r>
      <w:r>
        <w:rPr>
          <w:rFonts w:eastAsiaTheme="minorEastAsia"/>
          <w:color w:val="000000"/>
          <w:szCs w:val="21"/>
        </w:rPr>
        <w:t xml:space="preserve">(1) </w:t>
      </w:r>
      <w:r>
        <w:rPr>
          <w:rFonts w:eastAsiaTheme="minorEastAsia"/>
          <w:color w:val="000000"/>
          <w:szCs w:val="21"/>
        </w:rPr>
        <w:t>收取该金融资产现金流量的合同权利终止；</w:t>
      </w:r>
      <w:r>
        <w:rPr>
          <w:rFonts w:eastAsiaTheme="minorEastAsia"/>
          <w:color w:val="000000"/>
          <w:szCs w:val="21"/>
        </w:rPr>
        <w:t xml:space="preserve">(2) </w:t>
      </w:r>
      <w:r>
        <w:rPr>
          <w:rFonts w:eastAsiaTheme="minorEastAsia"/>
          <w:color w:val="000000"/>
          <w:szCs w:val="21"/>
        </w:rPr>
        <w:t>该金融资产已转移，且本基金将金融资产所有权上几乎所有的风险和报酬转移给转入方；或者</w:t>
      </w:r>
      <w:r>
        <w:rPr>
          <w:rFonts w:eastAsiaTheme="minorEastAsia"/>
          <w:color w:val="000000"/>
          <w:szCs w:val="21"/>
        </w:rPr>
        <w:t xml:space="preserve">(3) </w:t>
      </w:r>
      <w:r>
        <w:rPr>
          <w:rFonts w:eastAsiaTheme="minorEastAsia"/>
          <w:color w:val="000000"/>
          <w:szCs w:val="21"/>
        </w:rPr>
        <w:t>该金融资产已转移，虽然本基金既没有转移也没有保留金融资产所有权上几乎所有的风险和报酬，但是放弃了对该金融资产控制。</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金融资产终止确认时，其账面价值与收到的对价的差额，计入当期损益。</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当金融负债的现时义务全部或部分已经解除时，终止确认该金融负债或义务已解除的部分。终止确认部分的账面价值与支付的对价之间的差额，计入当期损益。</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6.4.4.5</w:t>
      </w:r>
      <w:r w:rsidRPr="00C56F63">
        <w:rPr>
          <w:rFonts w:eastAsiaTheme="minorEastAsia"/>
          <w:b/>
          <w:bCs/>
          <w:color w:val="000000"/>
          <w:kern w:val="0"/>
          <w:szCs w:val="21"/>
        </w:rPr>
        <w:t>金融资产和金融负债的估值原则</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本基金持有的股票投资、债券投资和资产支持证券投资按如下原则确定公允价值并进行估值：</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(3) </w:t>
      </w:r>
      <w:r w:rsidRPr="00C56F63">
        <w:rPr>
          <w:rFonts w:eastAsiaTheme="minorEastAsia"/>
          <w:color w:val="000000"/>
          <w:szCs w:val="21"/>
        </w:rPr>
        <w:t>如经济环境发生重大变化或证券发行人发生影响金融工具价格的重大事件，应对估值进行调整并确定公允价值。</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6.4.4.6</w:t>
      </w:r>
      <w:r w:rsidRPr="00C56F63">
        <w:rPr>
          <w:rFonts w:eastAsiaTheme="minorEastAsia"/>
          <w:b/>
          <w:bCs/>
          <w:color w:val="000000"/>
          <w:kern w:val="0"/>
          <w:szCs w:val="21"/>
        </w:rPr>
        <w:t>金融资产和金融负债的抵销</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本基金持有的资产和承担的负债基本为金融资产和金融负债。当本基金</w:t>
      </w:r>
      <w:r w:rsidRPr="00C56F63">
        <w:rPr>
          <w:rFonts w:eastAsiaTheme="minorEastAsia"/>
          <w:color w:val="000000"/>
          <w:szCs w:val="21"/>
        </w:rPr>
        <w:t xml:space="preserve">1) </w:t>
      </w:r>
      <w:r w:rsidRPr="00C56F63">
        <w:rPr>
          <w:rFonts w:eastAsiaTheme="minorEastAsia"/>
          <w:color w:val="000000"/>
          <w:szCs w:val="21"/>
        </w:rPr>
        <w:t>具有抵销已确认金额的法定权利且该种法定权利现在是可执行的；且</w:t>
      </w:r>
      <w:r w:rsidRPr="00C56F63">
        <w:rPr>
          <w:rFonts w:eastAsiaTheme="minorEastAsia"/>
          <w:color w:val="000000"/>
          <w:szCs w:val="21"/>
        </w:rPr>
        <w:t xml:space="preserve">2) </w:t>
      </w:r>
      <w:r w:rsidRPr="00C56F63">
        <w:rPr>
          <w:rFonts w:eastAsiaTheme="minorEastAsia"/>
          <w:color w:val="000000"/>
          <w:szCs w:val="21"/>
        </w:rPr>
        <w:t>交易双方准备按净额结算时，金融资产与金融负债按抵销后的净额在资产负债表中列示。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6.4.4.7</w:t>
      </w:r>
      <w:r w:rsidRPr="00C56F63">
        <w:rPr>
          <w:rFonts w:eastAsiaTheme="minorEastAsia"/>
          <w:b/>
          <w:bCs/>
          <w:color w:val="000000"/>
          <w:kern w:val="0"/>
          <w:szCs w:val="21"/>
        </w:rPr>
        <w:t>实收基金</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6.4.4.8</w:t>
      </w:r>
      <w:r w:rsidRPr="00C56F63">
        <w:rPr>
          <w:rFonts w:eastAsiaTheme="minorEastAsia"/>
          <w:b/>
          <w:bCs/>
          <w:color w:val="000000"/>
          <w:kern w:val="0"/>
          <w:szCs w:val="21"/>
        </w:rPr>
        <w:t>损益平准金</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F63">
        <w:rPr>
          <w:rFonts w:eastAsiaTheme="minorEastAsia"/>
          <w:color w:val="000000"/>
          <w:szCs w:val="21"/>
        </w:rPr>
        <w:t>/(</w:t>
      </w:r>
      <w:r w:rsidRPr="00C56F63">
        <w:rPr>
          <w:rFonts w:eastAsiaTheme="minorEastAsia"/>
          <w:color w:val="000000"/>
          <w:szCs w:val="21"/>
        </w:rPr>
        <w:t>累计亏损</w:t>
      </w:r>
      <w:r w:rsidRPr="00C56F63">
        <w:rPr>
          <w:rFonts w:eastAsiaTheme="minorEastAsia"/>
          <w:color w:val="000000"/>
          <w:szCs w:val="21"/>
        </w:rPr>
        <w:t>)</w:t>
      </w:r>
      <w:r w:rsidRPr="00C56F63">
        <w:rPr>
          <w:rFonts w:eastAsiaTheme="minorEastAsia"/>
          <w:color w:val="000000"/>
          <w:szCs w:val="21"/>
        </w:rPr>
        <w:t>。</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6.4.4.9</w:t>
      </w:r>
      <w:r w:rsidRPr="00C56F63">
        <w:rPr>
          <w:rFonts w:eastAsiaTheme="minorEastAsia"/>
          <w:b/>
          <w:bCs/>
          <w:color w:val="000000"/>
          <w:kern w:val="0"/>
          <w:szCs w:val="21"/>
        </w:rPr>
        <w:t>收入</w:t>
      </w:r>
      <w:r w:rsidRPr="00C56F63">
        <w:rPr>
          <w:rFonts w:eastAsiaTheme="minorEastAsia"/>
          <w:b/>
          <w:bCs/>
          <w:color w:val="000000"/>
          <w:kern w:val="0"/>
          <w:szCs w:val="21"/>
        </w:rPr>
        <w:t>/(</w:t>
      </w:r>
      <w:r w:rsidRPr="00C56F63">
        <w:rPr>
          <w:rFonts w:eastAsiaTheme="minorEastAsia"/>
          <w:b/>
          <w:bCs/>
          <w:color w:val="000000"/>
          <w:kern w:val="0"/>
          <w:szCs w:val="21"/>
        </w:rPr>
        <w:t>损失</w:t>
      </w:r>
      <w:r w:rsidRPr="00C56F63">
        <w:rPr>
          <w:rFonts w:eastAsiaTheme="minorEastAsia"/>
          <w:b/>
          <w:bCs/>
          <w:color w:val="000000"/>
          <w:kern w:val="0"/>
          <w:szCs w:val="21"/>
        </w:rPr>
        <w:t>)</w:t>
      </w:r>
      <w:r w:rsidRPr="00C56F63">
        <w:rPr>
          <w:rFonts w:eastAsiaTheme="minorEastAsia"/>
          <w:b/>
          <w:bCs/>
          <w:color w:val="000000"/>
          <w:kern w:val="0"/>
          <w:szCs w:val="21"/>
        </w:rPr>
        <w:t>的确认和计量</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应收款项在持有期间确认的利息收入按实际利率法计算，实际利率法与直线法差异较小的则按直线法计算。</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6.4.4.10</w:t>
      </w:r>
      <w:r w:rsidRPr="00C56F63">
        <w:rPr>
          <w:rFonts w:eastAsiaTheme="minorEastAsia"/>
          <w:b/>
          <w:bCs/>
          <w:color w:val="000000"/>
          <w:kern w:val="0"/>
          <w:szCs w:val="21"/>
        </w:rPr>
        <w:t>费用的确认和计量</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本基金的管理人报酬和托管费在费用涵盖期间按基金合同约定的费率和计算方法逐日确认。</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其他金融负债在持有期间确认的利息支出按实际利率法计算，实际利率法与直线法差异较小的则按直线法计算。</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6.4.4.11</w:t>
      </w:r>
      <w:r w:rsidRPr="00C56F63">
        <w:rPr>
          <w:rFonts w:eastAsiaTheme="minorEastAsia"/>
          <w:b/>
          <w:bCs/>
          <w:color w:val="000000"/>
          <w:kern w:val="0"/>
          <w:szCs w:val="21"/>
        </w:rPr>
        <w:t>基金的收益分配政策</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每一类别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经宣告的拟分配基金收益于分红除权日从所有者权益转出。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6.4.4.12</w:t>
      </w:r>
      <w:r w:rsidRPr="00C56F63">
        <w:rPr>
          <w:rFonts w:eastAsiaTheme="minorEastAsia"/>
          <w:b/>
          <w:bCs/>
          <w:color w:val="000000"/>
          <w:kern w:val="0"/>
          <w:szCs w:val="21"/>
        </w:rPr>
        <w:t>分部报告</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szCs w:val="21"/>
        </w:rPr>
        <w:t xml:space="preserve">(1) </w:t>
      </w:r>
      <w:r>
        <w:rPr>
          <w:rFonts w:eastAsiaTheme="minorEastAsia"/>
          <w:color w:val="000000"/>
          <w:szCs w:val="21"/>
        </w:rPr>
        <w:t>该组成部分能够在日常活动中产生收入、发生费用；</w:t>
      </w:r>
      <w:r>
        <w:rPr>
          <w:rFonts w:eastAsiaTheme="minorEastAsia"/>
          <w:color w:val="000000"/>
          <w:szCs w:val="21"/>
        </w:rPr>
        <w:t xml:space="preserve">(2) </w:t>
      </w:r>
      <w:r>
        <w:rPr>
          <w:rFonts w:eastAsiaTheme="minorEastAsia"/>
          <w:color w:val="000000"/>
          <w:szCs w:val="21"/>
        </w:rPr>
        <w:t>本基金的基金管理人能够定期评价该组成部分的经营成果，以决定向其配置资源、评价其业绩；</w:t>
      </w:r>
      <w:r>
        <w:rPr>
          <w:rFonts w:eastAsiaTheme="minorEastAsia"/>
          <w:color w:val="000000"/>
          <w:szCs w:val="21"/>
        </w:rPr>
        <w:t xml:space="preserve">(3) </w:t>
      </w:r>
      <w:r>
        <w:rPr>
          <w:rFonts w:eastAsiaTheme="minorEastAsia"/>
          <w:color w:val="000000"/>
          <w:szCs w:val="21"/>
        </w:rPr>
        <w:t>本基金能够取得该组成部分的财务状况、经营成果和现金流量等有关会计信息。如果两个或多个经营分部具有相似的经济特征，并且满足一定条件的，则合并为一个经营分部。</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本基金目前以一个单一的经营分部运作，不需要披露分部信息。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6.4.4.13</w:t>
      </w:r>
      <w:r w:rsidRPr="00C56F63">
        <w:rPr>
          <w:rFonts w:eastAsiaTheme="minorEastAsia"/>
          <w:b/>
          <w:bCs/>
          <w:color w:val="000000"/>
          <w:kern w:val="0"/>
          <w:szCs w:val="21"/>
        </w:rPr>
        <w:t>其他重要的会计政策和会计估计</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根据本基金的估值原则和中国证监会允许的基金行业估值实务操作，本基金确定以下类别股票投资和债券投资的公允价值时采用的估值方法及其关键假设如下：</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对于证券交易所上市的股票和债券，若出现重大事项停牌或交易不活跃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等情况，本基金根据中国证监会公告</w:t>
      </w:r>
      <w:r>
        <w:rPr>
          <w:rFonts w:eastAsiaTheme="minorEastAsia"/>
          <w:color w:val="000000"/>
          <w:szCs w:val="21"/>
        </w:rPr>
        <w:t>[2017]13</w:t>
      </w:r>
      <w:r>
        <w:rPr>
          <w:rFonts w:eastAsiaTheme="minorEastAsia"/>
          <w:color w:val="000000"/>
          <w:szCs w:val="21"/>
        </w:rPr>
        <w:t>号《中国证监会关于证券投资基金估值业务的指导意见》，根据具体情况采用《关于发布中基协</w:t>
      </w:r>
      <w:r>
        <w:rPr>
          <w:rFonts w:eastAsiaTheme="minorEastAsia"/>
          <w:color w:val="000000"/>
          <w:szCs w:val="21"/>
        </w:rPr>
        <w:t>(AMAC)</w:t>
      </w:r>
      <w:r>
        <w:rPr>
          <w:rFonts w:eastAsiaTheme="minorEastAsia"/>
          <w:color w:val="000000"/>
          <w:szCs w:val="21"/>
        </w:rPr>
        <w:t>基金行业股票估值指数的通知》提供的指数收益法、市盈率法、现金流量折现法等估值技术进行估值。</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szCs w:val="21"/>
        </w:rPr>
        <w:t>[2017]6</w:t>
      </w:r>
      <w:r>
        <w:rPr>
          <w:rFonts w:eastAsiaTheme="minorEastAsia"/>
          <w:color w:val="000000"/>
          <w:szCs w:val="21"/>
        </w:rPr>
        <w:t>号《关于发布</w:t>
      </w:r>
      <w:r>
        <w:rPr>
          <w:rFonts w:eastAsiaTheme="minorEastAsia"/>
          <w:color w:val="000000"/>
          <w:szCs w:val="21"/>
        </w:rPr>
        <w:t>&lt;</w:t>
      </w:r>
      <w:r>
        <w:rPr>
          <w:rFonts w:eastAsiaTheme="minorEastAsia"/>
          <w:color w:val="000000"/>
          <w:szCs w:val="21"/>
        </w:rPr>
        <w:t>证券投资基金投资流通受限股票估值指引</w:t>
      </w:r>
      <w:r>
        <w:rPr>
          <w:rFonts w:eastAsiaTheme="minorEastAsia"/>
          <w:color w:val="000000"/>
          <w:szCs w:val="21"/>
        </w:rPr>
        <w:t>(</w:t>
      </w:r>
      <w:r>
        <w:rPr>
          <w:rFonts w:eastAsiaTheme="minorEastAsia"/>
          <w:color w:val="000000"/>
          <w:szCs w:val="21"/>
        </w:rPr>
        <w:t>试行</w:t>
      </w:r>
      <w:r>
        <w:rPr>
          <w:rFonts w:eastAsiaTheme="minorEastAsia"/>
          <w:color w:val="000000"/>
          <w:szCs w:val="21"/>
        </w:rPr>
        <w:t>)&gt;</w:t>
      </w:r>
      <w:r>
        <w:rPr>
          <w:rFonts w:eastAsiaTheme="minorEastAsia"/>
          <w:color w:val="000000"/>
          <w:szCs w:val="21"/>
        </w:rPr>
        <w:t>的通知》之附件《证券投资基金投资流通受限股票估值指引</w:t>
      </w:r>
      <w:r>
        <w:rPr>
          <w:rFonts w:eastAsiaTheme="minorEastAsia"/>
          <w:color w:val="000000"/>
          <w:szCs w:val="21"/>
        </w:rPr>
        <w:t>(</w:t>
      </w:r>
      <w:r>
        <w:rPr>
          <w:rFonts w:eastAsiaTheme="minorEastAsia"/>
          <w:color w:val="000000"/>
          <w:szCs w:val="21"/>
        </w:rPr>
        <w:t>试行</w:t>
      </w:r>
      <w:r>
        <w:rPr>
          <w:rFonts w:eastAsiaTheme="minorEastAsia"/>
          <w:color w:val="000000"/>
          <w:szCs w:val="21"/>
        </w:rPr>
        <w:t>)</w:t>
      </w:r>
      <w:r>
        <w:rPr>
          <w:rFonts w:eastAsiaTheme="minorEastAsia"/>
          <w:color w:val="000000"/>
          <w:szCs w:val="21"/>
        </w:rPr>
        <w:t>》</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指引</w:t>
      </w:r>
      <w:r>
        <w:rPr>
          <w:rFonts w:eastAsiaTheme="minorEastAsia"/>
          <w:color w:val="000000"/>
          <w:szCs w:val="21"/>
        </w:rPr>
        <w:t>”)</w:t>
      </w:r>
      <w:r>
        <w:rPr>
          <w:rFonts w:eastAsiaTheme="minorEastAsia"/>
          <w:color w:val="000000"/>
          <w:szCs w:val="21"/>
        </w:rPr>
        <w:t>，按估值日在证券交易所上市交易的同一股票的公允价值扣除中证指数有限公司根据指引所独立提供的该流通受限股票剩余限售期对应的流动性折扣后的价值进行估值。</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对于在证券交易所上</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A40B3A" w:rsidRDefault="00A40B3A">
      <w:pPr>
        <w:spacing w:line="360" w:lineRule="auto"/>
        <w:ind w:firstLineChars="200" w:firstLine="420"/>
        <w:rPr>
          <w:rFonts w:eastAsiaTheme="minorEastAsia"/>
          <w:color w:val="000000"/>
          <w:szCs w:val="21"/>
        </w:rPr>
      </w:pPr>
    </w:p>
    <w:p w:rsidR="00A40B3A" w:rsidRDefault="0060040C">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A40B3A" w:rsidRDefault="00A40B3A">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7</w:t>
      </w:r>
      <w:r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A40B3A">
        <w:tc>
          <w:tcPr>
            <w:tcW w:w="5220" w:type="dxa"/>
            <w:vAlign w:val="center"/>
          </w:tcPr>
          <w:p w:rsidR="00A40B3A" w:rsidRDefault="0060040C">
            <w:pPr>
              <w:jc w:val="left"/>
            </w:pPr>
            <w:r>
              <w:rPr>
                <w:rFonts w:eastAsiaTheme="minorEastAsia"/>
                <w:color w:val="000000"/>
                <w:szCs w:val="21"/>
              </w:rPr>
              <w:t>上投摩根基金管理有限公司</w:t>
            </w:r>
          </w:p>
        </w:tc>
        <w:tc>
          <w:tcPr>
            <w:tcW w:w="3780" w:type="dxa"/>
            <w:vAlign w:val="center"/>
          </w:tcPr>
          <w:p w:rsidR="00A40B3A" w:rsidRDefault="0060040C">
            <w:pPr>
              <w:jc w:val="left"/>
            </w:pPr>
            <w:r>
              <w:rPr>
                <w:rFonts w:eastAsiaTheme="minorEastAsia"/>
                <w:color w:val="000000"/>
                <w:szCs w:val="21"/>
              </w:rPr>
              <w:t>基金管理人、注册登记机构、基金销售机构</w:t>
            </w:r>
          </w:p>
        </w:tc>
      </w:tr>
      <w:tr w:rsidR="00A40B3A">
        <w:tc>
          <w:tcPr>
            <w:tcW w:w="5220" w:type="dxa"/>
            <w:vAlign w:val="center"/>
          </w:tcPr>
          <w:p w:rsidR="00A40B3A" w:rsidRDefault="0060040C">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A40B3A" w:rsidRDefault="0060040C">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385"/>
      </w:tblGrid>
      <w:tr w:rsidR="006B65E1" w:rsidRPr="00C56F63">
        <w:tc>
          <w:tcPr>
            <w:tcW w:w="368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385"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5385" w:type="dxa"/>
            <w:vAlign w:val="center"/>
          </w:tcPr>
          <w:p w:rsidR="006B65E1" w:rsidRPr="00C56F63" w:rsidRDefault="00945F2E">
            <w:pPr>
              <w:jc w:val="right"/>
              <w:rPr>
                <w:rFonts w:eastAsiaTheme="minorEastAsia"/>
                <w:szCs w:val="21"/>
              </w:rPr>
            </w:pPr>
            <w:r w:rsidRPr="00C56F63">
              <w:rPr>
                <w:rFonts w:eastAsiaTheme="minorEastAsia"/>
                <w:szCs w:val="21"/>
              </w:rPr>
              <w:t>615,171.98</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5385" w:type="dxa"/>
            <w:vAlign w:val="center"/>
          </w:tcPr>
          <w:p w:rsidR="006B65E1" w:rsidRPr="00C56F63" w:rsidRDefault="00945F2E">
            <w:pPr>
              <w:jc w:val="right"/>
              <w:rPr>
                <w:rFonts w:eastAsiaTheme="minorEastAsia"/>
                <w:szCs w:val="21"/>
              </w:rPr>
            </w:pPr>
            <w:r w:rsidRPr="00C56F63">
              <w:rPr>
                <w:rFonts w:eastAsiaTheme="minorEastAsia"/>
                <w:szCs w:val="21"/>
              </w:rPr>
              <w:t>225,733.13</w:t>
            </w:r>
          </w:p>
        </w:tc>
      </w:tr>
    </w:tbl>
    <w:p w:rsidR="00A40B3A" w:rsidRDefault="0060040C">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5244"/>
      </w:tblGrid>
      <w:tr w:rsidR="006B65E1" w:rsidRPr="00C56F63">
        <w:tc>
          <w:tcPr>
            <w:tcW w:w="368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244"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687"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5244"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102,528.63</w:t>
            </w:r>
          </w:p>
        </w:tc>
      </w:tr>
    </w:tbl>
    <w:p w:rsidR="00A40B3A" w:rsidRDefault="0060040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adjustRightInd w:val="0"/>
        <w:snapToGrid w:val="0"/>
        <w:spacing w:line="288" w:lineRule="auto"/>
        <w:jc w:val="right"/>
        <w:rPr>
          <w:rFonts w:eastAsiaTheme="minorEastAsia"/>
          <w:color w:val="000000"/>
          <w:szCs w:val="21"/>
        </w:rPr>
      </w:pPr>
      <w:r w:rsidRPr="00C56F63">
        <w:rPr>
          <w:rFonts w:eastAsiaTheme="minorEastAsia"/>
          <w:color w:val="000000"/>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980"/>
        <w:gridCol w:w="1440"/>
        <w:gridCol w:w="2160"/>
        <w:gridCol w:w="1620"/>
      </w:tblGrid>
      <w:tr w:rsidR="006B65E1" w:rsidRPr="00C56F63">
        <w:tc>
          <w:tcPr>
            <w:tcW w:w="1800"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42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78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rPr>
          <w:trHeight w:val="2046"/>
        </w:trPr>
        <w:tc>
          <w:tcPr>
            <w:tcW w:w="1800" w:type="dxa"/>
            <w:vMerge/>
            <w:vAlign w:val="center"/>
          </w:tcPr>
          <w:p w:rsidR="006B65E1" w:rsidRPr="00C56F63" w:rsidRDefault="006B65E1">
            <w:pPr>
              <w:widowControl/>
              <w:spacing w:line="360" w:lineRule="auto"/>
              <w:jc w:val="left"/>
              <w:rPr>
                <w:rFonts w:eastAsiaTheme="minorEastAsia"/>
                <w:color w:val="000000"/>
                <w:szCs w:val="21"/>
              </w:rPr>
            </w:pPr>
          </w:p>
        </w:tc>
        <w:tc>
          <w:tcPr>
            <w:tcW w:w="198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持有的基金份额</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持有的基金份额占基金总份额的比例</w:t>
            </w:r>
          </w:p>
        </w:tc>
        <w:tc>
          <w:tcPr>
            <w:tcW w:w="216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持有的基金份额</w:t>
            </w:r>
          </w:p>
        </w:tc>
        <w:tc>
          <w:tcPr>
            <w:tcW w:w="16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持有的基金份额占基金总份额的比例</w:t>
            </w:r>
          </w:p>
        </w:tc>
      </w:tr>
      <w:tr w:rsidR="00A40B3A">
        <w:tc>
          <w:tcPr>
            <w:tcW w:w="1800" w:type="dxa"/>
            <w:vAlign w:val="center"/>
          </w:tcPr>
          <w:p w:rsidR="00A40B3A" w:rsidRDefault="0060040C">
            <w:pPr>
              <w:jc w:val="left"/>
            </w:pPr>
            <w:r>
              <w:rPr>
                <w:rFonts w:eastAsiaTheme="minorEastAsia"/>
                <w:szCs w:val="21"/>
              </w:rPr>
              <w:t>上海信托</w:t>
            </w:r>
          </w:p>
        </w:tc>
        <w:tc>
          <w:tcPr>
            <w:tcW w:w="1980" w:type="dxa"/>
            <w:vAlign w:val="center"/>
          </w:tcPr>
          <w:p w:rsidR="00A40B3A" w:rsidRDefault="0060040C">
            <w:pPr>
              <w:jc w:val="right"/>
            </w:pPr>
            <w:r>
              <w:rPr>
                <w:rFonts w:eastAsiaTheme="minorEastAsia"/>
                <w:szCs w:val="21"/>
              </w:rPr>
              <w:t>20,004,400.00</w:t>
            </w:r>
          </w:p>
        </w:tc>
        <w:tc>
          <w:tcPr>
            <w:tcW w:w="1440" w:type="dxa"/>
            <w:vAlign w:val="center"/>
          </w:tcPr>
          <w:p w:rsidR="00A40B3A" w:rsidRDefault="0060040C">
            <w:pPr>
              <w:jc w:val="right"/>
            </w:pPr>
            <w:r>
              <w:rPr>
                <w:rFonts w:eastAsiaTheme="minorEastAsia"/>
                <w:szCs w:val="21"/>
              </w:rPr>
              <w:t>38.42%</w:t>
            </w:r>
          </w:p>
        </w:tc>
        <w:tc>
          <w:tcPr>
            <w:tcW w:w="2160" w:type="dxa"/>
            <w:vAlign w:val="center"/>
          </w:tcPr>
          <w:p w:rsidR="00A40B3A" w:rsidRDefault="0060040C">
            <w:pPr>
              <w:jc w:val="right"/>
            </w:pPr>
            <w:r>
              <w:rPr>
                <w:rFonts w:eastAsiaTheme="minorEastAsia"/>
                <w:szCs w:val="21"/>
              </w:rPr>
              <w:t>-</w:t>
            </w:r>
          </w:p>
        </w:tc>
        <w:tc>
          <w:tcPr>
            <w:tcW w:w="1620" w:type="dxa"/>
            <w:vAlign w:val="center"/>
          </w:tcPr>
          <w:p w:rsidR="00A40B3A" w:rsidRDefault="0060040C">
            <w:pPr>
              <w:jc w:val="right"/>
            </w:pPr>
            <w:r>
              <w:rPr>
                <w:rFonts w:eastAsiaTheme="minorEastAsia"/>
                <w:szCs w:val="21"/>
              </w:rPr>
              <w:t>-</w:t>
            </w:r>
          </w:p>
        </w:tc>
      </w:tr>
    </w:tbl>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53"/>
        <w:gridCol w:w="3153"/>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6306"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315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315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A40B3A">
        <w:tc>
          <w:tcPr>
            <w:tcW w:w="2694" w:type="dxa"/>
            <w:vAlign w:val="center"/>
          </w:tcPr>
          <w:p w:rsidR="00A40B3A" w:rsidRDefault="0060040C">
            <w:pPr>
              <w:jc w:val="left"/>
            </w:pPr>
            <w:r>
              <w:rPr>
                <w:rFonts w:eastAsiaTheme="minorEastAsia"/>
                <w:szCs w:val="21"/>
              </w:rPr>
              <w:t>中国建设银行</w:t>
            </w:r>
          </w:p>
        </w:tc>
        <w:tc>
          <w:tcPr>
            <w:tcW w:w="3153" w:type="dxa"/>
            <w:vAlign w:val="center"/>
          </w:tcPr>
          <w:p w:rsidR="00A40B3A" w:rsidRDefault="0060040C">
            <w:pPr>
              <w:jc w:val="right"/>
            </w:pPr>
            <w:r>
              <w:rPr>
                <w:rFonts w:eastAsiaTheme="minorEastAsia"/>
                <w:szCs w:val="21"/>
              </w:rPr>
              <w:t>5,116,545.90</w:t>
            </w:r>
          </w:p>
        </w:tc>
        <w:tc>
          <w:tcPr>
            <w:tcW w:w="3153" w:type="dxa"/>
            <w:vAlign w:val="center"/>
          </w:tcPr>
          <w:p w:rsidR="00A40B3A" w:rsidRDefault="0060040C">
            <w:pPr>
              <w:jc w:val="right"/>
            </w:pPr>
            <w:r>
              <w:rPr>
                <w:rFonts w:eastAsiaTheme="minorEastAsia"/>
                <w:szCs w:val="21"/>
              </w:rPr>
              <w:t>204,910.96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256DE3">
        <w:rPr>
          <w:rFonts w:eastAsiaTheme="minorEastAsia" w:hint="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256DE3">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256DE3">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256DE3">
        <w:rPr>
          <w:rFonts w:eastAsiaTheme="minorEastAsia" w:hint="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256DE3">
        <w:rPr>
          <w:rFonts w:eastAsiaTheme="minorEastAsia" w:hint="eastAsia"/>
          <w:b/>
          <w:bCs/>
          <w:color w:val="000000"/>
          <w:kern w:val="0"/>
          <w:szCs w:val="21"/>
        </w:rPr>
        <w:t>0</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54" w:name="_Toc225498272"/>
      <w:bookmarkStart w:id="55"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4"/>
      <w:bookmarkEnd w:id="55"/>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6"/>
      <w:bookmarkEnd w:id="57"/>
      <w:bookmarkEnd w:id="58"/>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51,079,802.05</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89.70</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51,079,802.05</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89.70</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3E74FD">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3E74FD">
        <w:tc>
          <w:tcPr>
            <w:tcW w:w="1080" w:type="dxa"/>
            <w:vAlign w:val="center"/>
          </w:tcPr>
          <w:p w:rsidR="00544CCD" w:rsidRPr="00C56F63" w:rsidRDefault="00544CCD" w:rsidP="003E74FD">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5,707,432.21</w:t>
            </w:r>
          </w:p>
        </w:tc>
        <w:tc>
          <w:tcPr>
            <w:tcW w:w="2621" w:type="dxa"/>
            <w:vAlign w:val="center"/>
          </w:tcPr>
          <w:p w:rsidR="00544CCD" w:rsidRPr="00C56F63" w:rsidRDefault="00544CCD" w:rsidP="003E74FD">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10.02</w:t>
            </w:r>
          </w:p>
        </w:tc>
      </w:tr>
      <w:tr w:rsidR="00544CCD" w:rsidRPr="00C56F63" w:rsidTr="003E74FD">
        <w:tc>
          <w:tcPr>
            <w:tcW w:w="1080" w:type="dxa"/>
            <w:vAlign w:val="center"/>
          </w:tcPr>
          <w:p w:rsidR="00544CCD" w:rsidRPr="00C56F63" w:rsidRDefault="00544CCD" w:rsidP="003E74FD">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3E74FD">
            <w:pPr>
              <w:spacing w:line="276" w:lineRule="auto"/>
              <w:jc w:val="right"/>
              <w:rPr>
                <w:rFonts w:eastAsiaTheme="minorEastAsia"/>
                <w:color w:val="000000" w:themeColor="text1"/>
                <w:szCs w:val="21"/>
              </w:rPr>
            </w:pPr>
            <w:r w:rsidRPr="00C56F63">
              <w:rPr>
                <w:rFonts w:eastAsiaTheme="minorEastAsia"/>
                <w:color w:val="000000" w:themeColor="text1"/>
                <w:szCs w:val="21"/>
              </w:rPr>
              <w:t>159,848.96</w:t>
            </w:r>
          </w:p>
        </w:tc>
        <w:tc>
          <w:tcPr>
            <w:tcW w:w="2621" w:type="dxa"/>
            <w:vAlign w:val="center"/>
          </w:tcPr>
          <w:p w:rsidR="00544CCD" w:rsidRPr="00C56F63" w:rsidRDefault="00544CCD" w:rsidP="003E74FD">
            <w:pPr>
              <w:spacing w:line="276" w:lineRule="auto"/>
              <w:jc w:val="right"/>
              <w:rPr>
                <w:rFonts w:eastAsiaTheme="minorEastAsia"/>
                <w:color w:val="000000" w:themeColor="text1"/>
                <w:szCs w:val="21"/>
              </w:rPr>
            </w:pPr>
            <w:r w:rsidRPr="00C56F63">
              <w:rPr>
                <w:rFonts w:eastAsiaTheme="minorEastAsia"/>
                <w:color w:val="000000" w:themeColor="text1"/>
                <w:szCs w:val="21"/>
              </w:rPr>
              <w:t>0.28</w:t>
            </w:r>
          </w:p>
        </w:tc>
      </w:tr>
      <w:tr w:rsidR="00544CCD" w:rsidRPr="00C56F63" w:rsidTr="003E74FD">
        <w:tc>
          <w:tcPr>
            <w:tcW w:w="1080" w:type="dxa"/>
            <w:vAlign w:val="center"/>
          </w:tcPr>
          <w:p w:rsidR="00544CCD" w:rsidRPr="00C56F63" w:rsidRDefault="00544CCD" w:rsidP="003E74FD">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3E74FD">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3E74FD">
            <w:pPr>
              <w:spacing w:line="276" w:lineRule="auto"/>
              <w:jc w:val="right"/>
              <w:rPr>
                <w:rFonts w:eastAsiaTheme="minorEastAsia"/>
                <w:color w:val="000000" w:themeColor="text1"/>
                <w:szCs w:val="21"/>
              </w:rPr>
            </w:pPr>
            <w:r w:rsidRPr="00C56F63">
              <w:rPr>
                <w:rFonts w:eastAsiaTheme="minorEastAsia"/>
                <w:color w:val="000000" w:themeColor="text1"/>
                <w:szCs w:val="21"/>
              </w:rPr>
              <w:t>56,947,083.22</w:t>
            </w:r>
          </w:p>
        </w:tc>
        <w:tc>
          <w:tcPr>
            <w:tcW w:w="2621" w:type="dxa"/>
            <w:vAlign w:val="center"/>
          </w:tcPr>
          <w:p w:rsidR="00544CCD" w:rsidRPr="00C56F63" w:rsidRDefault="00544CCD" w:rsidP="003E74FD">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9" w:name="_Toc390421256"/>
      <w:bookmarkStart w:id="60"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9"/>
      <w:bookmarkEnd w:id="60"/>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37,740.05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0.07</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20,140,400.96</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35.67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637,240.00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1.13</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928,625.00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1.64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27,722.24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28,356,177.80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50.21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951,896.00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51,079,802.05</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90.45</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390421257"/>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w:t>
      </w:r>
      <w:r w:rsidR="00256DE3">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A40B3A">
        <w:tc>
          <w:tcPr>
            <w:tcW w:w="817" w:type="dxa"/>
            <w:vAlign w:val="center"/>
          </w:tcPr>
          <w:p w:rsidR="00A40B3A" w:rsidRDefault="0060040C">
            <w:pPr>
              <w:jc w:val="center"/>
            </w:pPr>
            <w:r>
              <w:rPr>
                <w:rFonts w:eastAsiaTheme="minorEastAsia"/>
                <w:color w:val="000000"/>
                <w:szCs w:val="21"/>
              </w:rPr>
              <w:t>1</w:t>
            </w:r>
          </w:p>
        </w:tc>
        <w:tc>
          <w:tcPr>
            <w:tcW w:w="1276" w:type="dxa"/>
            <w:vAlign w:val="center"/>
          </w:tcPr>
          <w:p w:rsidR="00A40B3A" w:rsidRDefault="0060040C">
            <w:pPr>
              <w:jc w:val="center"/>
            </w:pPr>
            <w:r>
              <w:rPr>
                <w:rFonts w:eastAsiaTheme="minorEastAsia"/>
                <w:color w:val="000000"/>
                <w:szCs w:val="21"/>
              </w:rPr>
              <w:t>603501</w:t>
            </w:r>
          </w:p>
        </w:tc>
        <w:tc>
          <w:tcPr>
            <w:tcW w:w="1701" w:type="dxa"/>
            <w:vAlign w:val="center"/>
          </w:tcPr>
          <w:p w:rsidR="00A40B3A" w:rsidRDefault="0060040C">
            <w:pPr>
              <w:jc w:val="center"/>
            </w:pPr>
            <w:r>
              <w:rPr>
                <w:rFonts w:eastAsiaTheme="minorEastAsia"/>
                <w:color w:val="000000"/>
                <w:szCs w:val="21"/>
              </w:rPr>
              <w:t>韦尔股份</w:t>
            </w:r>
          </w:p>
        </w:tc>
        <w:tc>
          <w:tcPr>
            <w:tcW w:w="1276" w:type="dxa"/>
            <w:vAlign w:val="center"/>
          </w:tcPr>
          <w:p w:rsidR="00A40B3A" w:rsidRDefault="0060040C">
            <w:pPr>
              <w:jc w:val="right"/>
            </w:pPr>
            <w:r>
              <w:rPr>
                <w:rFonts w:eastAsiaTheme="minorEastAsia"/>
                <w:color w:val="000000"/>
                <w:szCs w:val="21"/>
              </w:rPr>
              <w:t>40,400.00</w:t>
            </w:r>
          </w:p>
        </w:tc>
        <w:tc>
          <w:tcPr>
            <w:tcW w:w="1842" w:type="dxa"/>
            <w:vAlign w:val="center"/>
          </w:tcPr>
          <w:p w:rsidR="00A40B3A" w:rsidRDefault="0060040C">
            <w:pPr>
              <w:jc w:val="right"/>
            </w:pPr>
            <w:r>
              <w:rPr>
                <w:rFonts w:eastAsiaTheme="minorEastAsia"/>
                <w:color w:val="000000"/>
                <w:szCs w:val="21"/>
              </w:rPr>
              <w:t>2,218,364.00</w:t>
            </w:r>
          </w:p>
        </w:tc>
        <w:tc>
          <w:tcPr>
            <w:tcW w:w="1616" w:type="dxa"/>
            <w:vAlign w:val="center"/>
          </w:tcPr>
          <w:p w:rsidR="00A40B3A" w:rsidRDefault="0060040C">
            <w:pPr>
              <w:jc w:val="right"/>
            </w:pPr>
            <w:r>
              <w:rPr>
                <w:rFonts w:eastAsiaTheme="minorEastAsia"/>
                <w:color w:val="000000"/>
                <w:szCs w:val="21"/>
              </w:rPr>
              <w:t>3.93</w:t>
            </w:r>
          </w:p>
        </w:tc>
      </w:tr>
      <w:tr w:rsidR="00A40B3A">
        <w:tc>
          <w:tcPr>
            <w:tcW w:w="817" w:type="dxa"/>
            <w:vAlign w:val="center"/>
          </w:tcPr>
          <w:p w:rsidR="00A40B3A" w:rsidRDefault="0060040C">
            <w:pPr>
              <w:jc w:val="center"/>
            </w:pPr>
            <w:r>
              <w:rPr>
                <w:rFonts w:eastAsiaTheme="minorEastAsia"/>
                <w:color w:val="000000"/>
                <w:szCs w:val="21"/>
              </w:rPr>
              <w:t>2</w:t>
            </w:r>
          </w:p>
        </w:tc>
        <w:tc>
          <w:tcPr>
            <w:tcW w:w="1276" w:type="dxa"/>
            <w:vAlign w:val="center"/>
          </w:tcPr>
          <w:p w:rsidR="00A40B3A" w:rsidRDefault="0060040C">
            <w:pPr>
              <w:jc w:val="center"/>
            </w:pPr>
            <w:r>
              <w:rPr>
                <w:rFonts w:eastAsiaTheme="minorEastAsia"/>
                <w:color w:val="000000"/>
                <w:szCs w:val="21"/>
              </w:rPr>
              <w:t>600030</w:t>
            </w:r>
          </w:p>
        </w:tc>
        <w:tc>
          <w:tcPr>
            <w:tcW w:w="1701" w:type="dxa"/>
            <w:vAlign w:val="center"/>
          </w:tcPr>
          <w:p w:rsidR="00A40B3A" w:rsidRDefault="0060040C">
            <w:pPr>
              <w:jc w:val="center"/>
            </w:pPr>
            <w:r>
              <w:rPr>
                <w:rFonts w:eastAsiaTheme="minorEastAsia"/>
                <w:color w:val="000000"/>
                <w:szCs w:val="21"/>
              </w:rPr>
              <w:t>中信证券</w:t>
            </w:r>
          </w:p>
        </w:tc>
        <w:tc>
          <w:tcPr>
            <w:tcW w:w="1276" w:type="dxa"/>
            <w:vAlign w:val="center"/>
          </w:tcPr>
          <w:p w:rsidR="00A40B3A" w:rsidRDefault="0060040C">
            <w:pPr>
              <w:jc w:val="right"/>
            </w:pPr>
            <w:r>
              <w:rPr>
                <w:rFonts w:eastAsiaTheme="minorEastAsia"/>
                <w:color w:val="000000"/>
                <w:szCs w:val="21"/>
              </w:rPr>
              <w:t>90,700.00</w:t>
            </w:r>
          </w:p>
        </w:tc>
        <w:tc>
          <w:tcPr>
            <w:tcW w:w="1842" w:type="dxa"/>
            <w:vAlign w:val="center"/>
          </w:tcPr>
          <w:p w:rsidR="00A40B3A" w:rsidRDefault="0060040C">
            <w:pPr>
              <w:jc w:val="right"/>
            </w:pPr>
            <w:r>
              <w:rPr>
                <w:rFonts w:eastAsiaTheme="minorEastAsia"/>
                <w:color w:val="000000"/>
                <w:szCs w:val="21"/>
              </w:rPr>
              <w:t>2,159,567.00</w:t>
            </w:r>
          </w:p>
        </w:tc>
        <w:tc>
          <w:tcPr>
            <w:tcW w:w="1616" w:type="dxa"/>
            <w:vAlign w:val="center"/>
          </w:tcPr>
          <w:p w:rsidR="00A40B3A" w:rsidRDefault="0060040C">
            <w:pPr>
              <w:jc w:val="right"/>
            </w:pPr>
            <w:r>
              <w:rPr>
                <w:rFonts w:eastAsiaTheme="minorEastAsia"/>
                <w:color w:val="000000"/>
                <w:szCs w:val="21"/>
              </w:rPr>
              <w:t>3.82</w:t>
            </w:r>
          </w:p>
        </w:tc>
      </w:tr>
      <w:tr w:rsidR="00A40B3A">
        <w:tc>
          <w:tcPr>
            <w:tcW w:w="817" w:type="dxa"/>
            <w:vAlign w:val="center"/>
          </w:tcPr>
          <w:p w:rsidR="00A40B3A" w:rsidRDefault="0060040C">
            <w:pPr>
              <w:jc w:val="center"/>
            </w:pPr>
            <w:r>
              <w:rPr>
                <w:rFonts w:eastAsiaTheme="minorEastAsia"/>
                <w:color w:val="000000"/>
                <w:szCs w:val="21"/>
              </w:rPr>
              <w:t>3</w:t>
            </w:r>
          </w:p>
        </w:tc>
        <w:tc>
          <w:tcPr>
            <w:tcW w:w="1276" w:type="dxa"/>
            <w:vAlign w:val="center"/>
          </w:tcPr>
          <w:p w:rsidR="00A40B3A" w:rsidRDefault="0060040C">
            <w:pPr>
              <w:jc w:val="center"/>
            </w:pPr>
            <w:r>
              <w:rPr>
                <w:rFonts w:eastAsiaTheme="minorEastAsia"/>
                <w:color w:val="000000"/>
                <w:szCs w:val="21"/>
              </w:rPr>
              <w:t>600837</w:t>
            </w:r>
          </w:p>
        </w:tc>
        <w:tc>
          <w:tcPr>
            <w:tcW w:w="1701" w:type="dxa"/>
            <w:vAlign w:val="center"/>
          </w:tcPr>
          <w:p w:rsidR="00A40B3A" w:rsidRDefault="0060040C">
            <w:pPr>
              <w:jc w:val="center"/>
            </w:pPr>
            <w:r>
              <w:rPr>
                <w:rFonts w:eastAsiaTheme="minorEastAsia"/>
                <w:color w:val="000000"/>
                <w:szCs w:val="21"/>
              </w:rPr>
              <w:t>海通证券</w:t>
            </w:r>
          </w:p>
        </w:tc>
        <w:tc>
          <w:tcPr>
            <w:tcW w:w="1276" w:type="dxa"/>
            <w:vAlign w:val="center"/>
          </w:tcPr>
          <w:p w:rsidR="00A40B3A" w:rsidRDefault="0060040C">
            <w:pPr>
              <w:jc w:val="right"/>
            </w:pPr>
            <w:r>
              <w:rPr>
                <w:rFonts w:eastAsiaTheme="minorEastAsia"/>
                <w:color w:val="000000"/>
                <w:szCs w:val="21"/>
              </w:rPr>
              <w:t>150,600.00</w:t>
            </w:r>
          </w:p>
        </w:tc>
        <w:tc>
          <w:tcPr>
            <w:tcW w:w="1842" w:type="dxa"/>
            <w:vAlign w:val="center"/>
          </w:tcPr>
          <w:p w:rsidR="00A40B3A" w:rsidRDefault="0060040C">
            <w:pPr>
              <w:jc w:val="right"/>
            </w:pPr>
            <w:r>
              <w:rPr>
                <w:rFonts w:eastAsiaTheme="minorEastAsia"/>
                <w:color w:val="000000"/>
                <w:szCs w:val="21"/>
              </w:rPr>
              <w:t>2,137,014.00</w:t>
            </w:r>
          </w:p>
        </w:tc>
        <w:tc>
          <w:tcPr>
            <w:tcW w:w="1616" w:type="dxa"/>
            <w:vAlign w:val="center"/>
          </w:tcPr>
          <w:p w:rsidR="00A40B3A" w:rsidRDefault="0060040C">
            <w:pPr>
              <w:jc w:val="right"/>
            </w:pPr>
            <w:r>
              <w:rPr>
                <w:rFonts w:eastAsiaTheme="minorEastAsia"/>
                <w:color w:val="000000"/>
                <w:szCs w:val="21"/>
              </w:rPr>
              <w:t>3.78</w:t>
            </w:r>
          </w:p>
        </w:tc>
      </w:tr>
      <w:tr w:rsidR="00A40B3A">
        <w:tc>
          <w:tcPr>
            <w:tcW w:w="817" w:type="dxa"/>
            <w:vAlign w:val="center"/>
          </w:tcPr>
          <w:p w:rsidR="00A40B3A" w:rsidRDefault="0060040C">
            <w:pPr>
              <w:jc w:val="center"/>
            </w:pPr>
            <w:r>
              <w:rPr>
                <w:rFonts w:eastAsiaTheme="minorEastAsia"/>
                <w:color w:val="000000"/>
                <w:szCs w:val="21"/>
              </w:rPr>
              <w:t>4</w:t>
            </w:r>
          </w:p>
        </w:tc>
        <w:tc>
          <w:tcPr>
            <w:tcW w:w="1276" w:type="dxa"/>
            <w:vAlign w:val="center"/>
          </w:tcPr>
          <w:p w:rsidR="00A40B3A" w:rsidRDefault="0060040C">
            <w:pPr>
              <w:jc w:val="center"/>
            </w:pPr>
            <w:r>
              <w:rPr>
                <w:rFonts w:eastAsiaTheme="minorEastAsia"/>
                <w:color w:val="000000"/>
                <w:szCs w:val="21"/>
              </w:rPr>
              <w:t>600519</w:t>
            </w:r>
          </w:p>
        </w:tc>
        <w:tc>
          <w:tcPr>
            <w:tcW w:w="1701" w:type="dxa"/>
            <w:vAlign w:val="center"/>
          </w:tcPr>
          <w:p w:rsidR="00A40B3A" w:rsidRDefault="0060040C">
            <w:pPr>
              <w:jc w:val="center"/>
            </w:pPr>
            <w:r>
              <w:rPr>
                <w:rFonts w:eastAsiaTheme="minorEastAsia"/>
                <w:color w:val="000000"/>
                <w:szCs w:val="21"/>
              </w:rPr>
              <w:t>贵州茅台</w:t>
            </w:r>
          </w:p>
        </w:tc>
        <w:tc>
          <w:tcPr>
            <w:tcW w:w="1276" w:type="dxa"/>
            <w:vAlign w:val="center"/>
          </w:tcPr>
          <w:p w:rsidR="00A40B3A" w:rsidRDefault="0060040C">
            <w:pPr>
              <w:jc w:val="right"/>
            </w:pPr>
            <w:r>
              <w:rPr>
                <w:rFonts w:eastAsiaTheme="minorEastAsia"/>
                <w:color w:val="000000"/>
                <w:szCs w:val="21"/>
              </w:rPr>
              <w:t>2,100.00</w:t>
            </w:r>
          </w:p>
        </w:tc>
        <w:tc>
          <w:tcPr>
            <w:tcW w:w="1842" w:type="dxa"/>
            <w:vAlign w:val="center"/>
          </w:tcPr>
          <w:p w:rsidR="00A40B3A" w:rsidRDefault="0060040C">
            <w:pPr>
              <w:jc w:val="right"/>
            </w:pPr>
            <w:r>
              <w:rPr>
                <w:rFonts w:eastAsiaTheme="minorEastAsia"/>
                <w:color w:val="000000"/>
                <w:szCs w:val="21"/>
              </w:rPr>
              <w:t>2,066,400.00</w:t>
            </w:r>
          </w:p>
        </w:tc>
        <w:tc>
          <w:tcPr>
            <w:tcW w:w="1616" w:type="dxa"/>
            <w:vAlign w:val="center"/>
          </w:tcPr>
          <w:p w:rsidR="00A40B3A" w:rsidRDefault="0060040C">
            <w:pPr>
              <w:jc w:val="right"/>
            </w:pPr>
            <w:r>
              <w:rPr>
                <w:rFonts w:eastAsiaTheme="minorEastAsia"/>
                <w:color w:val="000000"/>
                <w:szCs w:val="21"/>
              </w:rPr>
              <w:t>3.66</w:t>
            </w:r>
          </w:p>
        </w:tc>
      </w:tr>
      <w:tr w:rsidR="00A40B3A">
        <w:tc>
          <w:tcPr>
            <w:tcW w:w="817" w:type="dxa"/>
            <w:vAlign w:val="center"/>
          </w:tcPr>
          <w:p w:rsidR="00A40B3A" w:rsidRDefault="0060040C">
            <w:pPr>
              <w:jc w:val="center"/>
            </w:pPr>
            <w:r>
              <w:rPr>
                <w:rFonts w:eastAsiaTheme="minorEastAsia"/>
                <w:color w:val="000000"/>
                <w:szCs w:val="21"/>
              </w:rPr>
              <w:t>5</w:t>
            </w:r>
          </w:p>
        </w:tc>
        <w:tc>
          <w:tcPr>
            <w:tcW w:w="1276" w:type="dxa"/>
            <w:vAlign w:val="center"/>
          </w:tcPr>
          <w:p w:rsidR="00A40B3A" w:rsidRDefault="0060040C">
            <w:pPr>
              <w:jc w:val="center"/>
            </w:pPr>
            <w:r>
              <w:rPr>
                <w:rFonts w:eastAsiaTheme="minorEastAsia"/>
                <w:color w:val="000000"/>
                <w:szCs w:val="21"/>
              </w:rPr>
              <w:t>600036</w:t>
            </w:r>
          </w:p>
        </w:tc>
        <w:tc>
          <w:tcPr>
            <w:tcW w:w="1701" w:type="dxa"/>
            <w:vAlign w:val="center"/>
          </w:tcPr>
          <w:p w:rsidR="00A40B3A" w:rsidRDefault="0060040C">
            <w:pPr>
              <w:jc w:val="center"/>
            </w:pPr>
            <w:r>
              <w:rPr>
                <w:rFonts w:eastAsiaTheme="minorEastAsia"/>
                <w:color w:val="000000"/>
                <w:szCs w:val="21"/>
              </w:rPr>
              <w:t>招商银行</w:t>
            </w:r>
          </w:p>
        </w:tc>
        <w:tc>
          <w:tcPr>
            <w:tcW w:w="1276" w:type="dxa"/>
            <w:vAlign w:val="center"/>
          </w:tcPr>
          <w:p w:rsidR="00A40B3A" w:rsidRDefault="0060040C">
            <w:pPr>
              <w:jc w:val="right"/>
            </w:pPr>
            <w:r>
              <w:rPr>
                <w:rFonts w:eastAsiaTheme="minorEastAsia"/>
                <w:color w:val="000000"/>
                <w:szCs w:val="21"/>
              </w:rPr>
              <w:t>57,200.00</w:t>
            </w:r>
          </w:p>
        </w:tc>
        <w:tc>
          <w:tcPr>
            <w:tcW w:w="1842" w:type="dxa"/>
            <w:vAlign w:val="center"/>
          </w:tcPr>
          <w:p w:rsidR="00A40B3A" w:rsidRDefault="0060040C">
            <w:pPr>
              <w:jc w:val="right"/>
            </w:pPr>
            <w:r>
              <w:rPr>
                <w:rFonts w:eastAsiaTheme="minorEastAsia"/>
                <w:color w:val="000000"/>
                <w:szCs w:val="21"/>
              </w:rPr>
              <w:t>2,058,056.00</w:t>
            </w:r>
          </w:p>
        </w:tc>
        <w:tc>
          <w:tcPr>
            <w:tcW w:w="1616" w:type="dxa"/>
            <w:vAlign w:val="center"/>
          </w:tcPr>
          <w:p w:rsidR="00A40B3A" w:rsidRDefault="0060040C">
            <w:pPr>
              <w:jc w:val="right"/>
            </w:pPr>
            <w:r>
              <w:rPr>
                <w:rFonts w:eastAsiaTheme="minorEastAsia"/>
                <w:color w:val="000000"/>
                <w:szCs w:val="21"/>
              </w:rPr>
              <w:t>3.64</w:t>
            </w:r>
          </w:p>
        </w:tc>
      </w:tr>
      <w:tr w:rsidR="00A40B3A">
        <w:tc>
          <w:tcPr>
            <w:tcW w:w="817" w:type="dxa"/>
            <w:vAlign w:val="center"/>
          </w:tcPr>
          <w:p w:rsidR="00A40B3A" w:rsidRDefault="0060040C">
            <w:pPr>
              <w:jc w:val="center"/>
            </w:pPr>
            <w:r>
              <w:rPr>
                <w:rFonts w:eastAsiaTheme="minorEastAsia"/>
                <w:color w:val="000000"/>
                <w:szCs w:val="21"/>
              </w:rPr>
              <w:t>6</w:t>
            </w:r>
          </w:p>
        </w:tc>
        <w:tc>
          <w:tcPr>
            <w:tcW w:w="1276" w:type="dxa"/>
            <w:vAlign w:val="center"/>
          </w:tcPr>
          <w:p w:rsidR="00A40B3A" w:rsidRDefault="0060040C">
            <w:pPr>
              <w:jc w:val="center"/>
            </w:pPr>
            <w:r>
              <w:rPr>
                <w:rFonts w:eastAsiaTheme="minorEastAsia"/>
                <w:color w:val="000000"/>
                <w:szCs w:val="21"/>
              </w:rPr>
              <w:t>600276</w:t>
            </w:r>
          </w:p>
        </w:tc>
        <w:tc>
          <w:tcPr>
            <w:tcW w:w="1701" w:type="dxa"/>
            <w:vAlign w:val="center"/>
          </w:tcPr>
          <w:p w:rsidR="00A40B3A" w:rsidRDefault="0060040C">
            <w:pPr>
              <w:jc w:val="center"/>
            </w:pPr>
            <w:r>
              <w:rPr>
                <w:rFonts w:eastAsiaTheme="minorEastAsia"/>
                <w:color w:val="000000"/>
                <w:szCs w:val="21"/>
              </w:rPr>
              <w:t>恒瑞医药</w:t>
            </w:r>
          </w:p>
        </w:tc>
        <w:tc>
          <w:tcPr>
            <w:tcW w:w="1276" w:type="dxa"/>
            <w:vAlign w:val="center"/>
          </w:tcPr>
          <w:p w:rsidR="00A40B3A" w:rsidRDefault="0060040C">
            <w:pPr>
              <w:jc w:val="right"/>
            </w:pPr>
            <w:r>
              <w:rPr>
                <w:rFonts w:eastAsiaTheme="minorEastAsia"/>
                <w:color w:val="000000"/>
                <w:szCs w:val="21"/>
              </w:rPr>
              <w:t>29,800.00</w:t>
            </w:r>
          </w:p>
        </w:tc>
        <w:tc>
          <w:tcPr>
            <w:tcW w:w="1842" w:type="dxa"/>
            <w:vAlign w:val="center"/>
          </w:tcPr>
          <w:p w:rsidR="00A40B3A" w:rsidRDefault="0060040C">
            <w:pPr>
              <w:jc w:val="right"/>
            </w:pPr>
            <w:r>
              <w:rPr>
                <w:rFonts w:eastAsiaTheme="minorEastAsia"/>
                <w:color w:val="000000"/>
                <w:szCs w:val="21"/>
              </w:rPr>
              <w:t>1,966,800.00</w:t>
            </w:r>
          </w:p>
        </w:tc>
        <w:tc>
          <w:tcPr>
            <w:tcW w:w="1616" w:type="dxa"/>
            <w:vAlign w:val="center"/>
          </w:tcPr>
          <w:p w:rsidR="00A40B3A" w:rsidRDefault="0060040C">
            <w:pPr>
              <w:jc w:val="right"/>
            </w:pPr>
            <w:r>
              <w:rPr>
                <w:rFonts w:eastAsiaTheme="minorEastAsia"/>
                <w:color w:val="000000"/>
                <w:szCs w:val="21"/>
              </w:rPr>
              <w:t>3.48</w:t>
            </w:r>
          </w:p>
        </w:tc>
      </w:tr>
      <w:tr w:rsidR="00A40B3A">
        <w:tc>
          <w:tcPr>
            <w:tcW w:w="817" w:type="dxa"/>
            <w:vAlign w:val="center"/>
          </w:tcPr>
          <w:p w:rsidR="00A40B3A" w:rsidRDefault="0060040C">
            <w:pPr>
              <w:jc w:val="center"/>
            </w:pPr>
            <w:r>
              <w:rPr>
                <w:rFonts w:eastAsiaTheme="minorEastAsia"/>
                <w:color w:val="000000"/>
                <w:szCs w:val="21"/>
              </w:rPr>
              <w:t>7</w:t>
            </w:r>
          </w:p>
        </w:tc>
        <w:tc>
          <w:tcPr>
            <w:tcW w:w="1276" w:type="dxa"/>
            <w:vAlign w:val="center"/>
          </w:tcPr>
          <w:p w:rsidR="00A40B3A" w:rsidRDefault="0060040C">
            <w:pPr>
              <w:jc w:val="center"/>
            </w:pPr>
            <w:r>
              <w:rPr>
                <w:rFonts w:eastAsiaTheme="minorEastAsia"/>
                <w:color w:val="000000"/>
                <w:szCs w:val="21"/>
              </w:rPr>
              <w:t>601229</w:t>
            </w:r>
          </w:p>
        </w:tc>
        <w:tc>
          <w:tcPr>
            <w:tcW w:w="1701" w:type="dxa"/>
            <w:vAlign w:val="center"/>
          </w:tcPr>
          <w:p w:rsidR="00A40B3A" w:rsidRDefault="0060040C">
            <w:pPr>
              <w:jc w:val="center"/>
            </w:pPr>
            <w:r>
              <w:rPr>
                <w:rFonts w:eastAsiaTheme="minorEastAsia"/>
                <w:color w:val="000000"/>
                <w:szCs w:val="21"/>
              </w:rPr>
              <w:t>上海银行</w:t>
            </w:r>
          </w:p>
        </w:tc>
        <w:tc>
          <w:tcPr>
            <w:tcW w:w="1276" w:type="dxa"/>
            <w:vAlign w:val="center"/>
          </w:tcPr>
          <w:p w:rsidR="00A40B3A" w:rsidRDefault="0060040C">
            <w:pPr>
              <w:jc w:val="right"/>
            </w:pPr>
            <w:r>
              <w:rPr>
                <w:rFonts w:eastAsiaTheme="minorEastAsia"/>
                <w:color w:val="000000"/>
                <w:szCs w:val="21"/>
              </w:rPr>
              <w:t>164,800.00</w:t>
            </w:r>
          </w:p>
        </w:tc>
        <w:tc>
          <w:tcPr>
            <w:tcW w:w="1842" w:type="dxa"/>
            <w:vAlign w:val="center"/>
          </w:tcPr>
          <w:p w:rsidR="00A40B3A" w:rsidRDefault="0060040C">
            <w:pPr>
              <w:jc w:val="right"/>
            </w:pPr>
            <w:r>
              <w:rPr>
                <w:rFonts w:eastAsiaTheme="minorEastAsia"/>
                <w:color w:val="000000"/>
                <w:szCs w:val="21"/>
              </w:rPr>
              <w:t>1,952,880.00</w:t>
            </w:r>
          </w:p>
        </w:tc>
        <w:tc>
          <w:tcPr>
            <w:tcW w:w="1616" w:type="dxa"/>
            <w:vAlign w:val="center"/>
          </w:tcPr>
          <w:p w:rsidR="00A40B3A" w:rsidRDefault="0060040C">
            <w:pPr>
              <w:jc w:val="right"/>
            </w:pPr>
            <w:r>
              <w:rPr>
                <w:rFonts w:eastAsiaTheme="minorEastAsia"/>
                <w:color w:val="000000"/>
                <w:szCs w:val="21"/>
              </w:rPr>
              <w:t>3.46</w:t>
            </w:r>
          </w:p>
        </w:tc>
      </w:tr>
      <w:tr w:rsidR="00A40B3A">
        <w:tc>
          <w:tcPr>
            <w:tcW w:w="817" w:type="dxa"/>
            <w:vAlign w:val="center"/>
          </w:tcPr>
          <w:p w:rsidR="00A40B3A" w:rsidRDefault="0060040C">
            <w:pPr>
              <w:jc w:val="center"/>
            </w:pPr>
            <w:r>
              <w:rPr>
                <w:rFonts w:eastAsiaTheme="minorEastAsia"/>
                <w:color w:val="000000"/>
                <w:szCs w:val="21"/>
              </w:rPr>
              <w:t>8</w:t>
            </w:r>
          </w:p>
        </w:tc>
        <w:tc>
          <w:tcPr>
            <w:tcW w:w="1276" w:type="dxa"/>
            <w:vAlign w:val="center"/>
          </w:tcPr>
          <w:p w:rsidR="00A40B3A" w:rsidRDefault="0060040C">
            <w:pPr>
              <w:jc w:val="center"/>
            </w:pPr>
            <w:r>
              <w:rPr>
                <w:rFonts w:eastAsiaTheme="minorEastAsia"/>
                <w:color w:val="000000"/>
                <w:szCs w:val="21"/>
              </w:rPr>
              <w:t>601398</w:t>
            </w:r>
          </w:p>
        </w:tc>
        <w:tc>
          <w:tcPr>
            <w:tcW w:w="1701" w:type="dxa"/>
            <w:vAlign w:val="center"/>
          </w:tcPr>
          <w:p w:rsidR="00A40B3A" w:rsidRDefault="0060040C">
            <w:pPr>
              <w:jc w:val="center"/>
            </w:pPr>
            <w:r>
              <w:rPr>
                <w:rFonts w:eastAsiaTheme="minorEastAsia"/>
                <w:color w:val="000000"/>
                <w:szCs w:val="21"/>
              </w:rPr>
              <w:t>工商银行</w:t>
            </w:r>
          </w:p>
        </w:tc>
        <w:tc>
          <w:tcPr>
            <w:tcW w:w="1276" w:type="dxa"/>
            <w:vAlign w:val="center"/>
          </w:tcPr>
          <w:p w:rsidR="00A40B3A" w:rsidRDefault="0060040C">
            <w:pPr>
              <w:jc w:val="right"/>
            </w:pPr>
            <w:r>
              <w:rPr>
                <w:rFonts w:eastAsiaTheme="minorEastAsia"/>
                <w:color w:val="000000"/>
                <w:szCs w:val="21"/>
              </w:rPr>
              <w:t>331,500.00</w:t>
            </w:r>
          </w:p>
        </w:tc>
        <w:tc>
          <w:tcPr>
            <w:tcW w:w="1842" w:type="dxa"/>
            <w:vAlign w:val="center"/>
          </w:tcPr>
          <w:p w:rsidR="00A40B3A" w:rsidRDefault="0060040C">
            <w:pPr>
              <w:jc w:val="right"/>
            </w:pPr>
            <w:r>
              <w:rPr>
                <w:rFonts w:eastAsiaTheme="minorEastAsia"/>
                <w:color w:val="000000"/>
                <w:szCs w:val="21"/>
              </w:rPr>
              <w:t>1,952,535.00</w:t>
            </w:r>
          </w:p>
        </w:tc>
        <w:tc>
          <w:tcPr>
            <w:tcW w:w="1616" w:type="dxa"/>
            <w:vAlign w:val="center"/>
          </w:tcPr>
          <w:p w:rsidR="00A40B3A" w:rsidRDefault="0060040C">
            <w:pPr>
              <w:jc w:val="right"/>
            </w:pPr>
            <w:r>
              <w:rPr>
                <w:rFonts w:eastAsiaTheme="minorEastAsia"/>
                <w:color w:val="000000"/>
                <w:szCs w:val="21"/>
              </w:rPr>
              <w:t>3.46</w:t>
            </w:r>
          </w:p>
        </w:tc>
      </w:tr>
      <w:tr w:rsidR="00A40B3A">
        <w:tc>
          <w:tcPr>
            <w:tcW w:w="817" w:type="dxa"/>
            <w:vAlign w:val="center"/>
          </w:tcPr>
          <w:p w:rsidR="00A40B3A" w:rsidRDefault="0060040C">
            <w:pPr>
              <w:jc w:val="center"/>
            </w:pPr>
            <w:r>
              <w:rPr>
                <w:rFonts w:eastAsiaTheme="minorEastAsia"/>
                <w:color w:val="000000"/>
                <w:szCs w:val="21"/>
              </w:rPr>
              <w:t>9</w:t>
            </w:r>
          </w:p>
        </w:tc>
        <w:tc>
          <w:tcPr>
            <w:tcW w:w="1276" w:type="dxa"/>
            <w:vAlign w:val="center"/>
          </w:tcPr>
          <w:p w:rsidR="00A40B3A" w:rsidRDefault="0060040C">
            <w:pPr>
              <w:jc w:val="center"/>
            </w:pPr>
            <w:r>
              <w:rPr>
                <w:rFonts w:eastAsiaTheme="minorEastAsia"/>
                <w:color w:val="000000"/>
                <w:szCs w:val="21"/>
              </w:rPr>
              <w:t>601838</w:t>
            </w:r>
          </w:p>
        </w:tc>
        <w:tc>
          <w:tcPr>
            <w:tcW w:w="1701" w:type="dxa"/>
            <w:vAlign w:val="center"/>
          </w:tcPr>
          <w:p w:rsidR="00A40B3A" w:rsidRDefault="0060040C">
            <w:pPr>
              <w:jc w:val="center"/>
            </w:pPr>
            <w:r>
              <w:rPr>
                <w:rFonts w:eastAsiaTheme="minorEastAsia"/>
                <w:color w:val="000000"/>
                <w:szCs w:val="21"/>
              </w:rPr>
              <w:t>成都银行</w:t>
            </w:r>
          </w:p>
        </w:tc>
        <w:tc>
          <w:tcPr>
            <w:tcW w:w="1276" w:type="dxa"/>
            <w:vAlign w:val="center"/>
          </w:tcPr>
          <w:p w:rsidR="00A40B3A" w:rsidRDefault="0060040C">
            <w:pPr>
              <w:jc w:val="right"/>
            </w:pPr>
            <w:r>
              <w:rPr>
                <w:rFonts w:eastAsiaTheme="minorEastAsia"/>
                <w:color w:val="000000"/>
                <w:szCs w:val="21"/>
              </w:rPr>
              <w:t>220,900.00</w:t>
            </w:r>
          </w:p>
        </w:tc>
        <w:tc>
          <w:tcPr>
            <w:tcW w:w="1842" w:type="dxa"/>
            <w:vAlign w:val="center"/>
          </w:tcPr>
          <w:p w:rsidR="00A40B3A" w:rsidRDefault="0060040C">
            <w:pPr>
              <w:jc w:val="right"/>
            </w:pPr>
            <w:r>
              <w:rPr>
                <w:rFonts w:eastAsiaTheme="minorEastAsia"/>
                <w:color w:val="000000"/>
                <w:szCs w:val="21"/>
              </w:rPr>
              <w:t>1,950,547.00</w:t>
            </w:r>
          </w:p>
        </w:tc>
        <w:tc>
          <w:tcPr>
            <w:tcW w:w="1616" w:type="dxa"/>
            <w:vAlign w:val="center"/>
          </w:tcPr>
          <w:p w:rsidR="00A40B3A" w:rsidRDefault="0060040C">
            <w:pPr>
              <w:jc w:val="right"/>
            </w:pPr>
            <w:r>
              <w:rPr>
                <w:rFonts w:eastAsiaTheme="minorEastAsia"/>
                <w:color w:val="000000"/>
                <w:szCs w:val="21"/>
              </w:rPr>
              <w:t>3.45</w:t>
            </w:r>
          </w:p>
        </w:tc>
      </w:tr>
      <w:tr w:rsidR="00A40B3A">
        <w:tc>
          <w:tcPr>
            <w:tcW w:w="817" w:type="dxa"/>
            <w:vAlign w:val="center"/>
          </w:tcPr>
          <w:p w:rsidR="00A40B3A" w:rsidRDefault="0060040C">
            <w:pPr>
              <w:jc w:val="center"/>
            </w:pPr>
            <w:r>
              <w:rPr>
                <w:rFonts w:eastAsiaTheme="minorEastAsia"/>
                <w:color w:val="000000"/>
                <w:szCs w:val="21"/>
              </w:rPr>
              <w:t>10</w:t>
            </w:r>
          </w:p>
        </w:tc>
        <w:tc>
          <w:tcPr>
            <w:tcW w:w="1276" w:type="dxa"/>
            <w:vAlign w:val="center"/>
          </w:tcPr>
          <w:p w:rsidR="00A40B3A" w:rsidRDefault="0060040C">
            <w:pPr>
              <w:jc w:val="center"/>
            </w:pPr>
            <w:r>
              <w:rPr>
                <w:rFonts w:eastAsiaTheme="minorEastAsia"/>
                <w:color w:val="000000"/>
                <w:szCs w:val="21"/>
              </w:rPr>
              <w:t>600016</w:t>
            </w:r>
          </w:p>
        </w:tc>
        <w:tc>
          <w:tcPr>
            <w:tcW w:w="1701" w:type="dxa"/>
            <w:vAlign w:val="center"/>
          </w:tcPr>
          <w:p w:rsidR="00A40B3A" w:rsidRDefault="0060040C">
            <w:pPr>
              <w:jc w:val="center"/>
            </w:pPr>
            <w:r>
              <w:rPr>
                <w:rFonts w:eastAsiaTheme="minorEastAsia"/>
                <w:color w:val="000000"/>
                <w:szCs w:val="21"/>
              </w:rPr>
              <w:t>民生银行</w:t>
            </w:r>
          </w:p>
        </w:tc>
        <w:tc>
          <w:tcPr>
            <w:tcW w:w="1276" w:type="dxa"/>
            <w:vAlign w:val="center"/>
          </w:tcPr>
          <w:p w:rsidR="00A40B3A" w:rsidRDefault="0060040C">
            <w:pPr>
              <w:jc w:val="right"/>
            </w:pPr>
            <w:r>
              <w:rPr>
                <w:rFonts w:eastAsiaTheme="minorEastAsia"/>
                <w:color w:val="000000"/>
                <w:szCs w:val="21"/>
              </w:rPr>
              <w:t>305,700.00</w:t>
            </w:r>
          </w:p>
        </w:tc>
        <w:tc>
          <w:tcPr>
            <w:tcW w:w="1842" w:type="dxa"/>
            <w:vAlign w:val="center"/>
          </w:tcPr>
          <w:p w:rsidR="00A40B3A" w:rsidRDefault="0060040C">
            <w:pPr>
              <w:jc w:val="right"/>
            </w:pPr>
            <w:r>
              <w:rPr>
                <w:rFonts w:eastAsiaTheme="minorEastAsia"/>
                <w:color w:val="000000"/>
                <w:szCs w:val="21"/>
              </w:rPr>
              <w:t>1,941,195.00</w:t>
            </w:r>
          </w:p>
        </w:tc>
        <w:tc>
          <w:tcPr>
            <w:tcW w:w="1616" w:type="dxa"/>
            <w:vAlign w:val="center"/>
          </w:tcPr>
          <w:p w:rsidR="00A40B3A" w:rsidRDefault="0060040C">
            <w:pPr>
              <w:jc w:val="right"/>
            </w:pPr>
            <w:r>
              <w:rPr>
                <w:rFonts w:eastAsiaTheme="minorEastAsia"/>
                <w:color w:val="000000"/>
                <w:szCs w:val="21"/>
              </w:rPr>
              <w:t>3.44</w:t>
            </w:r>
          </w:p>
        </w:tc>
      </w:tr>
    </w:tbl>
    <w:p w:rsidR="003E74FD" w:rsidRPr="003E74FD" w:rsidRDefault="003E74FD" w:rsidP="003E74FD">
      <w:pPr>
        <w:tabs>
          <w:tab w:val="left" w:pos="426"/>
        </w:tabs>
        <w:spacing w:line="360" w:lineRule="auto"/>
        <w:jc w:val="left"/>
        <w:rPr>
          <w:rFonts w:eastAsiaTheme="minorEastAsia"/>
          <w:kern w:val="0"/>
          <w:szCs w:val="21"/>
        </w:rPr>
      </w:pPr>
      <w:bookmarkStart w:id="62" w:name="_Toc390421260"/>
      <w:r w:rsidRPr="00B035D7">
        <w:rPr>
          <w:rFonts w:eastAsiaTheme="minorEastAsia" w:hint="eastAsia"/>
          <w:kern w:val="0"/>
          <w:szCs w:val="21"/>
        </w:rPr>
        <w:t>注：投资者欲了解本报告期末基金投资的所有股票明细，应阅读登载于本基金管理人网站（</w:t>
      </w:r>
      <w:hyperlink r:id="rId10" w:history="1">
        <w:r w:rsidRPr="00B035D7">
          <w:rPr>
            <w:rFonts w:eastAsiaTheme="minorEastAsia"/>
            <w:kern w:val="0"/>
            <w:szCs w:val="21"/>
          </w:rPr>
          <w:t>www.cifm.com</w:t>
        </w:r>
      </w:hyperlink>
      <w:r w:rsidRPr="00B035D7">
        <w:rPr>
          <w:rFonts w:eastAsiaTheme="minorEastAsia" w:hint="eastAsia"/>
          <w:kern w:val="0"/>
          <w:szCs w:val="21"/>
        </w:rPr>
        <w:t>）的半年度报告正文。</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7.4</w:t>
      </w:r>
      <w:bookmarkStart w:id="63"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62"/>
      <w:bookmarkEnd w:id="6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A40B3A">
        <w:tc>
          <w:tcPr>
            <w:tcW w:w="870" w:type="dxa"/>
            <w:vAlign w:val="center"/>
          </w:tcPr>
          <w:p w:rsidR="00A40B3A" w:rsidRDefault="0060040C">
            <w:pPr>
              <w:jc w:val="center"/>
            </w:pPr>
            <w:r>
              <w:rPr>
                <w:rFonts w:eastAsiaTheme="minorEastAsia"/>
                <w:szCs w:val="21"/>
              </w:rPr>
              <w:t>1</w:t>
            </w:r>
          </w:p>
        </w:tc>
        <w:tc>
          <w:tcPr>
            <w:tcW w:w="1650" w:type="dxa"/>
            <w:vAlign w:val="center"/>
          </w:tcPr>
          <w:p w:rsidR="00A40B3A" w:rsidRDefault="0060040C">
            <w:pPr>
              <w:jc w:val="center"/>
            </w:pPr>
            <w:r>
              <w:rPr>
                <w:rFonts w:eastAsiaTheme="minorEastAsia"/>
                <w:szCs w:val="21"/>
              </w:rPr>
              <w:t>600519</w:t>
            </w:r>
          </w:p>
        </w:tc>
        <w:tc>
          <w:tcPr>
            <w:tcW w:w="1980" w:type="dxa"/>
            <w:vAlign w:val="center"/>
          </w:tcPr>
          <w:p w:rsidR="00A40B3A" w:rsidRDefault="0060040C">
            <w:pPr>
              <w:jc w:val="center"/>
            </w:pPr>
            <w:r>
              <w:rPr>
                <w:rFonts w:eastAsiaTheme="minorEastAsia"/>
                <w:szCs w:val="21"/>
              </w:rPr>
              <w:t>贵州茅台</w:t>
            </w:r>
          </w:p>
        </w:tc>
        <w:tc>
          <w:tcPr>
            <w:tcW w:w="2880" w:type="dxa"/>
            <w:vAlign w:val="center"/>
          </w:tcPr>
          <w:p w:rsidR="00A40B3A" w:rsidRDefault="0060040C">
            <w:pPr>
              <w:jc w:val="right"/>
            </w:pPr>
            <w:r>
              <w:rPr>
                <w:rFonts w:eastAsiaTheme="minorEastAsia"/>
                <w:szCs w:val="21"/>
              </w:rPr>
              <w:t>11,782,389.31</w:t>
            </w:r>
          </w:p>
        </w:tc>
        <w:tc>
          <w:tcPr>
            <w:tcW w:w="1620" w:type="dxa"/>
            <w:vAlign w:val="center"/>
          </w:tcPr>
          <w:p w:rsidR="00A40B3A" w:rsidRDefault="0060040C">
            <w:pPr>
              <w:jc w:val="right"/>
            </w:pPr>
            <w:r>
              <w:rPr>
                <w:rFonts w:eastAsiaTheme="minorEastAsia"/>
                <w:szCs w:val="21"/>
              </w:rPr>
              <w:t>4.81</w:t>
            </w:r>
          </w:p>
        </w:tc>
      </w:tr>
      <w:tr w:rsidR="00A40B3A">
        <w:tc>
          <w:tcPr>
            <w:tcW w:w="870" w:type="dxa"/>
            <w:vAlign w:val="center"/>
          </w:tcPr>
          <w:p w:rsidR="00A40B3A" w:rsidRDefault="0060040C">
            <w:pPr>
              <w:jc w:val="center"/>
            </w:pPr>
            <w:r>
              <w:rPr>
                <w:rFonts w:eastAsiaTheme="minorEastAsia"/>
                <w:szCs w:val="21"/>
              </w:rPr>
              <w:t>2</w:t>
            </w:r>
          </w:p>
        </w:tc>
        <w:tc>
          <w:tcPr>
            <w:tcW w:w="1650" w:type="dxa"/>
            <w:vAlign w:val="center"/>
          </w:tcPr>
          <w:p w:rsidR="00A40B3A" w:rsidRDefault="0060040C">
            <w:pPr>
              <w:jc w:val="center"/>
            </w:pPr>
            <w:r>
              <w:rPr>
                <w:rFonts w:eastAsiaTheme="minorEastAsia"/>
                <w:szCs w:val="21"/>
              </w:rPr>
              <w:t>002157</w:t>
            </w:r>
          </w:p>
        </w:tc>
        <w:tc>
          <w:tcPr>
            <w:tcW w:w="1980" w:type="dxa"/>
            <w:vAlign w:val="center"/>
          </w:tcPr>
          <w:p w:rsidR="00A40B3A" w:rsidRDefault="0060040C">
            <w:pPr>
              <w:jc w:val="center"/>
            </w:pPr>
            <w:r>
              <w:rPr>
                <w:rFonts w:eastAsiaTheme="minorEastAsia"/>
                <w:szCs w:val="21"/>
              </w:rPr>
              <w:t>正邦科技</w:t>
            </w:r>
          </w:p>
        </w:tc>
        <w:tc>
          <w:tcPr>
            <w:tcW w:w="2880" w:type="dxa"/>
            <w:vAlign w:val="center"/>
          </w:tcPr>
          <w:p w:rsidR="00A40B3A" w:rsidRDefault="0060040C">
            <w:pPr>
              <w:jc w:val="right"/>
            </w:pPr>
            <w:r>
              <w:rPr>
                <w:rFonts w:eastAsiaTheme="minorEastAsia"/>
                <w:szCs w:val="21"/>
              </w:rPr>
              <w:t>8,938,928.00</w:t>
            </w:r>
          </w:p>
        </w:tc>
        <w:tc>
          <w:tcPr>
            <w:tcW w:w="1620" w:type="dxa"/>
            <w:vAlign w:val="center"/>
          </w:tcPr>
          <w:p w:rsidR="00A40B3A" w:rsidRDefault="0060040C">
            <w:pPr>
              <w:jc w:val="right"/>
            </w:pPr>
            <w:r>
              <w:rPr>
                <w:rFonts w:eastAsiaTheme="minorEastAsia"/>
                <w:szCs w:val="21"/>
              </w:rPr>
              <w:t>3.65</w:t>
            </w:r>
          </w:p>
        </w:tc>
      </w:tr>
      <w:tr w:rsidR="00A40B3A">
        <w:tc>
          <w:tcPr>
            <w:tcW w:w="870" w:type="dxa"/>
            <w:vAlign w:val="center"/>
          </w:tcPr>
          <w:p w:rsidR="00A40B3A" w:rsidRDefault="0060040C">
            <w:pPr>
              <w:jc w:val="center"/>
            </w:pPr>
            <w:r>
              <w:rPr>
                <w:rFonts w:eastAsiaTheme="minorEastAsia"/>
                <w:szCs w:val="21"/>
              </w:rPr>
              <w:t>3</w:t>
            </w:r>
          </w:p>
        </w:tc>
        <w:tc>
          <w:tcPr>
            <w:tcW w:w="1650" w:type="dxa"/>
            <w:vAlign w:val="center"/>
          </w:tcPr>
          <w:p w:rsidR="00A40B3A" w:rsidRDefault="0060040C">
            <w:pPr>
              <w:jc w:val="center"/>
            </w:pPr>
            <w:r>
              <w:rPr>
                <w:rFonts w:eastAsiaTheme="minorEastAsia"/>
                <w:szCs w:val="21"/>
              </w:rPr>
              <w:t>002475</w:t>
            </w:r>
          </w:p>
        </w:tc>
        <w:tc>
          <w:tcPr>
            <w:tcW w:w="1980" w:type="dxa"/>
            <w:vAlign w:val="center"/>
          </w:tcPr>
          <w:p w:rsidR="00A40B3A" w:rsidRDefault="0060040C">
            <w:pPr>
              <w:jc w:val="center"/>
            </w:pPr>
            <w:r>
              <w:rPr>
                <w:rFonts w:eastAsiaTheme="minorEastAsia"/>
                <w:szCs w:val="21"/>
              </w:rPr>
              <w:t>立讯精密</w:t>
            </w:r>
          </w:p>
        </w:tc>
        <w:tc>
          <w:tcPr>
            <w:tcW w:w="2880" w:type="dxa"/>
            <w:vAlign w:val="center"/>
          </w:tcPr>
          <w:p w:rsidR="00A40B3A" w:rsidRDefault="0060040C">
            <w:pPr>
              <w:jc w:val="right"/>
            </w:pPr>
            <w:r>
              <w:rPr>
                <w:rFonts w:eastAsiaTheme="minorEastAsia"/>
                <w:szCs w:val="21"/>
              </w:rPr>
              <w:t>8,375,322.76</w:t>
            </w:r>
          </w:p>
        </w:tc>
        <w:tc>
          <w:tcPr>
            <w:tcW w:w="1620" w:type="dxa"/>
            <w:vAlign w:val="center"/>
          </w:tcPr>
          <w:p w:rsidR="00A40B3A" w:rsidRDefault="0060040C">
            <w:pPr>
              <w:jc w:val="right"/>
            </w:pPr>
            <w:r>
              <w:rPr>
                <w:rFonts w:eastAsiaTheme="minorEastAsia"/>
                <w:szCs w:val="21"/>
              </w:rPr>
              <w:t>3.42</w:t>
            </w:r>
          </w:p>
        </w:tc>
      </w:tr>
      <w:tr w:rsidR="00A40B3A">
        <w:tc>
          <w:tcPr>
            <w:tcW w:w="870" w:type="dxa"/>
            <w:vAlign w:val="center"/>
          </w:tcPr>
          <w:p w:rsidR="00A40B3A" w:rsidRDefault="0060040C">
            <w:pPr>
              <w:jc w:val="center"/>
            </w:pPr>
            <w:r>
              <w:rPr>
                <w:rFonts w:eastAsiaTheme="minorEastAsia"/>
                <w:szCs w:val="21"/>
              </w:rPr>
              <w:t>4</w:t>
            </w:r>
          </w:p>
        </w:tc>
        <w:tc>
          <w:tcPr>
            <w:tcW w:w="1650" w:type="dxa"/>
            <w:vAlign w:val="center"/>
          </w:tcPr>
          <w:p w:rsidR="00A40B3A" w:rsidRDefault="0060040C">
            <w:pPr>
              <w:jc w:val="center"/>
            </w:pPr>
            <w:r>
              <w:rPr>
                <w:rFonts w:eastAsiaTheme="minorEastAsia"/>
                <w:szCs w:val="21"/>
              </w:rPr>
              <w:t>600276</w:t>
            </w:r>
          </w:p>
        </w:tc>
        <w:tc>
          <w:tcPr>
            <w:tcW w:w="1980" w:type="dxa"/>
            <w:vAlign w:val="center"/>
          </w:tcPr>
          <w:p w:rsidR="00A40B3A" w:rsidRDefault="0060040C">
            <w:pPr>
              <w:jc w:val="center"/>
            </w:pPr>
            <w:r>
              <w:rPr>
                <w:rFonts w:eastAsiaTheme="minorEastAsia"/>
                <w:szCs w:val="21"/>
              </w:rPr>
              <w:t>恒瑞医药</w:t>
            </w:r>
          </w:p>
        </w:tc>
        <w:tc>
          <w:tcPr>
            <w:tcW w:w="2880" w:type="dxa"/>
            <w:vAlign w:val="center"/>
          </w:tcPr>
          <w:p w:rsidR="00A40B3A" w:rsidRDefault="0060040C">
            <w:pPr>
              <w:jc w:val="right"/>
            </w:pPr>
            <w:r>
              <w:rPr>
                <w:rFonts w:eastAsiaTheme="minorEastAsia"/>
                <w:szCs w:val="21"/>
              </w:rPr>
              <w:t>7,983,232.92</w:t>
            </w:r>
          </w:p>
        </w:tc>
        <w:tc>
          <w:tcPr>
            <w:tcW w:w="1620" w:type="dxa"/>
            <w:vAlign w:val="center"/>
          </w:tcPr>
          <w:p w:rsidR="00A40B3A" w:rsidRDefault="0060040C">
            <w:pPr>
              <w:jc w:val="right"/>
            </w:pPr>
            <w:r>
              <w:rPr>
                <w:rFonts w:eastAsiaTheme="minorEastAsia"/>
                <w:szCs w:val="21"/>
              </w:rPr>
              <w:t>3.26</w:t>
            </w:r>
          </w:p>
        </w:tc>
      </w:tr>
      <w:tr w:rsidR="00A40B3A">
        <w:tc>
          <w:tcPr>
            <w:tcW w:w="870" w:type="dxa"/>
            <w:vAlign w:val="center"/>
          </w:tcPr>
          <w:p w:rsidR="00A40B3A" w:rsidRDefault="0060040C">
            <w:pPr>
              <w:jc w:val="center"/>
            </w:pPr>
            <w:r>
              <w:rPr>
                <w:rFonts w:eastAsiaTheme="minorEastAsia"/>
                <w:szCs w:val="21"/>
              </w:rPr>
              <w:t>5</w:t>
            </w:r>
          </w:p>
        </w:tc>
        <w:tc>
          <w:tcPr>
            <w:tcW w:w="1650" w:type="dxa"/>
            <w:vAlign w:val="center"/>
          </w:tcPr>
          <w:p w:rsidR="00A40B3A" w:rsidRDefault="0060040C">
            <w:pPr>
              <w:jc w:val="center"/>
            </w:pPr>
            <w:r>
              <w:rPr>
                <w:rFonts w:eastAsiaTheme="minorEastAsia"/>
                <w:szCs w:val="21"/>
              </w:rPr>
              <w:t>300450</w:t>
            </w:r>
          </w:p>
        </w:tc>
        <w:tc>
          <w:tcPr>
            <w:tcW w:w="1980" w:type="dxa"/>
            <w:vAlign w:val="center"/>
          </w:tcPr>
          <w:p w:rsidR="00A40B3A" w:rsidRDefault="0060040C">
            <w:pPr>
              <w:jc w:val="center"/>
            </w:pPr>
            <w:r>
              <w:rPr>
                <w:rFonts w:eastAsiaTheme="minorEastAsia"/>
                <w:szCs w:val="21"/>
              </w:rPr>
              <w:t>先导智能</w:t>
            </w:r>
          </w:p>
        </w:tc>
        <w:tc>
          <w:tcPr>
            <w:tcW w:w="2880" w:type="dxa"/>
            <w:vAlign w:val="center"/>
          </w:tcPr>
          <w:p w:rsidR="00A40B3A" w:rsidRDefault="0060040C">
            <w:pPr>
              <w:jc w:val="right"/>
            </w:pPr>
            <w:r>
              <w:rPr>
                <w:rFonts w:eastAsiaTheme="minorEastAsia"/>
                <w:szCs w:val="21"/>
              </w:rPr>
              <w:t>7,336,205.98</w:t>
            </w:r>
          </w:p>
        </w:tc>
        <w:tc>
          <w:tcPr>
            <w:tcW w:w="1620" w:type="dxa"/>
            <w:vAlign w:val="center"/>
          </w:tcPr>
          <w:p w:rsidR="00A40B3A" w:rsidRDefault="0060040C">
            <w:pPr>
              <w:jc w:val="right"/>
            </w:pPr>
            <w:r>
              <w:rPr>
                <w:rFonts w:eastAsiaTheme="minorEastAsia"/>
                <w:szCs w:val="21"/>
              </w:rPr>
              <w:t>2.99</w:t>
            </w:r>
          </w:p>
        </w:tc>
      </w:tr>
      <w:tr w:rsidR="00A40B3A">
        <w:tc>
          <w:tcPr>
            <w:tcW w:w="870" w:type="dxa"/>
            <w:vAlign w:val="center"/>
          </w:tcPr>
          <w:p w:rsidR="00A40B3A" w:rsidRDefault="0060040C">
            <w:pPr>
              <w:jc w:val="center"/>
            </w:pPr>
            <w:r>
              <w:rPr>
                <w:rFonts w:eastAsiaTheme="minorEastAsia"/>
                <w:szCs w:val="21"/>
              </w:rPr>
              <w:t>6</w:t>
            </w:r>
          </w:p>
        </w:tc>
        <w:tc>
          <w:tcPr>
            <w:tcW w:w="1650" w:type="dxa"/>
            <w:vAlign w:val="center"/>
          </w:tcPr>
          <w:p w:rsidR="00A40B3A" w:rsidRDefault="0060040C">
            <w:pPr>
              <w:jc w:val="center"/>
            </w:pPr>
            <w:r>
              <w:rPr>
                <w:rFonts w:eastAsiaTheme="minorEastAsia"/>
                <w:szCs w:val="21"/>
              </w:rPr>
              <w:t>002798</w:t>
            </w:r>
          </w:p>
        </w:tc>
        <w:tc>
          <w:tcPr>
            <w:tcW w:w="1980" w:type="dxa"/>
            <w:vAlign w:val="center"/>
          </w:tcPr>
          <w:p w:rsidR="00A40B3A" w:rsidRDefault="0060040C">
            <w:pPr>
              <w:jc w:val="center"/>
            </w:pPr>
            <w:r>
              <w:rPr>
                <w:rFonts w:eastAsiaTheme="minorEastAsia"/>
                <w:szCs w:val="21"/>
              </w:rPr>
              <w:t>帝欧家居</w:t>
            </w:r>
          </w:p>
        </w:tc>
        <w:tc>
          <w:tcPr>
            <w:tcW w:w="2880" w:type="dxa"/>
            <w:vAlign w:val="center"/>
          </w:tcPr>
          <w:p w:rsidR="00A40B3A" w:rsidRDefault="0060040C">
            <w:pPr>
              <w:jc w:val="right"/>
            </w:pPr>
            <w:r>
              <w:rPr>
                <w:rFonts w:eastAsiaTheme="minorEastAsia"/>
                <w:szCs w:val="21"/>
              </w:rPr>
              <w:t>6,884,129.98</w:t>
            </w:r>
          </w:p>
        </w:tc>
        <w:tc>
          <w:tcPr>
            <w:tcW w:w="1620" w:type="dxa"/>
            <w:vAlign w:val="center"/>
          </w:tcPr>
          <w:p w:rsidR="00A40B3A" w:rsidRDefault="0060040C">
            <w:pPr>
              <w:jc w:val="right"/>
            </w:pPr>
            <w:r>
              <w:rPr>
                <w:rFonts w:eastAsiaTheme="minorEastAsia"/>
                <w:szCs w:val="21"/>
              </w:rPr>
              <w:t>2.81</w:t>
            </w:r>
          </w:p>
        </w:tc>
      </w:tr>
      <w:tr w:rsidR="00A40B3A">
        <w:tc>
          <w:tcPr>
            <w:tcW w:w="870" w:type="dxa"/>
            <w:vAlign w:val="center"/>
          </w:tcPr>
          <w:p w:rsidR="00A40B3A" w:rsidRDefault="0060040C">
            <w:pPr>
              <w:jc w:val="center"/>
            </w:pPr>
            <w:r>
              <w:rPr>
                <w:rFonts w:eastAsiaTheme="minorEastAsia"/>
                <w:szCs w:val="21"/>
              </w:rPr>
              <w:t>7</w:t>
            </w:r>
          </w:p>
        </w:tc>
        <w:tc>
          <w:tcPr>
            <w:tcW w:w="1650" w:type="dxa"/>
            <w:vAlign w:val="center"/>
          </w:tcPr>
          <w:p w:rsidR="00A40B3A" w:rsidRDefault="0060040C">
            <w:pPr>
              <w:jc w:val="center"/>
            </w:pPr>
            <w:r>
              <w:rPr>
                <w:rFonts w:eastAsiaTheme="minorEastAsia"/>
                <w:szCs w:val="21"/>
              </w:rPr>
              <w:t>000858</w:t>
            </w:r>
          </w:p>
        </w:tc>
        <w:tc>
          <w:tcPr>
            <w:tcW w:w="1980" w:type="dxa"/>
            <w:vAlign w:val="center"/>
          </w:tcPr>
          <w:p w:rsidR="00A40B3A" w:rsidRDefault="0060040C">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A40B3A" w:rsidRDefault="0060040C">
            <w:pPr>
              <w:jc w:val="right"/>
            </w:pPr>
            <w:r>
              <w:rPr>
                <w:rFonts w:eastAsiaTheme="minorEastAsia"/>
                <w:szCs w:val="21"/>
              </w:rPr>
              <w:t>6,861,679.00</w:t>
            </w:r>
          </w:p>
        </w:tc>
        <w:tc>
          <w:tcPr>
            <w:tcW w:w="1620" w:type="dxa"/>
            <w:vAlign w:val="center"/>
          </w:tcPr>
          <w:p w:rsidR="00A40B3A" w:rsidRDefault="0060040C">
            <w:pPr>
              <w:jc w:val="right"/>
            </w:pPr>
            <w:r>
              <w:rPr>
                <w:rFonts w:eastAsiaTheme="minorEastAsia"/>
                <w:szCs w:val="21"/>
              </w:rPr>
              <w:t>2.80</w:t>
            </w:r>
          </w:p>
        </w:tc>
      </w:tr>
      <w:tr w:rsidR="00A40B3A">
        <w:tc>
          <w:tcPr>
            <w:tcW w:w="870" w:type="dxa"/>
            <w:vAlign w:val="center"/>
          </w:tcPr>
          <w:p w:rsidR="00A40B3A" w:rsidRDefault="0060040C">
            <w:pPr>
              <w:jc w:val="center"/>
            </w:pPr>
            <w:r>
              <w:rPr>
                <w:rFonts w:eastAsiaTheme="minorEastAsia"/>
                <w:szCs w:val="21"/>
              </w:rPr>
              <w:t>8</w:t>
            </w:r>
          </w:p>
        </w:tc>
        <w:tc>
          <w:tcPr>
            <w:tcW w:w="1650" w:type="dxa"/>
            <w:vAlign w:val="center"/>
          </w:tcPr>
          <w:p w:rsidR="00A40B3A" w:rsidRDefault="0060040C">
            <w:pPr>
              <w:jc w:val="center"/>
            </w:pPr>
            <w:r>
              <w:rPr>
                <w:rFonts w:eastAsiaTheme="minorEastAsia"/>
                <w:szCs w:val="21"/>
              </w:rPr>
              <w:t>601318</w:t>
            </w:r>
          </w:p>
        </w:tc>
        <w:tc>
          <w:tcPr>
            <w:tcW w:w="1980" w:type="dxa"/>
            <w:vAlign w:val="center"/>
          </w:tcPr>
          <w:p w:rsidR="00A40B3A" w:rsidRDefault="0060040C">
            <w:pPr>
              <w:jc w:val="center"/>
            </w:pPr>
            <w:r>
              <w:rPr>
                <w:rFonts w:eastAsiaTheme="minorEastAsia"/>
                <w:szCs w:val="21"/>
              </w:rPr>
              <w:t>中国平安</w:t>
            </w:r>
          </w:p>
        </w:tc>
        <w:tc>
          <w:tcPr>
            <w:tcW w:w="2880" w:type="dxa"/>
            <w:vAlign w:val="center"/>
          </w:tcPr>
          <w:p w:rsidR="00A40B3A" w:rsidRDefault="0060040C">
            <w:pPr>
              <w:jc w:val="right"/>
            </w:pPr>
            <w:r>
              <w:rPr>
                <w:rFonts w:eastAsiaTheme="minorEastAsia"/>
                <w:szCs w:val="21"/>
              </w:rPr>
              <w:t>6,731,166.00</w:t>
            </w:r>
          </w:p>
        </w:tc>
        <w:tc>
          <w:tcPr>
            <w:tcW w:w="1620" w:type="dxa"/>
            <w:vAlign w:val="center"/>
          </w:tcPr>
          <w:p w:rsidR="00A40B3A" w:rsidRDefault="0060040C">
            <w:pPr>
              <w:jc w:val="right"/>
            </w:pPr>
            <w:r>
              <w:rPr>
                <w:rFonts w:eastAsiaTheme="minorEastAsia"/>
                <w:szCs w:val="21"/>
              </w:rPr>
              <w:t>2.75</w:t>
            </w:r>
          </w:p>
        </w:tc>
      </w:tr>
      <w:tr w:rsidR="00A40B3A">
        <w:tc>
          <w:tcPr>
            <w:tcW w:w="870" w:type="dxa"/>
            <w:vAlign w:val="center"/>
          </w:tcPr>
          <w:p w:rsidR="00A40B3A" w:rsidRDefault="0060040C">
            <w:pPr>
              <w:jc w:val="center"/>
            </w:pPr>
            <w:r>
              <w:rPr>
                <w:rFonts w:eastAsiaTheme="minorEastAsia"/>
                <w:szCs w:val="21"/>
              </w:rPr>
              <w:t>9</w:t>
            </w:r>
          </w:p>
        </w:tc>
        <w:tc>
          <w:tcPr>
            <w:tcW w:w="1650" w:type="dxa"/>
            <w:vAlign w:val="center"/>
          </w:tcPr>
          <w:p w:rsidR="00A40B3A" w:rsidRDefault="0060040C">
            <w:pPr>
              <w:jc w:val="center"/>
            </w:pPr>
            <w:r>
              <w:rPr>
                <w:rFonts w:eastAsiaTheme="minorEastAsia"/>
                <w:szCs w:val="21"/>
              </w:rPr>
              <w:t>601012</w:t>
            </w:r>
          </w:p>
        </w:tc>
        <w:tc>
          <w:tcPr>
            <w:tcW w:w="1980" w:type="dxa"/>
            <w:vAlign w:val="center"/>
          </w:tcPr>
          <w:p w:rsidR="00A40B3A" w:rsidRDefault="0060040C">
            <w:pPr>
              <w:jc w:val="center"/>
            </w:pPr>
            <w:r>
              <w:rPr>
                <w:rFonts w:eastAsiaTheme="minorEastAsia"/>
                <w:szCs w:val="21"/>
              </w:rPr>
              <w:t>隆基股份</w:t>
            </w:r>
          </w:p>
        </w:tc>
        <w:tc>
          <w:tcPr>
            <w:tcW w:w="2880" w:type="dxa"/>
            <w:vAlign w:val="center"/>
          </w:tcPr>
          <w:p w:rsidR="00A40B3A" w:rsidRDefault="0060040C">
            <w:pPr>
              <w:jc w:val="right"/>
            </w:pPr>
            <w:r>
              <w:rPr>
                <w:rFonts w:eastAsiaTheme="minorEastAsia"/>
                <w:szCs w:val="21"/>
              </w:rPr>
              <w:t>6,267,018.60</w:t>
            </w:r>
          </w:p>
        </w:tc>
        <w:tc>
          <w:tcPr>
            <w:tcW w:w="1620" w:type="dxa"/>
            <w:vAlign w:val="center"/>
          </w:tcPr>
          <w:p w:rsidR="00A40B3A" w:rsidRDefault="0060040C">
            <w:pPr>
              <w:jc w:val="right"/>
            </w:pPr>
            <w:r>
              <w:rPr>
                <w:rFonts w:eastAsiaTheme="minorEastAsia"/>
                <w:szCs w:val="21"/>
              </w:rPr>
              <w:t>2.56</w:t>
            </w:r>
          </w:p>
        </w:tc>
      </w:tr>
      <w:tr w:rsidR="00A40B3A">
        <w:tc>
          <w:tcPr>
            <w:tcW w:w="870" w:type="dxa"/>
            <w:vAlign w:val="center"/>
          </w:tcPr>
          <w:p w:rsidR="00A40B3A" w:rsidRDefault="0060040C">
            <w:pPr>
              <w:jc w:val="center"/>
            </w:pPr>
            <w:r>
              <w:rPr>
                <w:rFonts w:eastAsiaTheme="minorEastAsia"/>
                <w:szCs w:val="21"/>
              </w:rPr>
              <w:t>10</w:t>
            </w:r>
          </w:p>
        </w:tc>
        <w:tc>
          <w:tcPr>
            <w:tcW w:w="1650" w:type="dxa"/>
            <w:vAlign w:val="center"/>
          </w:tcPr>
          <w:p w:rsidR="00A40B3A" w:rsidRDefault="0060040C">
            <w:pPr>
              <w:jc w:val="center"/>
            </w:pPr>
            <w:r>
              <w:rPr>
                <w:rFonts w:eastAsiaTheme="minorEastAsia"/>
                <w:szCs w:val="21"/>
              </w:rPr>
              <w:t>002415</w:t>
            </w:r>
          </w:p>
        </w:tc>
        <w:tc>
          <w:tcPr>
            <w:tcW w:w="1980" w:type="dxa"/>
            <w:vAlign w:val="center"/>
          </w:tcPr>
          <w:p w:rsidR="00A40B3A" w:rsidRDefault="0060040C">
            <w:pPr>
              <w:jc w:val="center"/>
            </w:pPr>
            <w:r>
              <w:rPr>
                <w:rFonts w:eastAsiaTheme="minorEastAsia"/>
                <w:szCs w:val="21"/>
              </w:rPr>
              <w:t>海康威视</w:t>
            </w:r>
          </w:p>
        </w:tc>
        <w:tc>
          <w:tcPr>
            <w:tcW w:w="2880" w:type="dxa"/>
            <w:vAlign w:val="center"/>
          </w:tcPr>
          <w:p w:rsidR="00A40B3A" w:rsidRDefault="0060040C">
            <w:pPr>
              <w:jc w:val="right"/>
            </w:pPr>
            <w:r>
              <w:rPr>
                <w:rFonts w:eastAsiaTheme="minorEastAsia"/>
                <w:szCs w:val="21"/>
              </w:rPr>
              <w:t>6,211,575.57</w:t>
            </w:r>
          </w:p>
        </w:tc>
        <w:tc>
          <w:tcPr>
            <w:tcW w:w="1620" w:type="dxa"/>
            <w:vAlign w:val="center"/>
          </w:tcPr>
          <w:p w:rsidR="00A40B3A" w:rsidRDefault="0060040C">
            <w:pPr>
              <w:jc w:val="right"/>
            </w:pPr>
            <w:r>
              <w:rPr>
                <w:rFonts w:eastAsiaTheme="minorEastAsia"/>
                <w:szCs w:val="21"/>
              </w:rPr>
              <w:t>2.53</w:t>
            </w:r>
          </w:p>
        </w:tc>
      </w:tr>
      <w:tr w:rsidR="00A40B3A">
        <w:tc>
          <w:tcPr>
            <w:tcW w:w="870" w:type="dxa"/>
            <w:vAlign w:val="center"/>
          </w:tcPr>
          <w:p w:rsidR="00A40B3A" w:rsidRDefault="0060040C">
            <w:pPr>
              <w:jc w:val="center"/>
            </w:pPr>
            <w:r>
              <w:rPr>
                <w:rFonts w:eastAsiaTheme="minorEastAsia"/>
                <w:szCs w:val="21"/>
              </w:rPr>
              <w:t>11</w:t>
            </w:r>
          </w:p>
        </w:tc>
        <w:tc>
          <w:tcPr>
            <w:tcW w:w="1650" w:type="dxa"/>
            <w:vAlign w:val="center"/>
          </w:tcPr>
          <w:p w:rsidR="00A40B3A" w:rsidRDefault="0060040C">
            <w:pPr>
              <w:jc w:val="center"/>
            </w:pPr>
            <w:r>
              <w:rPr>
                <w:rFonts w:eastAsiaTheme="minorEastAsia"/>
                <w:szCs w:val="21"/>
              </w:rPr>
              <w:t>002236</w:t>
            </w:r>
          </w:p>
        </w:tc>
        <w:tc>
          <w:tcPr>
            <w:tcW w:w="1980" w:type="dxa"/>
            <w:vAlign w:val="center"/>
          </w:tcPr>
          <w:p w:rsidR="00A40B3A" w:rsidRDefault="0060040C">
            <w:pPr>
              <w:jc w:val="center"/>
            </w:pPr>
            <w:r>
              <w:rPr>
                <w:rFonts w:eastAsiaTheme="minorEastAsia"/>
                <w:szCs w:val="21"/>
              </w:rPr>
              <w:t>大华股份</w:t>
            </w:r>
          </w:p>
        </w:tc>
        <w:tc>
          <w:tcPr>
            <w:tcW w:w="2880" w:type="dxa"/>
            <w:vAlign w:val="center"/>
          </w:tcPr>
          <w:p w:rsidR="00A40B3A" w:rsidRDefault="0060040C">
            <w:pPr>
              <w:jc w:val="right"/>
            </w:pPr>
            <w:r>
              <w:rPr>
                <w:rFonts w:eastAsiaTheme="minorEastAsia"/>
                <w:szCs w:val="21"/>
              </w:rPr>
              <w:t>5,290,565.84</w:t>
            </w:r>
          </w:p>
        </w:tc>
        <w:tc>
          <w:tcPr>
            <w:tcW w:w="1620" w:type="dxa"/>
            <w:vAlign w:val="center"/>
          </w:tcPr>
          <w:p w:rsidR="00A40B3A" w:rsidRDefault="0060040C">
            <w:pPr>
              <w:jc w:val="right"/>
            </w:pPr>
            <w:r>
              <w:rPr>
                <w:rFonts w:eastAsiaTheme="minorEastAsia"/>
                <w:szCs w:val="21"/>
              </w:rPr>
              <w:t>2.16</w:t>
            </w:r>
          </w:p>
        </w:tc>
      </w:tr>
      <w:tr w:rsidR="00A40B3A">
        <w:tc>
          <w:tcPr>
            <w:tcW w:w="870" w:type="dxa"/>
            <w:vAlign w:val="center"/>
          </w:tcPr>
          <w:p w:rsidR="00A40B3A" w:rsidRDefault="0060040C">
            <w:pPr>
              <w:jc w:val="center"/>
            </w:pPr>
            <w:r>
              <w:rPr>
                <w:rFonts w:eastAsiaTheme="minorEastAsia"/>
                <w:szCs w:val="21"/>
              </w:rPr>
              <w:t>12</w:t>
            </w:r>
          </w:p>
        </w:tc>
        <w:tc>
          <w:tcPr>
            <w:tcW w:w="1650" w:type="dxa"/>
            <w:vAlign w:val="center"/>
          </w:tcPr>
          <w:p w:rsidR="00A40B3A" w:rsidRDefault="0060040C">
            <w:pPr>
              <w:jc w:val="center"/>
            </w:pPr>
            <w:r>
              <w:rPr>
                <w:rFonts w:eastAsiaTheme="minorEastAsia"/>
                <w:szCs w:val="21"/>
              </w:rPr>
              <w:t>002594</w:t>
            </w:r>
          </w:p>
        </w:tc>
        <w:tc>
          <w:tcPr>
            <w:tcW w:w="1980" w:type="dxa"/>
            <w:vAlign w:val="center"/>
          </w:tcPr>
          <w:p w:rsidR="00A40B3A" w:rsidRDefault="0060040C">
            <w:pPr>
              <w:jc w:val="center"/>
            </w:pPr>
            <w:r>
              <w:rPr>
                <w:rFonts w:eastAsiaTheme="minorEastAsia"/>
                <w:szCs w:val="21"/>
              </w:rPr>
              <w:t>比亚迪</w:t>
            </w:r>
          </w:p>
        </w:tc>
        <w:tc>
          <w:tcPr>
            <w:tcW w:w="2880" w:type="dxa"/>
            <w:vAlign w:val="center"/>
          </w:tcPr>
          <w:p w:rsidR="00A40B3A" w:rsidRDefault="0060040C">
            <w:pPr>
              <w:jc w:val="right"/>
            </w:pPr>
            <w:r>
              <w:rPr>
                <w:rFonts w:eastAsiaTheme="minorEastAsia"/>
                <w:szCs w:val="21"/>
              </w:rPr>
              <w:t>4,944,247.00</w:t>
            </w:r>
          </w:p>
        </w:tc>
        <w:tc>
          <w:tcPr>
            <w:tcW w:w="1620" w:type="dxa"/>
            <w:vAlign w:val="center"/>
          </w:tcPr>
          <w:p w:rsidR="00A40B3A" w:rsidRDefault="0060040C">
            <w:pPr>
              <w:jc w:val="right"/>
            </w:pPr>
            <w:r>
              <w:rPr>
                <w:rFonts w:eastAsiaTheme="minorEastAsia"/>
                <w:szCs w:val="21"/>
              </w:rPr>
              <w:t>2.02</w:t>
            </w:r>
          </w:p>
        </w:tc>
      </w:tr>
      <w:tr w:rsidR="00A40B3A">
        <w:tc>
          <w:tcPr>
            <w:tcW w:w="870" w:type="dxa"/>
            <w:vAlign w:val="center"/>
          </w:tcPr>
          <w:p w:rsidR="00A40B3A" w:rsidRDefault="0060040C">
            <w:pPr>
              <w:jc w:val="center"/>
            </w:pPr>
            <w:r>
              <w:rPr>
                <w:rFonts w:eastAsiaTheme="minorEastAsia"/>
                <w:szCs w:val="21"/>
              </w:rPr>
              <w:t>13</w:t>
            </w:r>
          </w:p>
        </w:tc>
        <w:tc>
          <w:tcPr>
            <w:tcW w:w="1650" w:type="dxa"/>
            <w:vAlign w:val="center"/>
          </w:tcPr>
          <w:p w:rsidR="00A40B3A" w:rsidRDefault="0060040C">
            <w:pPr>
              <w:jc w:val="center"/>
            </w:pPr>
            <w:r>
              <w:rPr>
                <w:rFonts w:eastAsiaTheme="minorEastAsia"/>
                <w:szCs w:val="21"/>
              </w:rPr>
              <w:t>000651</w:t>
            </w:r>
          </w:p>
        </w:tc>
        <w:tc>
          <w:tcPr>
            <w:tcW w:w="1980" w:type="dxa"/>
            <w:vAlign w:val="center"/>
          </w:tcPr>
          <w:p w:rsidR="00A40B3A" w:rsidRDefault="0060040C">
            <w:pPr>
              <w:jc w:val="center"/>
            </w:pPr>
            <w:r>
              <w:rPr>
                <w:rFonts w:eastAsiaTheme="minorEastAsia"/>
                <w:szCs w:val="21"/>
              </w:rPr>
              <w:t>格力电器</w:t>
            </w:r>
          </w:p>
        </w:tc>
        <w:tc>
          <w:tcPr>
            <w:tcW w:w="2880" w:type="dxa"/>
            <w:vAlign w:val="center"/>
          </w:tcPr>
          <w:p w:rsidR="00A40B3A" w:rsidRDefault="0060040C">
            <w:pPr>
              <w:jc w:val="right"/>
            </w:pPr>
            <w:r>
              <w:rPr>
                <w:rFonts w:eastAsiaTheme="minorEastAsia"/>
                <w:szCs w:val="21"/>
              </w:rPr>
              <w:t>4,377,446.62</w:t>
            </w:r>
          </w:p>
        </w:tc>
        <w:tc>
          <w:tcPr>
            <w:tcW w:w="1620" w:type="dxa"/>
            <w:vAlign w:val="center"/>
          </w:tcPr>
          <w:p w:rsidR="00A40B3A" w:rsidRDefault="0060040C">
            <w:pPr>
              <w:jc w:val="right"/>
            </w:pPr>
            <w:r>
              <w:rPr>
                <w:rFonts w:eastAsiaTheme="minorEastAsia"/>
                <w:szCs w:val="21"/>
              </w:rPr>
              <w:t>1.79</w:t>
            </w:r>
          </w:p>
        </w:tc>
      </w:tr>
      <w:tr w:rsidR="00A40B3A">
        <w:tc>
          <w:tcPr>
            <w:tcW w:w="870" w:type="dxa"/>
            <w:vAlign w:val="center"/>
          </w:tcPr>
          <w:p w:rsidR="00A40B3A" w:rsidRDefault="0060040C">
            <w:pPr>
              <w:jc w:val="center"/>
            </w:pPr>
            <w:r>
              <w:rPr>
                <w:rFonts w:eastAsiaTheme="minorEastAsia"/>
                <w:szCs w:val="21"/>
              </w:rPr>
              <w:t>14</w:t>
            </w:r>
          </w:p>
        </w:tc>
        <w:tc>
          <w:tcPr>
            <w:tcW w:w="1650" w:type="dxa"/>
            <w:vAlign w:val="center"/>
          </w:tcPr>
          <w:p w:rsidR="00A40B3A" w:rsidRDefault="0060040C">
            <w:pPr>
              <w:jc w:val="center"/>
            </w:pPr>
            <w:r>
              <w:rPr>
                <w:rFonts w:eastAsiaTheme="minorEastAsia"/>
                <w:szCs w:val="21"/>
              </w:rPr>
              <w:t>601336</w:t>
            </w:r>
          </w:p>
        </w:tc>
        <w:tc>
          <w:tcPr>
            <w:tcW w:w="1980" w:type="dxa"/>
            <w:vAlign w:val="center"/>
          </w:tcPr>
          <w:p w:rsidR="00A40B3A" w:rsidRDefault="0060040C">
            <w:pPr>
              <w:jc w:val="center"/>
            </w:pPr>
            <w:r>
              <w:rPr>
                <w:rFonts w:eastAsiaTheme="minorEastAsia"/>
                <w:szCs w:val="21"/>
              </w:rPr>
              <w:t>新华保险</w:t>
            </w:r>
          </w:p>
        </w:tc>
        <w:tc>
          <w:tcPr>
            <w:tcW w:w="2880" w:type="dxa"/>
            <w:vAlign w:val="center"/>
          </w:tcPr>
          <w:p w:rsidR="00A40B3A" w:rsidRDefault="0060040C">
            <w:pPr>
              <w:jc w:val="right"/>
            </w:pPr>
            <w:r>
              <w:rPr>
                <w:rFonts w:eastAsiaTheme="minorEastAsia"/>
                <w:szCs w:val="21"/>
              </w:rPr>
              <w:t>4,301,338.00</w:t>
            </w:r>
          </w:p>
        </w:tc>
        <w:tc>
          <w:tcPr>
            <w:tcW w:w="1620" w:type="dxa"/>
            <w:vAlign w:val="center"/>
          </w:tcPr>
          <w:p w:rsidR="00A40B3A" w:rsidRDefault="0060040C">
            <w:pPr>
              <w:jc w:val="right"/>
            </w:pPr>
            <w:r>
              <w:rPr>
                <w:rFonts w:eastAsiaTheme="minorEastAsia"/>
                <w:szCs w:val="21"/>
              </w:rPr>
              <w:t>1.75</w:t>
            </w:r>
          </w:p>
        </w:tc>
      </w:tr>
      <w:tr w:rsidR="00A40B3A">
        <w:tc>
          <w:tcPr>
            <w:tcW w:w="870" w:type="dxa"/>
            <w:vAlign w:val="center"/>
          </w:tcPr>
          <w:p w:rsidR="00A40B3A" w:rsidRDefault="0060040C">
            <w:pPr>
              <w:jc w:val="center"/>
            </w:pPr>
            <w:r>
              <w:rPr>
                <w:rFonts w:eastAsiaTheme="minorEastAsia"/>
                <w:szCs w:val="21"/>
              </w:rPr>
              <w:t>15</w:t>
            </w:r>
          </w:p>
        </w:tc>
        <w:tc>
          <w:tcPr>
            <w:tcW w:w="1650" w:type="dxa"/>
            <w:vAlign w:val="center"/>
          </w:tcPr>
          <w:p w:rsidR="00A40B3A" w:rsidRDefault="0060040C">
            <w:pPr>
              <w:jc w:val="center"/>
            </w:pPr>
            <w:r>
              <w:rPr>
                <w:rFonts w:eastAsiaTheme="minorEastAsia"/>
                <w:szCs w:val="21"/>
              </w:rPr>
              <w:t>002714</w:t>
            </w:r>
          </w:p>
        </w:tc>
        <w:tc>
          <w:tcPr>
            <w:tcW w:w="1980" w:type="dxa"/>
            <w:vAlign w:val="center"/>
          </w:tcPr>
          <w:p w:rsidR="00A40B3A" w:rsidRDefault="0060040C">
            <w:pPr>
              <w:jc w:val="center"/>
            </w:pPr>
            <w:r>
              <w:rPr>
                <w:rFonts w:eastAsiaTheme="minorEastAsia"/>
                <w:szCs w:val="21"/>
              </w:rPr>
              <w:t>牧原股份</w:t>
            </w:r>
          </w:p>
        </w:tc>
        <w:tc>
          <w:tcPr>
            <w:tcW w:w="2880" w:type="dxa"/>
            <w:vAlign w:val="center"/>
          </w:tcPr>
          <w:p w:rsidR="00A40B3A" w:rsidRDefault="0060040C">
            <w:pPr>
              <w:jc w:val="right"/>
            </w:pPr>
            <w:r>
              <w:rPr>
                <w:rFonts w:eastAsiaTheme="minorEastAsia"/>
                <w:szCs w:val="21"/>
              </w:rPr>
              <w:t>4,188,387.00</w:t>
            </w:r>
          </w:p>
        </w:tc>
        <w:tc>
          <w:tcPr>
            <w:tcW w:w="1620" w:type="dxa"/>
            <w:vAlign w:val="center"/>
          </w:tcPr>
          <w:p w:rsidR="00A40B3A" w:rsidRDefault="0060040C">
            <w:pPr>
              <w:jc w:val="right"/>
            </w:pPr>
            <w:r>
              <w:rPr>
                <w:rFonts w:eastAsiaTheme="minorEastAsia"/>
                <w:szCs w:val="21"/>
              </w:rPr>
              <w:t>1.71</w:t>
            </w:r>
          </w:p>
        </w:tc>
      </w:tr>
      <w:tr w:rsidR="00A40B3A">
        <w:tc>
          <w:tcPr>
            <w:tcW w:w="870" w:type="dxa"/>
            <w:vAlign w:val="center"/>
          </w:tcPr>
          <w:p w:rsidR="00A40B3A" w:rsidRDefault="0060040C">
            <w:pPr>
              <w:jc w:val="center"/>
            </w:pPr>
            <w:r>
              <w:rPr>
                <w:rFonts w:eastAsiaTheme="minorEastAsia"/>
                <w:szCs w:val="21"/>
              </w:rPr>
              <w:t>16</w:t>
            </w:r>
          </w:p>
        </w:tc>
        <w:tc>
          <w:tcPr>
            <w:tcW w:w="1650" w:type="dxa"/>
            <w:vAlign w:val="center"/>
          </w:tcPr>
          <w:p w:rsidR="00A40B3A" w:rsidRDefault="0060040C">
            <w:pPr>
              <w:jc w:val="center"/>
            </w:pPr>
            <w:r>
              <w:rPr>
                <w:rFonts w:eastAsiaTheme="minorEastAsia"/>
                <w:szCs w:val="21"/>
              </w:rPr>
              <w:t>300349</w:t>
            </w:r>
          </w:p>
        </w:tc>
        <w:tc>
          <w:tcPr>
            <w:tcW w:w="1980" w:type="dxa"/>
            <w:vAlign w:val="center"/>
          </w:tcPr>
          <w:p w:rsidR="00A40B3A" w:rsidRDefault="0060040C">
            <w:pPr>
              <w:jc w:val="center"/>
            </w:pPr>
            <w:r>
              <w:rPr>
                <w:rFonts w:eastAsiaTheme="minorEastAsia"/>
                <w:szCs w:val="21"/>
              </w:rPr>
              <w:t>金卡智能</w:t>
            </w:r>
          </w:p>
        </w:tc>
        <w:tc>
          <w:tcPr>
            <w:tcW w:w="2880" w:type="dxa"/>
            <w:vAlign w:val="center"/>
          </w:tcPr>
          <w:p w:rsidR="00A40B3A" w:rsidRDefault="0060040C">
            <w:pPr>
              <w:jc w:val="right"/>
            </w:pPr>
            <w:r>
              <w:rPr>
                <w:rFonts w:eastAsiaTheme="minorEastAsia"/>
                <w:szCs w:val="21"/>
              </w:rPr>
              <w:t>4,183,896.80</w:t>
            </w:r>
          </w:p>
        </w:tc>
        <w:tc>
          <w:tcPr>
            <w:tcW w:w="1620" w:type="dxa"/>
            <w:vAlign w:val="center"/>
          </w:tcPr>
          <w:p w:rsidR="00A40B3A" w:rsidRDefault="0060040C">
            <w:pPr>
              <w:jc w:val="right"/>
            </w:pPr>
            <w:r>
              <w:rPr>
                <w:rFonts w:eastAsiaTheme="minorEastAsia"/>
                <w:szCs w:val="21"/>
              </w:rPr>
              <w:t>1.71</w:t>
            </w:r>
          </w:p>
        </w:tc>
      </w:tr>
      <w:tr w:rsidR="00A40B3A">
        <w:tc>
          <w:tcPr>
            <w:tcW w:w="870" w:type="dxa"/>
            <w:vAlign w:val="center"/>
          </w:tcPr>
          <w:p w:rsidR="00A40B3A" w:rsidRDefault="0060040C">
            <w:pPr>
              <w:jc w:val="center"/>
            </w:pPr>
            <w:r>
              <w:rPr>
                <w:rFonts w:eastAsiaTheme="minorEastAsia"/>
                <w:szCs w:val="21"/>
              </w:rPr>
              <w:t>17</w:t>
            </w:r>
          </w:p>
        </w:tc>
        <w:tc>
          <w:tcPr>
            <w:tcW w:w="1650" w:type="dxa"/>
            <w:vAlign w:val="center"/>
          </w:tcPr>
          <w:p w:rsidR="00A40B3A" w:rsidRDefault="0060040C">
            <w:pPr>
              <w:jc w:val="center"/>
            </w:pPr>
            <w:r>
              <w:rPr>
                <w:rFonts w:eastAsiaTheme="minorEastAsia"/>
                <w:szCs w:val="21"/>
              </w:rPr>
              <w:t>601398</w:t>
            </w:r>
          </w:p>
        </w:tc>
        <w:tc>
          <w:tcPr>
            <w:tcW w:w="1980" w:type="dxa"/>
            <w:vAlign w:val="center"/>
          </w:tcPr>
          <w:p w:rsidR="00A40B3A" w:rsidRDefault="0060040C">
            <w:pPr>
              <w:jc w:val="center"/>
            </w:pPr>
            <w:r>
              <w:rPr>
                <w:rFonts w:eastAsiaTheme="minorEastAsia"/>
                <w:szCs w:val="21"/>
              </w:rPr>
              <w:t>工商银行</w:t>
            </w:r>
          </w:p>
        </w:tc>
        <w:tc>
          <w:tcPr>
            <w:tcW w:w="2880" w:type="dxa"/>
            <w:vAlign w:val="center"/>
          </w:tcPr>
          <w:p w:rsidR="00A40B3A" w:rsidRDefault="0060040C">
            <w:pPr>
              <w:jc w:val="right"/>
            </w:pPr>
            <w:r>
              <w:rPr>
                <w:rFonts w:eastAsiaTheme="minorEastAsia"/>
                <w:szCs w:val="21"/>
              </w:rPr>
              <w:t>4,082,993.00</w:t>
            </w:r>
          </w:p>
        </w:tc>
        <w:tc>
          <w:tcPr>
            <w:tcW w:w="1620" w:type="dxa"/>
            <w:vAlign w:val="center"/>
          </w:tcPr>
          <w:p w:rsidR="00A40B3A" w:rsidRDefault="0060040C">
            <w:pPr>
              <w:jc w:val="right"/>
            </w:pPr>
            <w:r>
              <w:rPr>
                <w:rFonts w:eastAsiaTheme="minorEastAsia"/>
                <w:szCs w:val="21"/>
              </w:rPr>
              <w:t>1.67</w:t>
            </w:r>
          </w:p>
        </w:tc>
      </w:tr>
      <w:tr w:rsidR="00A40B3A">
        <w:tc>
          <w:tcPr>
            <w:tcW w:w="870" w:type="dxa"/>
            <w:vAlign w:val="center"/>
          </w:tcPr>
          <w:p w:rsidR="00A40B3A" w:rsidRDefault="0060040C">
            <w:pPr>
              <w:jc w:val="center"/>
            </w:pPr>
            <w:r>
              <w:rPr>
                <w:rFonts w:eastAsiaTheme="minorEastAsia"/>
                <w:szCs w:val="21"/>
              </w:rPr>
              <w:t>18</w:t>
            </w:r>
          </w:p>
        </w:tc>
        <w:tc>
          <w:tcPr>
            <w:tcW w:w="1650" w:type="dxa"/>
            <w:vAlign w:val="center"/>
          </w:tcPr>
          <w:p w:rsidR="00A40B3A" w:rsidRDefault="0060040C">
            <w:pPr>
              <w:jc w:val="center"/>
            </w:pPr>
            <w:r>
              <w:rPr>
                <w:rFonts w:eastAsiaTheme="minorEastAsia"/>
                <w:szCs w:val="21"/>
              </w:rPr>
              <w:t>601988</w:t>
            </w:r>
          </w:p>
        </w:tc>
        <w:tc>
          <w:tcPr>
            <w:tcW w:w="1980" w:type="dxa"/>
            <w:vAlign w:val="center"/>
          </w:tcPr>
          <w:p w:rsidR="00A40B3A" w:rsidRDefault="0060040C">
            <w:pPr>
              <w:jc w:val="center"/>
            </w:pPr>
            <w:r>
              <w:rPr>
                <w:rFonts w:eastAsiaTheme="minorEastAsia"/>
                <w:szCs w:val="21"/>
              </w:rPr>
              <w:t>中国银行</w:t>
            </w:r>
          </w:p>
        </w:tc>
        <w:tc>
          <w:tcPr>
            <w:tcW w:w="2880" w:type="dxa"/>
            <w:vAlign w:val="center"/>
          </w:tcPr>
          <w:p w:rsidR="00A40B3A" w:rsidRDefault="0060040C">
            <w:pPr>
              <w:jc w:val="right"/>
            </w:pPr>
            <w:r>
              <w:rPr>
                <w:rFonts w:eastAsiaTheme="minorEastAsia"/>
                <w:szCs w:val="21"/>
              </w:rPr>
              <w:t>4,057,981.00</w:t>
            </w:r>
          </w:p>
        </w:tc>
        <w:tc>
          <w:tcPr>
            <w:tcW w:w="1620" w:type="dxa"/>
            <w:vAlign w:val="center"/>
          </w:tcPr>
          <w:p w:rsidR="00A40B3A" w:rsidRDefault="0060040C">
            <w:pPr>
              <w:jc w:val="right"/>
            </w:pPr>
            <w:r>
              <w:rPr>
                <w:rFonts w:eastAsiaTheme="minorEastAsia"/>
                <w:szCs w:val="21"/>
              </w:rPr>
              <w:t>1.66</w:t>
            </w:r>
          </w:p>
        </w:tc>
      </w:tr>
      <w:tr w:rsidR="00A40B3A">
        <w:tc>
          <w:tcPr>
            <w:tcW w:w="870" w:type="dxa"/>
            <w:vAlign w:val="center"/>
          </w:tcPr>
          <w:p w:rsidR="00A40B3A" w:rsidRDefault="0060040C">
            <w:pPr>
              <w:jc w:val="center"/>
            </w:pPr>
            <w:r>
              <w:rPr>
                <w:rFonts w:eastAsiaTheme="minorEastAsia"/>
                <w:szCs w:val="21"/>
              </w:rPr>
              <w:t>19</w:t>
            </w:r>
          </w:p>
        </w:tc>
        <w:tc>
          <w:tcPr>
            <w:tcW w:w="1650" w:type="dxa"/>
            <w:vAlign w:val="center"/>
          </w:tcPr>
          <w:p w:rsidR="00A40B3A" w:rsidRDefault="0060040C">
            <w:pPr>
              <w:jc w:val="center"/>
            </w:pPr>
            <w:r>
              <w:rPr>
                <w:rFonts w:eastAsiaTheme="minorEastAsia"/>
                <w:szCs w:val="21"/>
              </w:rPr>
              <w:t>600919</w:t>
            </w:r>
          </w:p>
        </w:tc>
        <w:tc>
          <w:tcPr>
            <w:tcW w:w="1980" w:type="dxa"/>
            <w:vAlign w:val="center"/>
          </w:tcPr>
          <w:p w:rsidR="00A40B3A" w:rsidRDefault="0060040C">
            <w:pPr>
              <w:jc w:val="center"/>
            </w:pPr>
            <w:r>
              <w:rPr>
                <w:rFonts w:eastAsiaTheme="minorEastAsia"/>
                <w:szCs w:val="21"/>
              </w:rPr>
              <w:t>江苏银行</w:t>
            </w:r>
          </w:p>
        </w:tc>
        <w:tc>
          <w:tcPr>
            <w:tcW w:w="2880" w:type="dxa"/>
            <w:vAlign w:val="center"/>
          </w:tcPr>
          <w:p w:rsidR="00A40B3A" w:rsidRDefault="0060040C">
            <w:pPr>
              <w:jc w:val="right"/>
            </w:pPr>
            <w:r>
              <w:rPr>
                <w:rFonts w:eastAsiaTheme="minorEastAsia"/>
                <w:szCs w:val="21"/>
              </w:rPr>
              <w:t>4,052,156.00</w:t>
            </w:r>
          </w:p>
        </w:tc>
        <w:tc>
          <w:tcPr>
            <w:tcW w:w="1620" w:type="dxa"/>
            <w:vAlign w:val="center"/>
          </w:tcPr>
          <w:p w:rsidR="00A40B3A" w:rsidRDefault="0060040C">
            <w:pPr>
              <w:jc w:val="right"/>
            </w:pPr>
            <w:r>
              <w:rPr>
                <w:rFonts w:eastAsiaTheme="minorEastAsia"/>
                <w:szCs w:val="21"/>
              </w:rPr>
              <w:t>1.65</w:t>
            </w:r>
          </w:p>
        </w:tc>
      </w:tr>
      <w:tr w:rsidR="00A40B3A">
        <w:tc>
          <w:tcPr>
            <w:tcW w:w="870" w:type="dxa"/>
            <w:vAlign w:val="center"/>
          </w:tcPr>
          <w:p w:rsidR="00A40B3A" w:rsidRDefault="0060040C">
            <w:pPr>
              <w:jc w:val="center"/>
            </w:pPr>
            <w:r>
              <w:rPr>
                <w:rFonts w:eastAsiaTheme="minorEastAsia"/>
                <w:szCs w:val="21"/>
              </w:rPr>
              <w:t>20</w:t>
            </w:r>
          </w:p>
        </w:tc>
        <w:tc>
          <w:tcPr>
            <w:tcW w:w="1650" w:type="dxa"/>
            <w:vAlign w:val="center"/>
          </w:tcPr>
          <w:p w:rsidR="00A40B3A" w:rsidRDefault="0060040C">
            <w:pPr>
              <w:jc w:val="center"/>
            </w:pPr>
            <w:r>
              <w:rPr>
                <w:rFonts w:eastAsiaTheme="minorEastAsia"/>
                <w:szCs w:val="21"/>
              </w:rPr>
              <w:t>600016</w:t>
            </w:r>
          </w:p>
        </w:tc>
        <w:tc>
          <w:tcPr>
            <w:tcW w:w="1980" w:type="dxa"/>
            <w:vAlign w:val="center"/>
          </w:tcPr>
          <w:p w:rsidR="00A40B3A" w:rsidRDefault="0060040C">
            <w:pPr>
              <w:jc w:val="center"/>
            </w:pPr>
            <w:r>
              <w:rPr>
                <w:rFonts w:eastAsiaTheme="minorEastAsia"/>
                <w:szCs w:val="21"/>
              </w:rPr>
              <w:t>民生银行</w:t>
            </w:r>
          </w:p>
        </w:tc>
        <w:tc>
          <w:tcPr>
            <w:tcW w:w="2880" w:type="dxa"/>
            <w:vAlign w:val="center"/>
          </w:tcPr>
          <w:p w:rsidR="00A40B3A" w:rsidRDefault="0060040C">
            <w:pPr>
              <w:jc w:val="right"/>
            </w:pPr>
            <w:r>
              <w:rPr>
                <w:rFonts w:eastAsiaTheme="minorEastAsia"/>
                <w:szCs w:val="21"/>
              </w:rPr>
              <w:t>4,046,626.00</w:t>
            </w:r>
          </w:p>
        </w:tc>
        <w:tc>
          <w:tcPr>
            <w:tcW w:w="1620" w:type="dxa"/>
            <w:vAlign w:val="center"/>
          </w:tcPr>
          <w:p w:rsidR="00A40B3A" w:rsidRDefault="0060040C">
            <w:pPr>
              <w:jc w:val="right"/>
            </w:pPr>
            <w:r>
              <w:rPr>
                <w:rFonts w:eastAsiaTheme="minorEastAsia"/>
                <w:szCs w:val="21"/>
              </w:rPr>
              <w:t>1.65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A40B3A">
        <w:tc>
          <w:tcPr>
            <w:tcW w:w="870" w:type="dxa"/>
            <w:vAlign w:val="center"/>
          </w:tcPr>
          <w:p w:rsidR="00A40B3A" w:rsidRDefault="0060040C">
            <w:pPr>
              <w:jc w:val="center"/>
            </w:pPr>
            <w:r>
              <w:rPr>
                <w:rFonts w:eastAsiaTheme="minorEastAsia"/>
                <w:szCs w:val="21"/>
              </w:rPr>
              <w:t>1</w:t>
            </w:r>
          </w:p>
        </w:tc>
        <w:tc>
          <w:tcPr>
            <w:tcW w:w="1650" w:type="dxa"/>
            <w:vAlign w:val="center"/>
          </w:tcPr>
          <w:p w:rsidR="00A40B3A" w:rsidRDefault="0060040C">
            <w:pPr>
              <w:jc w:val="center"/>
            </w:pPr>
            <w:r>
              <w:rPr>
                <w:rFonts w:eastAsiaTheme="minorEastAsia"/>
                <w:szCs w:val="21"/>
              </w:rPr>
              <w:t>600519</w:t>
            </w:r>
          </w:p>
        </w:tc>
        <w:tc>
          <w:tcPr>
            <w:tcW w:w="1980" w:type="dxa"/>
            <w:vAlign w:val="center"/>
          </w:tcPr>
          <w:p w:rsidR="00A40B3A" w:rsidRDefault="0060040C">
            <w:pPr>
              <w:jc w:val="center"/>
            </w:pPr>
            <w:r>
              <w:rPr>
                <w:rFonts w:eastAsiaTheme="minorEastAsia"/>
                <w:szCs w:val="21"/>
              </w:rPr>
              <w:t>贵州茅台</w:t>
            </w:r>
          </w:p>
        </w:tc>
        <w:tc>
          <w:tcPr>
            <w:tcW w:w="2880" w:type="dxa"/>
            <w:vAlign w:val="center"/>
          </w:tcPr>
          <w:p w:rsidR="00A40B3A" w:rsidRDefault="0060040C">
            <w:pPr>
              <w:jc w:val="right"/>
            </w:pPr>
            <w:r>
              <w:rPr>
                <w:rFonts w:eastAsiaTheme="minorEastAsia"/>
                <w:szCs w:val="21"/>
              </w:rPr>
              <w:t>10,118,123.64</w:t>
            </w:r>
          </w:p>
        </w:tc>
        <w:tc>
          <w:tcPr>
            <w:tcW w:w="1620" w:type="dxa"/>
            <w:vAlign w:val="center"/>
          </w:tcPr>
          <w:p w:rsidR="00A40B3A" w:rsidRDefault="0060040C">
            <w:pPr>
              <w:jc w:val="right"/>
            </w:pPr>
            <w:r>
              <w:rPr>
                <w:rFonts w:eastAsiaTheme="minorEastAsia"/>
                <w:szCs w:val="21"/>
              </w:rPr>
              <w:t>4.13</w:t>
            </w:r>
          </w:p>
        </w:tc>
      </w:tr>
      <w:tr w:rsidR="00A40B3A">
        <w:tc>
          <w:tcPr>
            <w:tcW w:w="870" w:type="dxa"/>
            <w:vAlign w:val="center"/>
          </w:tcPr>
          <w:p w:rsidR="00A40B3A" w:rsidRDefault="0060040C">
            <w:pPr>
              <w:jc w:val="center"/>
            </w:pPr>
            <w:r>
              <w:rPr>
                <w:rFonts w:eastAsiaTheme="minorEastAsia"/>
                <w:szCs w:val="21"/>
              </w:rPr>
              <w:t>2</w:t>
            </w:r>
          </w:p>
        </w:tc>
        <w:tc>
          <w:tcPr>
            <w:tcW w:w="1650" w:type="dxa"/>
            <w:vAlign w:val="center"/>
          </w:tcPr>
          <w:p w:rsidR="00A40B3A" w:rsidRDefault="0060040C">
            <w:pPr>
              <w:jc w:val="center"/>
            </w:pPr>
            <w:r>
              <w:rPr>
                <w:rFonts w:eastAsiaTheme="minorEastAsia"/>
                <w:szCs w:val="21"/>
              </w:rPr>
              <w:t>002157</w:t>
            </w:r>
          </w:p>
        </w:tc>
        <w:tc>
          <w:tcPr>
            <w:tcW w:w="1980" w:type="dxa"/>
            <w:vAlign w:val="center"/>
          </w:tcPr>
          <w:p w:rsidR="00A40B3A" w:rsidRDefault="0060040C">
            <w:pPr>
              <w:jc w:val="center"/>
            </w:pPr>
            <w:r>
              <w:rPr>
                <w:rFonts w:eastAsiaTheme="minorEastAsia"/>
                <w:szCs w:val="21"/>
              </w:rPr>
              <w:t>正邦科技</w:t>
            </w:r>
          </w:p>
        </w:tc>
        <w:tc>
          <w:tcPr>
            <w:tcW w:w="2880" w:type="dxa"/>
            <w:vAlign w:val="center"/>
          </w:tcPr>
          <w:p w:rsidR="00A40B3A" w:rsidRDefault="0060040C">
            <w:pPr>
              <w:jc w:val="right"/>
            </w:pPr>
            <w:r>
              <w:rPr>
                <w:rFonts w:eastAsiaTheme="minorEastAsia"/>
                <w:szCs w:val="21"/>
              </w:rPr>
              <w:t>8,919,237.93</w:t>
            </w:r>
          </w:p>
        </w:tc>
        <w:tc>
          <w:tcPr>
            <w:tcW w:w="1620" w:type="dxa"/>
            <w:vAlign w:val="center"/>
          </w:tcPr>
          <w:p w:rsidR="00A40B3A" w:rsidRDefault="0060040C">
            <w:pPr>
              <w:jc w:val="right"/>
            </w:pPr>
            <w:r>
              <w:rPr>
                <w:rFonts w:eastAsiaTheme="minorEastAsia"/>
                <w:szCs w:val="21"/>
              </w:rPr>
              <w:t>3.64</w:t>
            </w:r>
          </w:p>
        </w:tc>
      </w:tr>
      <w:tr w:rsidR="00A40B3A">
        <w:tc>
          <w:tcPr>
            <w:tcW w:w="870" w:type="dxa"/>
            <w:vAlign w:val="center"/>
          </w:tcPr>
          <w:p w:rsidR="00A40B3A" w:rsidRDefault="0060040C">
            <w:pPr>
              <w:jc w:val="center"/>
            </w:pPr>
            <w:r>
              <w:rPr>
                <w:rFonts w:eastAsiaTheme="minorEastAsia"/>
                <w:szCs w:val="21"/>
              </w:rPr>
              <w:t>3</w:t>
            </w:r>
          </w:p>
        </w:tc>
        <w:tc>
          <w:tcPr>
            <w:tcW w:w="1650" w:type="dxa"/>
            <w:vAlign w:val="center"/>
          </w:tcPr>
          <w:p w:rsidR="00A40B3A" w:rsidRDefault="0060040C">
            <w:pPr>
              <w:jc w:val="center"/>
            </w:pPr>
            <w:r>
              <w:rPr>
                <w:rFonts w:eastAsiaTheme="minorEastAsia"/>
                <w:szCs w:val="21"/>
              </w:rPr>
              <w:t>002798</w:t>
            </w:r>
          </w:p>
        </w:tc>
        <w:tc>
          <w:tcPr>
            <w:tcW w:w="1980" w:type="dxa"/>
            <w:vAlign w:val="center"/>
          </w:tcPr>
          <w:p w:rsidR="00A40B3A" w:rsidRDefault="0060040C">
            <w:pPr>
              <w:jc w:val="center"/>
            </w:pPr>
            <w:r>
              <w:rPr>
                <w:rFonts w:eastAsiaTheme="minorEastAsia"/>
                <w:szCs w:val="21"/>
              </w:rPr>
              <w:t>帝欧家居</w:t>
            </w:r>
          </w:p>
        </w:tc>
        <w:tc>
          <w:tcPr>
            <w:tcW w:w="2880" w:type="dxa"/>
            <w:vAlign w:val="center"/>
          </w:tcPr>
          <w:p w:rsidR="00A40B3A" w:rsidRDefault="0060040C">
            <w:pPr>
              <w:jc w:val="right"/>
            </w:pPr>
            <w:r>
              <w:rPr>
                <w:rFonts w:eastAsiaTheme="minorEastAsia"/>
                <w:szCs w:val="21"/>
              </w:rPr>
              <w:t>7,516,349.18</w:t>
            </w:r>
          </w:p>
        </w:tc>
        <w:tc>
          <w:tcPr>
            <w:tcW w:w="1620" w:type="dxa"/>
            <w:vAlign w:val="center"/>
          </w:tcPr>
          <w:p w:rsidR="00A40B3A" w:rsidRDefault="0060040C">
            <w:pPr>
              <w:jc w:val="right"/>
            </w:pPr>
            <w:r>
              <w:rPr>
                <w:rFonts w:eastAsiaTheme="minorEastAsia"/>
                <w:szCs w:val="21"/>
              </w:rPr>
              <w:t>3.07</w:t>
            </w:r>
          </w:p>
        </w:tc>
      </w:tr>
      <w:tr w:rsidR="00A40B3A">
        <w:tc>
          <w:tcPr>
            <w:tcW w:w="870" w:type="dxa"/>
            <w:vAlign w:val="center"/>
          </w:tcPr>
          <w:p w:rsidR="00A40B3A" w:rsidRDefault="0060040C">
            <w:pPr>
              <w:jc w:val="center"/>
            </w:pPr>
            <w:r>
              <w:rPr>
                <w:rFonts w:eastAsiaTheme="minorEastAsia"/>
                <w:szCs w:val="21"/>
              </w:rPr>
              <w:t>4</w:t>
            </w:r>
          </w:p>
        </w:tc>
        <w:tc>
          <w:tcPr>
            <w:tcW w:w="1650" w:type="dxa"/>
            <w:vAlign w:val="center"/>
          </w:tcPr>
          <w:p w:rsidR="00A40B3A" w:rsidRDefault="0060040C">
            <w:pPr>
              <w:jc w:val="center"/>
            </w:pPr>
            <w:r>
              <w:rPr>
                <w:rFonts w:eastAsiaTheme="minorEastAsia"/>
                <w:szCs w:val="21"/>
              </w:rPr>
              <w:t>002475</w:t>
            </w:r>
          </w:p>
        </w:tc>
        <w:tc>
          <w:tcPr>
            <w:tcW w:w="1980" w:type="dxa"/>
            <w:vAlign w:val="center"/>
          </w:tcPr>
          <w:p w:rsidR="00A40B3A" w:rsidRDefault="0060040C">
            <w:pPr>
              <w:jc w:val="center"/>
            </w:pPr>
            <w:r>
              <w:rPr>
                <w:rFonts w:eastAsiaTheme="minorEastAsia"/>
                <w:szCs w:val="21"/>
              </w:rPr>
              <w:t>立讯精密</w:t>
            </w:r>
          </w:p>
        </w:tc>
        <w:tc>
          <w:tcPr>
            <w:tcW w:w="2880" w:type="dxa"/>
            <w:vAlign w:val="center"/>
          </w:tcPr>
          <w:p w:rsidR="00A40B3A" w:rsidRDefault="0060040C">
            <w:pPr>
              <w:jc w:val="right"/>
            </w:pPr>
            <w:r>
              <w:rPr>
                <w:rFonts w:eastAsiaTheme="minorEastAsia"/>
                <w:szCs w:val="21"/>
              </w:rPr>
              <w:t>7,234,436.30</w:t>
            </w:r>
          </w:p>
        </w:tc>
        <w:tc>
          <w:tcPr>
            <w:tcW w:w="1620" w:type="dxa"/>
            <w:vAlign w:val="center"/>
          </w:tcPr>
          <w:p w:rsidR="00A40B3A" w:rsidRDefault="0060040C">
            <w:pPr>
              <w:jc w:val="right"/>
            </w:pPr>
            <w:r>
              <w:rPr>
                <w:rFonts w:eastAsiaTheme="minorEastAsia"/>
                <w:szCs w:val="21"/>
              </w:rPr>
              <w:t>2.95</w:t>
            </w:r>
          </w:p>
        </w:tc>
      </w:tr>
      <w:tr w:rsidR="00A40B3A">
        <w:tc>
          <w:tcPr>
            <w:tcW w:w="870" w:type="dxa"/>
            <w:vAlign w:val="center"/>
          </w:tcPr>
          <w:p w:rsidR="00A40B3A" w:rsidRDefault="0060040C">
            <w:pPr>
              <w:jc w:val="center"/>
            </w:pPr>
            <w:r>
              <w:rPr>
                <w:rFonts w:eastAsiaTheme="minorEastAsia"/>
                <w:szCs w:val="21"/>
              </w:rPr>
              <w:t>5</w:t>
            </w:r>
          </w:p>
        </w:tc>
        <w:tc>
          <w:tcPr>
            <w:tcW w:w="1650" w:type="dxa"/>
            <w:vAlign w:val="center"/>
          </w:tcPr>
          <w:p w:rsidR="00A40B3A" w:rsidRDefault="0060040C">
            <w:pPr>
              <w:jc w:val="center"/>
            </w:pPr>
            <w:r>
              <w:rPr>
                <w:rFonts w:eastAsiaTheme="minorEastAsia"/>
                <w:szCs w:val="21"/>
              </w:rPr>
              <w:t>601318</w:t>
            </w:r>
          </w:p>
        </w:tc>
        <w:tc>
          <w:tcPr>
            <w:tcW w:w="1980" w:type="dxa"/>
            <w:vAlign w:val="center"/>
          </w:tcPr>
          <w:p w:rsidR="00A40B3A" w:rsidRDefault="0060040C">
            <w:pPr>
              <w:jc w:val="center"/>
            </w:pPr>
            <w:r>
              <w:rPr>
                <w:rFonts w:eastAsiaTheme="minorEastAsia"/>
                <w:szCs w:val="21"/>
              </w:rPr>
              <w:t>中国平安</w:t>
            </w:r>
          </w:p>
        </w:tc>
        <w:tc>
          <w:tcPr>
            <w:tcW w:w="2880" w:type="dxa"/>
            <w:vAlign w:val="center"/>
          </w:tcPr>
          <w:p w:rsidR="00A40B3A" w:rsidRDefault="0060040C">
            <w:pPr>
              <w:jc w:val="right"/>
            </w:pPr>
            <w:r>
              <w:rPr>
                <w:rFonts w:eastAsiaTheme="minorEastAsia"/>
                <w:szCs w:val="21"/>
              </w:rPr>
              <w:t>7,193,761.99</w:t>
            </w:r>
          </w:p>
        </w:tc>
        <w:tc>
          <w:tcPr>
            <w:tcW w:w="1620" w:type="dxa"/>
            <w:vAlign w:val="center"/>
          </w:tcPr>
          <w:p w:rsidR="00A40B3A" w:rsidRDefault="0060040C">
            <w:pPr>
              <w:jc w:val="right"/>
            </w:pPr>
            <w:r>
              <w:rPr>
                <w:rFonts w:eastAsiaTheme="minorEastAsia"/>
                <w:szCs w:val="21"/>
              </w:rPr>
              <w:t>2.93</w:t>
            </w:r>
          </w:p>
        </w:tc>
      </w:tr>
      <w:tr w:rsidR="00A40B3A">
        <w:tc>
          <w:tcPr>
            <w:tcW w:w="870" w:type="dxa"/>
            <w:vAlign w:val="center"/>
          </w:tcPr>
          <w:p w:rsidR="00A40B3A" w:rsidRDefault="0060040C">
            <w:pPr>
              <w:jc w:val="center"/>
            </w:pPr>
            <w:r>
              <w:rPr>
                <w:rFonts w:eastAsiaTheme="minorEastAsia"/>
                <w:szCs w:val="21"/>
              </w:rPr>
              <w:t>6</w:t>
            </w:r>
          </w:p>
        </w:tc>
        <w:tc>
          <w:tcPr>
            <w:tcW w:w="1650" w:type="dxa"/>
            <w:vAlign w:val="center"/>
          </w:tcPr>
          <w:p w:rsidR="00A40B3A" w:rsidRDefault="0060040C">
            <w:pPr>
              <w:jc w:val="center"/>
            </w:pPr>
            <w:r>
              <w:rPr>
                <w:rFonts w:eastAsiaTheme="minorEastAsia"/>
                <w:szCs w:val="21"/>
              </w:rPr>
              <w:t>000858</w:t>
            </w:r>
          </w:p>
        </w:tc>
        <w:tc>
          <w:tcPr>
            <w:tcW w:w="1980" w:type="dxa"/>
            <w:vAlign w:val="center"/>
          </w:tcPr>
          <w:p w:rsidR="00A40B3A" w:rsidRDefault="0060040C">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A40B3A" w:rsidRDefault="0060040C">
            <w:pPr>
              <w:jc w:val="right"/>
            </w:pPr>
            <w:r>
              <w:rPr>
                <w:rFonts w:eastAsiaTheme="minorEastAsia"/>
                <w:szCs w:val="21"/>
              </w:rPr>
              <w:t>7,148,937.00</w:t>
            </w:r>
          </w:p>
        </w:tc>
        <w:tc>
          <w:tcPr>
            <w:tcW w:w="1620" w:type="dxa"/>
            <w:vAlign w:val="center"/>
          </w:tcPr>
          <w:p w:rsidR="00A40B3A" w:rsidRDefault="0060040C">
            <w:pPr>
              <w:jc w:val="right"/>
            </w:pPr>
            <w:r>
              <w:rPr>
                <w:rFonts w:eastAsiaTheme="minorEastAsia"/>
                <w:szCs w:val="21"/>
              </w:rPr>
              <w:t>2.92</w:t>
            </w:r>
          </w:p>
        </w:tc>
      </w:tr>
      <w:tr w:rsidR="00A40B3A">
        <w:tc>
          <w:tcPr>
            <w:tcW w:w="870" w:type="dxa"/>
            <w:vAlign w:val="center"/>
          </w:tcPr>
          <w:p w:rsidR="00A40B3A" w:rsidRDefault="0060040C">
            <w:pPr>
              <w:jc w:val="center"/>
            </w:pPr>
            <w:r>
              <w:rPr>
                <w:rFonts w:eastAsiaTheme="minorEastAsia"/>
                <w:szCs w:val="21"/>
              </w:rPr>
              <w:t>7</w:t>
            </w:r>
          </w:p>
        </w:tc>
        <w:tc>
          <w:tcPr>
            <w:tcW w:w="1650" w:type="dxa"/>
            <w:vAlign w:val="center"/>
          </w:tcPr>
          <w:p w:rsidR="00A40B3A" w:rsidRDefault="0060040C">
            <w:pPr>
              <w:jc w:val="center"/>
            </w:pPr>
            <w:r>
              <w:rPr>
                <w:rFonts w:eastAsiaTheme="minorEastAsia"/>
                <w:szCs w:val="21"/>
              </w:rPr>
              <w:t>600276</w:t>
            </w:r>
          </w:p>
        </w:tc>
        <w:tc>
          <w:tcPr>
            <w:tcW w:w="1980" w:type="dxa"/>
            <w:vAlign w:val="center"/>
          </w:tcPr>
          <w:p w:rsidR="00A40B3A" w:rsidRDefault="0060040C">
            <w:pPr>
              <w:jc w:val="center"/>
            </w:pPr>
            <w:r>
              <w:rPr>
                <w:rFonts w:eastAsiaTheme="minorEastAsia"/>
                <w:szCs w:val="21"/>
              </w:rPr>
              <w:t>恒瑞医药</w:t>
            </w:r>
          </w:p>
        </w:tc>
        <w:tc>
          <w:tcPr>
            <w:tcW w:w="2880" w:type="dxa"/>
            <w:vAlign w:val="center"/>
          </w:tcPr>
          <w:p w:rsidR="00A40B3A" w:rsidRDefault="0060040C">
            <w:pPr>
              <w:jc w:val="right"/>
            </w:pPr>
            <w:r>
              <w:rPr>
                <w:rFonts w:eastAsiaTheme="minorEastAsia"/>
                <w:szCs w:val="21"/>
              </w:rPr>
              <w:t>6,303,139.40</w:t>
            </w:r>
          </w:p>
        </w:tc>
        <w:tc>
          <w:tcPr>
            <w:tcW w:w="1620" w:type="dxa"/>
            <w:vAlign w:val="center"/>
          </w:tcPr>
          <w:p w:rsidR="00A40B3A" w:rsidRDefault="0060040C">
            <w:pPr>
              <w:jc w:val="right"/>
            </w:pPr>
            <w:r>
              <w:rPr>
                <w:rFonts w:eastAsiaTheme="minorEastAsia"/>
                <w:szCs w:val="21"/>
              </w:rPr>
              <w:t>2.57</w:t>
            </w:r>
          </w:p>
        </w:tc>
      </w:tr>
      <w:tr w:rsidR="00A40B3A">
        <w:tc>
          <w:tcPr>
            <w:tcW w:w="870" w:type="dxa"/>
            <w:vAlign w:val="center"/>
          </w:tcPr>
          <w:p w:rsidR="00A40B3A" w:rsidRDefault="0060040C">
            <w:pPr>
              <w:jc w:val="center"/>
            </w:pPr>
            <w:r>
              <w:rPr>
                <w:rFonts w:eastAsiaTheme="minorEastAsia"/>
                <w:szCs w:val="21"/>
              </w:rPr>
              <w:t>8</w:t>
            </w:r>
          </w:p>
        </w:tc>
        <w:tc>
          <w:tcPr>
            <w:tcW w:w="1650" w:type="dxa"/>
            <w:vAlign w:val="center"/>
          </w:tcPr>
          <w:p w:rsidR="00A40B3A" w:rsidRDefault="0060040C">
            <w:pPr>
              <w:jc w:val="center"/>
            </w:pPr>
            <w:r>
              <w:rPr>
                <w:rFonts w:eastAsiaTheme="minorEastAsia"/>
                <w:szCs w:val="21"/>
              </w:rPr>
              <w:t>002415</w:t>
            </w:r>
          </w:p>
        </w:tc>
        <w:tc>
          <w:tcPr>
            <w:tcW w:w="1980" w:type="dxa"/>
            <w:vAlign w:val="center"/>
          </w:tcPr>
          <w:p w:rsidR="00A40B3A" w:rsidRDefault="0060040C">
            <w:pPr>
              <w:jc w:val="center"/>
            </w:pPr>
            <w:r>
              <w:rPr>
                <w:rFonts w:eastAsiaTheme="minorEastAsia"/>
                <w:szCs w:val="21"/>
              </w:rPr>
              <w:t>海康威视</w:t>
            </w:r>
          </w:p>
        </w:tc>
        <w:tc>
          <w:tcPr>
            <w:tcW w:w="2880" w:type="dxa"/>
            <w:vAlign w:val="center"/>
          </w:tcPr>
          <w:p w:rsidR="00A40B3A" w:rsidRDefault="0060040C">
            <w:pPr>
              <w:jc w:val="right"/>
            </w:pPr>
            <w:r>
              <w:rPr>
                <w:rFonts w:eastAsiaTheme="minorEastAsia"/>
                <w:szCs w:val="21"/>
              </w:rPr>
              <w:t>6,183,032.65</w:t>
            </w:r>
          </w:p>
        </w:tc>
        <w:tc>
          <w:tcPr>
            <w:tcW w:w="1620" w:type="dxa"/>
            <w:vAlign w:val="center"/>
          </w:tcPr>
          <w:p w:rsidR="00A40B3A" w:rsidRDefault="0060040C">
            <w:pPr>
              <w:jc w:val="right"/>
            </w:pPr>
            <w:r>
              <w:rPr>
                <w:rFonts w:eastAsiaTheme="minorEastAsia"/>
                <w:szCs w:val="21"/>
              </w:rPr>
              <w:t>2.52</w:t>
            </w:r>
          </w:p>
        </w:tc>
      </w:tr>
      <w:tr w:rsidR="00A40B3A">
        <w:tc>
          <w:tcPr>
            <w:tcW w:w="870" w:type="dxa"/>
            <w:vAlign w:val="center"/>
          </w:tcPr>
          <w:p w:rsidR="00A40B3A" w:rsidRDefault="0060040C">
            <w:pPr>
              <w:jc w:val="center"/>
            </w:pPr>
            <w:r>
              <w:rPr>
                <w:rFonts w:eastAsiaTheme="minorEastAsia"/>
                <w:szCs w:val="21"/>
              </w:rPr>
              <w:t>9</w:t>
            </w:r>
          </w:p>
        </w:tc>
        <w:tc>
          <w:tcPr>
            <w:tcW w:w="1650" w:type="dxa"/>
            <w:vAlign w:val="center"/>
          </w:tcPr>
          <w:p w:rsidR="00A40B3A" w:rsidRDefault="0060040C">
            <w:pPr>
              <w:jc w:val="center"/>
            </w:pPr>
            <w:r>
              <w:rPr>
                <w:rFonts w:eastAsiaTheme="minorEastAsia"/>
                <w:szCs w:val="21"/>
              </w:rPr>
              <w:t>300450</w:t>
            </w:r>
          </w:p>
        </w:tc>
        <w:tc>
          <w:tcPr>
            <w:tcW w:w="1980" w:type="dxa"/>
            <w:vAlign w:val="center"/>
          </w:tcPr>
          <w:p w:rsidR="00A40B3A" w:rsidRDefault="0060040C">
            <w:pPr>
              <w:jc w:val="center"/>
            </w:pPr>
            <w:r>
              <w:rPr>
                <w:rFonts w:eastAsiaTheme="minorEastAsia"/>
                <w:szCs w:val="21"/>
              </w:rPr>
              <w:t>先导智能</w:t>
            </w:r>
          </w:p>
        </w:tc>
        <w:tc>
          <w:tcPr>
            <w:tcW w:w="2880" w:type="dxa"/>
            <w:vAlign w:val="center"/>
          </w:tcPr>
          <w:p w:rsidR="00A40B3A" w:rsidRDefault="0060040C">
            <w:pPr>
              <w:jc w:val="right"/>
            </w:pPr>
            <w:r>
              <w:rPr>
                <w:rFonts w:eastAsiaTheme="minorEastAsia"/>
                <w:szCs w:val="21"/>
              </w:rPr>
              <w:t>5,980,492.01</w:t>
            </w:r>
          </w:p>
        </w:tc>
        <w:tc>
          <w:tcPr>
            <w:tcW w:w="1620" w:type="dxa"/>
            <w:vAlign w:val="center"/>
          </w:tcPr>
          <w:p w:rsidR="00A40B3A" w:rsidRDefault="0060040C">
            <w:pPr>
              <w:jc w:val="right"/>
            </w:pPr>
            <w:r>
              <w:rPr>
                <w:rFonts w:eastAsiaTheme="minorEastAsia"/>
                <w:szCs w:val="21"/>
              </w:rPr>
              <w:t>2.44</w:t>
            </w:r>
          </w:p>
        </w:tc>
      </w:tr>
      <w:tr w:rsidR="00A40B3A">
        <w:tc>
          <w:tcPr>
            <w:tcW w:w="870" w:type="dxa"/>
            <w:vAlign w:val="center"/>
          </w:tcPr>
          <w:p w:rsidR="00A40B3A" w:rsidRDefault="0060040C">
            <w:pPr>
              <w:jc w:val="center"/>
            </w:pPr>
            <w:r>
              <w:rPr>
                <w:rFonts w:eastAsiaTheme="minorEastAsia"/>
                <w:szCs w:val="21"/>
              </w:rPr>
              <w:t>10</w:t>
            </w:r>
          </w:p>
        </w:tc>
        <w:tc>
          <w:tcPr>
            <w:tcW w:w="1650" w:type="dxa"/>
            <w:vAlign w:val="center"/>
          </w:tcPr>
          <w:p w:rsidR="00A40B3A" w:rsidRDefault="0060040C">
            <w:pPr>
              <w:jc w:val="center"/>
            </w:pPr>
            <w:r>
              <w:rPr>
                <w:rFonts w:eastAsiaTheme="minorEastAsia"/>
                <w:szCs w:val="21"/>
              </w:rPr>
              <w:t>002236</w:t>
            </w:r>
          </w:p>
        </w:tc>
        <w:tc>
          <w:tcPr>
            <w:tcW w:w="1980" w:type="dxa"/>
            <w:vAlign w:val="center"/>
          </w:tcPr>
          <w:p w:rsidR="00A40B3A" w:rsidRDefault="0060040C">
            <w:pPr>
              <w:jc w:val="center"/>
            </w:pPr>
            <w:r>
              <w:rPr>
                <w:rFonts w:eastAsiaTheme="minorEastAsia"/>
                <w:szCs w:val="21"/>
              </w:rPr>
              <w:t>大华股份</w:t>
            </w:r>
          </w:p>
        </w:tc>
        <w:tc>
          <w:tcPr>
            <w:tcW w:w="2880" w:type="dxa"/>
            <w:vAlign w:val="center"/>
          </w:tcPr>
          <w:p w:rsidR="00A40B3A" w:rsidRDefault="0060040C">
            <w:pPr>
              <w:jc w:val="right"/>
            </w:pPr>
            <w:r>
              <w:rPr>
                <w:rFonts w:eastAsiaTheme="minorEastAsia"/>
                <w:szCs w:val="21"/>
              </w:rPr>
              <w:t>5,155,869.90</w:t>
            </w:r>
          </w:p>
        </w:tc>
        <w:tc>
          <w:tcPr>
            <w:tcW w:w="1620" w:type="dxa"/>
            <w:vAlign w:val="center"/>
          </w:tcPr>
          <w:p w:rsidR="00A40B3A" w:rsidRDefault="0060040C">
            <w:pPr>
              <w:jc w:val="right"/>
            </w:pPr>
            <w:r>
              <w:rPr>
                <w:rFonts w:eastAsiaTheme="minorEastAsia"/>
                <w:szCs w:val="21"/>
              </w:rPr>
              <w:t>2.10</w:t>
            </w:r>
          </w:p>
        </w:tc>
      </w:tr>
      <w:tr w:rsidR="00A40B3A">
        <w:tc>
          <w:tcPr>
            <w:tcW w:w="870" w:type="dxa"/>
            <w:vAlign w:val="center"/>
          </w:tcPr>
          <w:p w:rsidR="00A40B3A" w:rsidRDefault="0060040C">
            <w:pPr>
              <w:jc w:val="center"/>
            </w:pPr>
            <w:r>
              <w:rPr>
                <w:rFonts w:eastAsiaTheme="minorEastAsia"/>
                <w:szCs w:val="21"/>
              </w:rPr>
              <w:t>11</w:t>
            </w:r>
          </w:p>
        </w:tc>
        <w:tc>
          <w:tcPr>
            <w:tcW w:w="1650" w:type="dxa"/>
            <w:vAlign w:val="center"/>
          </w:tcPr>
          <w:p w:rsidR="00A40B3A" w:rsidRDefault="0060040C">
            <w:pPr>
              <w:jc w:val="center"/>
            </w:pPr>
            <w:r>
              <w:rPr>
                <w:rFonts w:eastAsiaTheme="minorEastAsia"/>
                <w:szCs w:val="21"/>
              </w:rPr>
              <w:t>002594</w:t>
            </w:r>
          </w:p>
        </w:tc>
        <w:tc>
          <w:tcPr>
            <w:tcW w:w="1980" w:type="dxa"/>
            <w:vAlign w:val="center"/>
          </w:tcPr>
          <w:p w:rsidR="00A40B3A" w:rsidRDefault="0060040C">
            <w:pPr>
              <w:jc w:val="center"/>
            </w:pPr>
            <w:r>
              <w:rPr>
                <w:rFonts w:eastAsiaTheme="minorEastAsia"/>
                <w:szCs w:val="21"/>
              </w:rPr>
              <w:t>比亚迪</w:t>
            </w:r>
          </w:p>
        </w:tc>
        <w:tc>
          <w:tcPr>
            <w:tcW w:w="2880" w:type="dxa"/>
            <w:vAlign w:val="center"/>
          </w:tcPr>
          <w:p w:rsidR="00A40B3A" w:rsidRDefault="0060040C">
            <w:pPr>
              <w:jc w:val="right"/>
            </w:pPr>
            <w:r>
              <w:rPr>
                <w:rFonts w:eastAsiaTheme="minorEastAsia"/>
                <w:szCs w:val="21"/>
              </w:rPr>
              <w:t>4,845,544.00</w:t>
            </w:r>
          </w:p>
        </w:tc>
        <w:tc>
          <w:tcPr>
            <w:tcW w:w="1620" w:type="dxa"/>
            <w:vAlign w:val="center"/>
          </w:tcPr>
          <w:p w:rsidR="00A40B3A" w:rsidRDefault="0060040C">
            <w:pPr>
              <w:jc w:val="right"/>
            </w:pPr>
            <w:r>
              <w:rPr>
                <w:rFonts w:eastAsiaTheme="minorEastAsia"/>
                <w:szCs w:val="21"/>
              </w:rPr>
              <w:t>1.98</w:t>
            </w:r>
          </w:p>
        </w:tc>
      </w:tr>
      <w:tr w:rsidR="00A40B3A">
        <w:tc>
          <w:tcPr>
            <w:tcW w:w="870" w:type="dxa"/>
            <w:vAlign w:val="center"/>
          </w:tcPr>
          <w:p w:rsidR="00A40B3A" w:rsidRDefault="0060040C">
            <w:pPr>
              <w:jc w:val="center"/>
            </w:pPr>
            <w:r>
              <w:rPr>
                <w:rFonts w:eastAsiaTheme="minorEastAsia"/>
                <w:szCs w:val="21"/>
              </w:rPr>
              <w:t>12</w:t>
            </w:r>
          </w:p>
        </w:tc>
        <w:tc>
          <w:tcPr>
            <w:tcW w:w="1650" w:type="dxa"/>
            <w:vAlign w:val="center"/>
          </w:tcPr>
          <w:p w:rsidR="00A40B3A" w:rsidRDefault="0060040C">
            <w:pPr>
              <w:jc w:val="center"/>
            </w:pPr>
            <w:r>
              <w:rPr>
                <w:rFonts w:eastAsiaTheme="minorEastAsia"/>
                <w:szCs w:val="21"/>
              </w:rPr>
              <w:t>601012</w:t>
            </w:r>
          </w:p>
        </w:tc>
        <w:tc>
          <w:tcPr>
            <w:tcW w:w="1980" w:type="dxa"/>
            <w:vAlign w:val="center"/>
          </w:tcPr>
          <w:p w:rsidR="00A40B3A" w:rsidRDefault="0060040C">
            <w:pPr>
              <w:jc w:val="center"/>
            </w:pPr>
            <w:r>
              <w:rPr>
                <w:rFonts w:eastAsiaTheme="minorEastAsia"/>
                <w:szCs w:val="21"/>
              </w:rPr>
              <w:t>隆基股份</w:t>
            </w:r>
          </w:p>
        </w:tc>
        <w:tc>
          <w:tcPr>
            <w:tcW w:w="2880" w:type="dxa"/>
            <w:vAlign w:val="center"/>
          </w:tcPr>
          <w:p w:rsidR="00A40B3A" w:rsidRDefault="0060040C">
            <w:pPr>
              <w:jc w:val="right"/>
            </w:pPr>
            <w:r>
              <w:rPr>
                <w:rFonts w:eastAsiaTheme="minorEastAsia"/>
                <w:szCs w:val="21"/>
              </w:rPr>
              <w:t>4,794,494.47</w:t>
            </w:r>
          </w:p>
        </w:tc>
        <w:tc>
          <w:tcPr>
            <w:tcW w:w="1620" w:type="dxa"/>
            <w:vAlign w:val="center"/>
          </w:tcPr>
          <w:p w:rsidR="00A40B3A" w:rsidRDefault="0060040C">
            <w:pPr>
              <w:jc w:val="right"/>
            </w:pPr>
            <w:r>
              <w:rPr>
                <w:rFonts w:eastAsiaTheme="minorEastAsia"/>
                <w:szCs w:val="21"/>
              </w:rPr>
              <w:t>1.96</w:t>
            </w:r>
          </w:p>
        </w:tc>
      </w:tr>
      <w:tr w:rsidR="00A40B3A">
        <w:tc>
          <w:tcPr>
            <w:tcW w:w="870" w:type="dxa"/>
            <w:vAlign w:val="center"/>
          </w:tcPr>
          <w:p w:rsidR="00A40B3A" w:rsidRDefault="0060040C">
            <w:pPr>
              <w:jc w:val="center"/>
            </w:pPr>
            <w:r>
              <w:rPr>
                <w:rFonts w:eastAsiaTheme="minorEastAsia"/>
                <w:szCs w:val="21"/>
              </w:rPr>
              <w:t>13</w:t>
            </w:r>
          </w:p>
        </w:tc>
        <w:tc>
          <w:tcPr>
            <w:tcW w:w="1650" w:type="dxa"/>
            <w:vAlign w:val="center"/>
          </w:tcPr>
          <w:p w:rsidR="00A40B3A" w:rsidRDefault="0060040C">
            <w:pPr>
              <w:jc w:val="center"/>
            </w:pPr>
            <w:r>
              <w:rPr>
                <w:rFonts w:eastAsiaTheme="minorEastAsia"/>
                <w:szCs w:val="21"/>
              </w:rPr>
              <w:t>000651</w:t>
            </w:r>
          </w:p>
        </w:tc>
        <w:tc>
          <w:tcPr>
            <w:tcW w:w="1980" w:type="dxa"/>
            <w:vAlign w:val="center"/>
          </w:tcPr>
          <w:p w:rsidR="00A40B3A" w:rsidRDefault="0060040C">
            <w:pPr>
              <w:jc w:val="center"/>
            </w:pPr>
            <w:r>
              <w:rPr>
                <w:rFonts w:eastAsiaTheme="minorEastAsia"/>
                <w:szCs w:val="21"/>
              </w:rPr>
              <w:t>格力电器</w:t>
            </w:r>
          </w:p>
        </w:tc>
        <w:tc>
          <w:tcPr>
            <w:tcW w:w="2880" w:type="dxa"/>
            <w:vAlign w:val="center"/>
          </w:tcPr>
          <w:p w:rsidR="00A40B3A" w:rsidRDefault="0060040C">
            <w:pPr>
              <w:jc w:val="right"/>
            </w:pPr>
            <w:r>
              <w:rPr>
                <w:rFonts w:eastAsiaTheme="minorEastAsia"/>
                <w:szCs w:val="21"/>
              </w:rPr>
              <w:t>4,788,605.24</w:t>
            </w:r>
          </w:p>
        </w:tc>
        <w:tc>
          <w:tcPr>
            <w:tcW w:w="1620" w:type="dxa"/>
            <w:vAlign w:val="center"/>
          </w:tcPr>
          <w:p w:rsidR="00A40B3A" w:rsidRDefault="0060040C">
            <w:pPr>
              <w:jc w:val="right"/>
            </w:pPr>
            <w:r>
              <w:rPr>
                <w:rFonts w:eastAsiaTheme="minorEastAsia"/>
                <w:szCs w:val="21"/>
              </w:rPr>
              <w:t>1.95</w:t>
            </w:r>
          </w:p>
        </w:tc>
      </w:tr>
      <w:tr w:rsidR="00A40B3A">
        <w:tc>
          <w:tcPr>
            <w:tcW w:w="870" w:type="dxa"/>
            <w:vAlign w:val="center"/>
          </w:tcPr>
          <w:p w:rsidR="00A40B3A" w:rsidRDefault="0060040C">
            <w:pPr>
              <w:jc w:val="center"/>
            </w:pPr>
            <w:r>
              <w:rPr>
                <w:rFonts w:eastAsiaTheme="minorEastAsia"/>
                <w:szCs w:val="21"/>
              </w:rPr>
              <w:t>14</w:t>
            </w:r>
          </w:p>
        </w:tc>
        <w:tc>
          <w:tcPr>
            <w:tcW w:w="1650" w:type="dxa"/>
            <w:vAlign w:val="center"/>
          </w:tcPr>
          <w:p w:rsidR="00A40B3A" w:rsidRDefault="0060040C">
            <w:pPr>
              <w:jc w:val="center"/>
            </w:pPr>
            <w:r>
              <w:rPr>
                <w:rFonts w:eastAsiaTheme="minorEastAsia"/>
                <w:szCs w:val="21"/>
              </w:rPr>
              <w:t>002714</w:t>
            </w:r>
          </w:p>
        </w:tc>
        <w:tc>
          <w:tcPr>
            <w:tcW w:w="1980" w:type="dxa"/>
            <w:vAlign w:val="center"/>
          </w:tcPr>
          <w:p w:rsidR="00A40B3A" w:rsidRDefault="0060040C">
            <w:pPr>
              <w:jc w:val="center"/>
            </w:pPr>
            <w:r>
              <w:rPr>
                <w:rFonts w:eastAsiaTheme="minorEastAsia"/>
                <w:szCs w:val="21"/>
              </w:rPr>
              <w:t>牧原股份</w:t>
            </w:r>
          </w:p>
        </w:tc>
        <w:tc>
          <w:tcPr>
            <w:tcW w:w="2880" w:type="dxa"/>
            <w:vAlign w:val="center"/>
          </w:tcPr>
          <w:p w:rsidR="00A40B3A" w:rsidRDefault="0060040C">
            <w:pPr>
              <w:jc w:val="right"/>
            </w:pPr>
            <w:r>
              <w:rPr>
                <w:rFonts w:eastAsiaTheme="minorEastAsia"/>
                <w:szCs w:val="21"/>
              </w:rPr>
              <w:t>4,589,287.00</w:t>
            </w:r>
          </w:p>
        </w:tc>
        <w:tc>
          <w:tcPr>
            <w:tcW w:w="1620" w:type="dxa"/>
            <w:vAlign w:val="center"/>
          </w:tcPr>
          <w:p w:rsidR="00A40B3A" w:rsidRDefault="0060040C">
            <w:pPr>
              <w:jc w:val="right"/>
            </w:pPr>
            <w:r>
              <w:rPr>
                <w:rFonts w:eastAsiaTheme="minorEastAsia"/>
                <w:szCs w:val="21"/>
              </w:rPr>
              <w:t>1.87</w:t>
            </w:r>
          </w:p>
        </w:tc>
      </w:tr>
      <w:tr w:rsidR="00A40B3A">
        <w:tc>
          <w:tcPr>
            <w:tcW w:w="870" w:type="dxa"/>
            <w:vAlign w:val="center"/>
          </w:tcPr>
          <w:p w:rsidR="00A40B3A" w:rsidRDefault="0060040C">
            <w:pPr>
              <w:jc w:val="center"/>
            </w:pPr>
            <w:r>
              <w:rPr>
                <w:rFonts w:eastAsiaTheme="minorEastAsia"/>
                <w:szCs w:val="21"/>
              </w:rPr>
              <w:t>15</w:t>
            </w:r>
          </w:p>
        </w:tc>
        <w:tc>
          <w:tcPr>
            <w:tcW w:w="1650" w:type="dxa"/>
            <w:vAlign w:val="center"/>
          </w:tcPr>
          <w:p w:rsidR="00A40B3A" w:rsidRDefault="0060040C">
            <w:pPr>
              <w:jc w:val="center"/>
            </w:pPr>
            <w:r>
              <w:rPr>
                <w:rFonts w:eastAsiaTheme="minorEastAsia"/>
                <w:szCs w:val="21"/>
              </w:rPr>
              <w:t>601336</w:t>
            </w:r>
          </w:p>
        </w:tc>
        <w:tc>
          <w:tcPr>
            <w:tcW w:w="1980" w:type="dxa"/>
            <w:vAlign w:val="center"/>
          </w:tcPr>
          <w:p w:rsidR="00A40B3A" w:rsidRDefault="0060040C">
            <w:pPr>
              <w:jc w:val="center"/>
            </w:pPr>
            <w:r>
              <w:rPr>
                <w:rFonts w:eastAsiaTheme="minorEastAsia"/>
                <w:szCs w:val="21"/>
              </w:rPr>
              <w:t>新华保险</w:t>
            </w:r>
          </w:p>
        </w:tc>
        <w:tc>
          <w:tcPr>
            <w:tcW w:w="2880" w:type="dxa"/>
            <w:vAlign w:val="center"/>
          </w:tcPr>
          <w:p w:rsidR="00A40B3A" w:rsidRDefault="0060040C">
            <w:pPr>
              <w:jc w:val="right"/>
            </w:pPr>
            <w:r>
              <w:rPr>
                <w:rFonts w:eastAsiaTheme="minorEastAsia"/>
                <w:szCs w:val="21"/>
              </w:rPr>
              <w:t>4,475,765.75</w:t>
            </w:r>
          </w:p>
        </w:tc>
        <w:tc>
          <w:tcPr>
            <w:tcW w:w="1620" w:type="dxa"/>
            <w:vAlign w:val="center"/>
          </w:tcPr>
          <w:p w:rsidR="00A40B3A" w:rsidRDefault="0060040C">
            <w:pPr>
              <w:jc w:val="right"/>
            </w:pPr>
            <w:r>
              <w:rPr>
                <w:rFonts w:eastAsiaTheme="minorEastAsia"/>
                <w:szCs w:val="21"/>
              </w:rPr>
              <w:t>1.83</w:t>
            </w:r>
          </w:p>
        </w:tc>
      </w:tr>
      <w:tr w:rsidR="00A40B3A">
        <w:tc>
          <w:tcPr>
            <w:tcW w:w="870" w:type="dxa"/>
            <w:vAlign w:val="center"/>
          </w:tcPr>
          <w:p w:rsidR="00A40B3A" w:rsidRDefault="0060040C">
            <w:pPr>
              <w:jc w:val="center"/>
            </w:pPr>
            <w:r>
              <w:rPr>
                <w:rFonts w:eastAsiaTheme="minorEastAsia"/>
                <w:szCs w:val="21"/>
              </w:rPr>
              <w:t>16</w:t>
            </w:r>
          </w:p>
        </w:tc>
        <w:tc>
          <w:tcPr>
            <w:tcW w:w="1650" w:type="dxa"/>
            <w:vAlign w:val="center"/>
          </w:tcPr>
          <w:p w:rsidR="00A40B3A" w:rsidRDefault="0060040C">
            <w:pPr>
              <w:jc w:val="center"/>
            </w:pPr>
            <w:r>
              <w:rPr>
                <w:rFonts w:eastAsiaTheme="minorEastAsia"/>
                <w:szCs w:val="21"/>
              </w:rPr>
              <w:t>300349</w:t>
            </w:r>
          </w:p>
        </w:tc>
        <w:tc>
          <w:tcPr>
            <w:tcW w:w="1980" w:type="dxa"/>
            <w:vAlign w:val="center"/>
          </w:tcPr>
          <w:p w:rsidR="00A40B3A" w:rsidRDefault="0060040C">
            <w:pPr>
              <w:jc w:val="center"/>
            </w:pPr>
            <w:r>
              <w:rPr>
                <w:rFonts w:eastAsiaTheme="minorEastAsia"/>
                <w:szCs w:val="21"/>
              </w:rPr>
              <w:t>金卡智能</w:t>
            </w:r>
          </w:p>
        </w:tc>
        <w:tc>
          <w:tcPr>
            <w:tcW w:w="2880" w:type="dxa"/>
            <w:vAlign w:val="center"/>
          </w:tcPr>
          <w:p w:rsidR="00A40B3A" w:rsidRDefault="0060040C">
            <w:pPr>
              <w:jc w:val="right"/>
            </w:pPr>
            <w:r>
              <w:rPr>
                <w:rFonts w:eastAsiaTheme="minorEastAsia"/>
                <w:szCs w:val="21"/>
              </w:rPr>
              <w:t>4,282,487.00</w:t>
            </w:r>
          </w:p>
        </w:tc>
        <w:tc>
          <w:tcPr>
            <w:tcW w:w="1620" w:type="dxa"/>
            <w:vAlign w:val="center"/>
          </w:tcPr>
          <w:p w:rsidR="00A40B3A" w:rsidRDefault="0060040C">
            <w:pPr>
              <w:jc w:val="right"/>
            </w:pPr>
            <w:r>
              <w:rPr>
                <w:rFonts w:eastAsiaTheme="minorEastAsia"/>
                <w:szCs w:val="21"/>
              </w:rPr>
              <w:t>1.75</w:t>
            </w:r>
          </w:p>
        </w:tc>
      </w:tr>
      <w:tr w:rsidR="00A40B3A">
        <w:tc>
          <w:tcPr>
            <w:tcW w:w="870" w:type="dxa"/>
            <w:vAlign w:val="center"/>
          </w:tcPr>
          <w:p w:rsidR="00A40B3A" w:rsidRDefault="0060040C">
            <w:pPr>
              <w:jc w:val="center"/>
            </w:pPr>
            <w:r>
              <w:rPr>
                <w:rFonts w:eastAsiaTheme="minorEastAsia"/>
                <w:szCs w:val="21"/>
              </w:rPr>
              <w:t>17</w:t>
            </w:r>
          </w:p>
        </w:tc>
        <w:tc>
          <w:tcPr>
            <w:tcW w:w="1650" w:type="dxa"/>
            <w:vAlign w:val="center"/>
          </w:tcPr>
          <w:p w:rsidR="00A40B3A" w:rsidRDefault="0060040C">
            <w:pPr>
              <w:jc w:val="center"/>
            </w:pPr>
            <w:r>
              <w:rPr>
                <w:rFonts w:eastAsiaTheme="minorEastAsia"/>
                <w:szCs w:val="21"/>
              </w:rPr>
              <w:t>601169</w:t>
            </w:r>
          </w:p>
        </w:tc>
        <w:tc>
          <w:tcPr>
            <w:tcW w:w="1980" w:type="dxa"/>
            <w:vAlign w:val="center"/>
          </w:tcPr>
          <w:p w:rsidR="00A40B3A" w:rsidRDefault="0060040C">
            <w:pPr>
              <w:jc w:val="center"/>
            </w:pPr>
            <w:r>
              <w:rPr>
                <w:rFonts w:eastAsiaTheme="minorEastAsia"/>
                <w:szCs w:val="21"/>
              </w:rPr>
              <w:t>北京银行</w:t>
            </w:r>
          </w:p>
        </w:tc>
        <w:tc>
          <w:tcPr>
            <w:tcW w:w="2880" w:type="dxa"/>
            <w:vAlign w:val="center"/>
          </w:tcPr>
          <w:p w:rsidR="00A40B3A" w:rsidRDefault="0060040C">
            <w:pPr>
              <w:jc w:val="right"/>
            </w:pPr>
            <w:r>
              <w:rPr>
                <w:rFonts w:eastAsiaTheme="minorEastAsia"/>
                <w:szCs w:val="21"/>
              </w:rPr>
              <w:t>3,914,358.00</w:t>
            </w:r>
          </w:p>
        </w:tc>
        <w:tc>
          <w:tcPr>
            <w:tcW w:w="1620" w:type="dxa"/>
            <w:vAlign w:val="center"/>
          </w:tcPr>
          <w:p w:rsidR="00A40B3A" w:rsidRDefault="0060040C">
            <w:pPr>
              <w:jc w:val="right"/>
            </w:pPr>
            <w:r>
              <w:rPr>
                <w:rFonts w:eastAsiaTheme="minorEastAsia"/>
                <w:szCs w:val="21"/>
              </w:rPr>
              <w:t>1.60</w:t>
            </w:r>
          </w:p>
        </w:tc>
      </w:tr>
      <w:tr w:rsidR="00A40B3A">
        <w:tc>
          <w:tcPr>
            <w:tcW w:w="870" w:type="dxa"/>
            <w:vAlign w:val="center"/>
          </w:tcPr>
          <w:p w:rsidR="00A40B3A" w:rsidRDefault="0060040C">
            <w:pPr>
              <w:jc w:val="center"/>
            </w:pPr>
            <w:r>
              <w:rPr>
                <w:rFonts w:eastAsiaTheme="minorEastAsia"/>
                <w:szCs w:val="21"/>
              </w:rPr>
              <w:t>18</w:t>
            </w:r>
          </w:p>
        </w:tc>
        <w:tc>
          <w:tcPr>
            <w:tcW w:w="1650" w:type="dxa"/>
            <w:vAlign w:val="center"/>
          </w:tcPr>
          <w:p w:rsidR="00A40B3A" w:rsidRDefault="0060040C">
            <w:pPr>
              <w:jc w:val="center"/>
            </w:pPr>
            <w:r>
              <w:rPr>
                <w:rFonts w:eastAsiaTheme="minorEastAsia"/>
                <w:szCs w:val="21"/>
              </w:rPr>
              <w:t>601166</w:t>
            </w:r>
          </w:p>
        </w:tc>
        <w:tc>
          <w:tcPr>
            <w:tcW w:w="1980" w:type="dxa"/>
            <w:vAlign w:val="center"/>
          </w:tcPr>
          <w:p w:rsidR="00A40B3A" w:rsidRDefault="0060040C">
            <w:pPr>
              <w:jc w:val="center"/>
            </w:pPr>
            <w:r>
              <w:rPr>
                <w:rFonts w:eastAsiaTheme="minorEastAsia"/>
                <w:szCs w:val="21"/>
              </w:rPr>
              <w:t>兴业银行</w:t>
            </w:r>
          </w:p>
        </w:tc>
        <w:tc>
          <w:tcPr>
            <w:tcW w:w="2880" w:type="dxa"/>
            <w:vAlign w:val="center"/>
          </w:tcPr>
          <w:p w:rsidR="00A40B3A" w:rsidRDefault="0060040C">
            <w:pPr>
              <w:jc w:val="right"/>
            </w:pPr>
            <w:r>
              <w:rPr>
                <w:rFonts w:eastAsiaTheme="minorEastAsia"/>
                <w:szCs w:val="21"/>
              </w:rPr>
              <w:t>3,843,133.00</w:t>
            </w:r>
          </w:p>
        </w:tc>
        <w:tc>
          <w:tcPr>
            <w:tcW w:w="1620" w:type="dxa"/>
            <w:vAlign w:val="center"/>
          </w:tcPr>
          <w:p w:rsidR="00A40B3A" w:rsidRDefault="0060040C">
            <w:pPr>
              <w:jc w:val="right"/>
            </w:pPr>
            <w:r>
              <w:rPr>
                <w:rFonts w:eastAsiaTheme="minorEastAsia"/>
                <w:szCs w:val="21"/>
              </w:rPr>
              <w:t>1.57</w:t>
            </w:r>
          </w:p>
        </w:tc>
      </w:tr>
      <w:tr w:rsidR="00A40B3A">
        <w:tc>
          <w:tcPr>
            <w:tcW w:w="870" w:type="dxa"/>
            <w:vAlign w:val="center"/>
          </w:tcPr>
          <w:p w:rsidR="00A40B3A" w:rsidRDefault="0060040C">
            <w:pPr>
              <w:jc w:val="center"/>
            </w:pPr>
            <w:r>
              <w:rPr>
                <w:rFonts w:eastAsiaTheme="minorEastAsia"/>
                <w:szCs w:val="21"/>
              </w:rPr>
              <w:t>19</w:t>
            </w:r>
          </w:p>
        </w:tc>
        <w:tc>
          <w:tcPr>
            <w:tcW w:w="1650" w:type="dxa"/>
            <w:vAlign w:val="center"/>
          </w:tcPr>
          <w:p w:rsidR="00A40B3A" w:rsidRDefault="0060040C">
            <w:pPr>
              <w:jc w:val="center"/>
            </w:pPr>
            <w:r>
              <w:rPr>
                <w:rFonts w:eastAsiaTheme="minorEastAsia"/>
                <w:szCs w:val="21"/>
              </w:rPr>
              <w:t>000661</w:t>
            </w:r>
          </w:p>
        </w:tc>
        <w:tc>
          <w:tcPr>
            <w:tcW w:w="1980" w:type="dxa"/>
            <w:vAlign w:val="center"/>
          </w:tcPr>
          <w:p w:rsidR="00A40B3A" w:rsidRDefault="0060040C">
            <w:pPr>
              <w:jc w:val="center"/>
            </w:pPr>
            <w:r>
              <w:rPr>
                <w:rFonts w:eastAsiaTheme="minorEastAsia"/>
                <w:szCs w:val="21"/>
              </w:rPr>
              <w:t>长春高新</w:t>
            </w:r>
          </w:p>
        </w:tc>
        <w:tc>
          <w:tcPr>
            <w:tcW w:w="2880" w:type="dxa"/>
            <w:vAlign w:val="center"/>
          </w:tcPr>
          <w:p w:rsidR="00A40B3A" w:rsidRDefault="0060040C">
            <w:pPr>
              <w:jc w:val="right"/>
            </w:pPr>
            <w:r>
              <w:rPr>
                <w:rFonts w:eastAsiaTheme="minorEastAsia"/>
                <w:szCs w:val="21"/>
              </w:rPr>
              <w:t>3,272,430.00</w:t>
            </w:r>
          </w:p>
        </w:tc>
        <w:tc>
          <w:tcPr>
            <w:tcW w:w="1620" w:type="dxa"/>
            <w:vAlign w:val="center"/>
          </w:tcPr>
          <w:p w:rsidR="00A40B3A" w:rsidRDefault="0060040C">
            <w:pPr>
              <w:jc w:val="right"/>
            </w:pPr>
            <w:r>
              <w:rPr>
                <w:rFonts w:eastAsiaTheme="minorEastAsia"/>
                <w:szCs w:val="21"/>
              </w:rPr>
              <w:t>1.33</w:t>
            </w:r>
          </w:p>
        </w:tc>
      </w:tr>
      <w:tr w:rsidR="00A40B3A">
        <w:tc>
          <w:tcPr>
            <w:tcW w:w="870" w:type="dxa"/>
            <w:vAlign w:val="center"/>
          </w:tcPr>
          <w:p w:rsidR="00A40B3A" w:rsidRDefault="0060040C">
            <w:pPr>
              <w:jc w:val="center"/>
            </w:pPr>
            <w:r>
              <w:rPr>
                <w:rFonts w:eastAsiaTheme="minorEastAsia"/>
                <w:szCs w:val="21"/>
              </w:rPr>
              <w:t>20</w:t>
            </w:r>
          </w:p>
        </w:tc>
        <w:tc>
          <w:tcPr>
            <w:tcW w:w="1650" w:type="dxa"/>
            <w:vAlign w:val="center"/>
          </w:tcPr>
          <w:p w:rsidR="00A40B3A" w:rsidRDefault="0060040C">
            <w:pPr>
              <w:jc w:val="center"/>
            </w:pPr>
            <w:r>
              <w:rPr>
                <w:rFonts w:eastAsiaTheme="minorEastAsia"/>
                <w:szCs w:val="21"/>
              </w:rPr>
              <w:t>000750</w:t>
            </w:r>
          </w:p>
        </w:tc>
        <w:tc>
          <w:tcPr>
            <w:tcW w:w="1980" w:type="dxa"/>
            <w:vAlign w:val="center"/>
          </w:tcPr>
          <w:p w:rsidR="00A40B3A" w:rsidRDefault="0060040C">
            <w:pPr>
              <w:jc w:val="center"/>
            </w:pPr>
            <w:r>
              <w:rPr>
                <w:rFonts w:eastAsiaTheme="minorEastAsia"/>
                <w:szCs w:val="21"/>
              </w:rPr>
              <w:t>国海证券</w:t>
            </w:r>
          </w:p>
        </w:tc>
        <w:tc>
          <w:tcPr>
            <w:tcW w:w="2880" w:type="dxa"/>
            <w:vAlign w:val="center"/>
          </w:tcPr>
          <w:p w:rsidR="00A40B3A" w:rsidRDefault="0060040C">
            <w:pPr>
              <w:jc w:val="right"/>
            </w:pPr>
            <w:r>
              <w:rPr>
                <w:rFonts w:eastAsiaTheme="minorEastAsia"/>
                <w:szCs w:val="21"/>
              </w:rPr>
              <w:t>3,065,328.00</w:t>
            </w:r>
          </w:p>
        </w:tc>
        <w:tc>
          <w:tcPr>
            <w:tcW w:w="1620" w:type="dxa"/>
            <w:vAlign w:val="center"/>
          </w:tcPr>
          <w:p w:rsidR="00A40B3A" w:rsidRDefault="0060040C">
            <w:pPr>
              <w:jc w:val="right"/>
            </w:pPr>
            <w:r>
              <w:rPr>
                <w:rFonts w:eastAsiaTheme="minorEastAsia"/>
                <w:szCs w:val="21"/>
              </w:rPr>
              <w:t>1.25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253,835,366.31</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208,873,559.35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4" w:name="_Toc234814104"/>
      <w:bookmarkStart w:id="65"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4"/>
      <w:bookmarkEnd w:id="6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6" w:name="_Toc390421262"/>
      <w:r w:rsidRPr="00C56F63">
        <w:rPr>
          <w:rFonts w:ascii="Times New Roman" w:eastAsiaTheme="minorEastAsia" w:hAnsi="Times New Roman"/>
          <w:kern w:val="0"/>
          <w:sz w:val="21"/>
          <w:szCs w:val="21"/>
        </w:rPr>
        <w:t>7.6</w:t>
      </w:r>
      <w:bookmarkStart w:id="6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66"/>
      <w:bookmarkEnd w:id="6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8" w:name="_Toc39042126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w:t>
      </w:r>
      <w:r w:rsidR="00256DE3">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9"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0"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7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1" w:name="_Toc39042126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71"/>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2" w:name="_Toc39042126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72"/>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3"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根据中国银行保险监督管理委员会于</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11</w:t>
      </w:r>
      <w:r w:rsidRPr="00C56F63">
        <w:rPr>
          <w:rFonts w:eastAsiaTheme="minorEastAsia"/>
          <w:color w:val="000000"/>
          <w:szCs w:val="21"/>
        </w:rPr>
        <w:t>月</w:t>
      </w:r>
      <w:r w:rsidRPr="00C56F63">
        <w:rPr>
          <w:rFonts w:eastAsiaTheme="minorEastAsia"/>
          <w:color w:val="000000"/>
          <w:szCs w:val="21"/>
        </w:rPr>
        <w:t>9</w:t>
      </w:r>
      <w:r w:rsidRPr="00C56F63">
        <w:rPr>
          <w:rFonts w:eastAsiaTheme="minorEastAsia"/>
          <w:color w:val="000000"/>
          <w:szCs w:val="21"/>
        </w:rPr>
        <w:t>日作出的处罚决定（银保监银罚决字〔</w:t>
      </w:r>
      <w:r w:rsidRPr="00C56F63">
        <w:rPr>
          <w:rFonts w:eastAsiaTheme="minorEastAsia"/>
          <w:color w:val="000000"/>
          <w:szCs w:val="21"/>
        </w:rPr>
        <w:t>2018</w:t>
      </w:r>
      <w:r w:rsidRPr="00C56F63">
        <w:rPr>
          <w:rFonts w:eastAsiaTheme="minorEastAsia"/>
          <w:color w:val="000000"/>
          <w:szCs w:val="21"/>
        </w:rPr>
        <w:t>〕</w:t>
      </w:r>
      <w:r w:rsidRPr="00C56F63">
        <w:rPr>
          <w:rFonts w:eastAsiaTheme="minorEastAsia"/>
          <w:color w:val="000000"/>
          <w:szCs w:val="21"/>
        </w:rPr>
        <w:t>8</w:t>
      </w:r>
      <w:r w:rsidRPr="00C56F63">
        <w:rPr>
          <w:rFonts w:eastAsiaTheme="minorEastAsia"/>
          <w:color w:val="000000"/>
          <w:szCs w:val="21"/>
        </w:rPr>
        <w:t>号），本基金投资的中国民生银行股份有限公司（以下简称</w:t>
      </w:r>
      <w:r w:rsidRPr="00C56F63">
        <w:rPr>
          <w:rFonts w:eastAsiaTheme="minorEastAsia"/>
          <w:color w:val="000000"/>
          <w:szCs w:val="21"/>
        </w:rPr>
        <w:t>“</w:t>
      </w:r>
      <w:r w:rsidRPr="00C56F63">
        <w:rPr>
          <w:rFonts w:eastAsiaTheme="minorEastAsia"/>
          <w:color w:val="000000"/>
          <w:szCs w:val="21"/>
        </w:rPr>
        <w:t>民生银行</w:t>
      </w:r>
      <w:r w:rsidRPr="00C56F63">
        <w:rPr>
          <w:rFonts w:eastAsiaTheme="minorEastAsia"/>
          <w:color w:val="000000"/>
          <w:szCs w:val="21"/>
        </w:rPr>
        <w:t>”</w:t>
      </w:r>
      <w:r w:rsidRPr="00C56F63">
        <w:rPr>
          <w:rFonts w:eastAsiaTheme="minorEastAsia"/>
          <w:color w:val="000000"/>
          <w:szCs w:val="21"/>
        </w:rPr>
        <w:t>，证券代码：</w:t>
      </w:r>
      <w:r w:rsidRPr="00C56F63">
        <w:rPr>
          <w:rFonts w:eastAsiaTheme="minorEastAsia"/>
          <w:color w:val="000000"/>
          <w:szCs w:val="21"/>
        </w:rPr>
        <w:t>600016</w:t>
      </w:r>
      <w:r w:rsidRPr="00C56F63">
        <w:rPr>
          <w:rFonts w:eastAsiaTheme="minorEastAsia"/>
          <w:color w:val="000000"/>
          <w:szCs w:val="21"/>
        </w:rPr>
        <w:t>）有如下主要违法违规事实：（一）内控管理严重违反审慎经营规则；（二）同业投资违规接受担保；（三）同业投资、理财资金违规投资房地产，用于缴交或置换土地出让金及土地储备融资；（四）本行理财产品之间风险隔离不到位；（五）个人理财资金违规投资；（六）票据代理未明示，增信未簿记和计提资本占用；（七）为非保本理财产品提供保本承诺。中国银行保险监督管理委员会对民生银行上述的违法违规事项作出如下处罚决定：罚款</w:t>
      </w:r>
      <w:r w:rsidRPr="00C56F63">
        <w:rPr>
          <w:rFonts w:eastAsiaTheme="minorEastAsia"/>
          <w:color w:val="000000"/>
          <w:szCs w:val="21"/>
        </w:rPr>
        <w:t>3160</w:t>
      </w:r>
      <w:r w:rsidRPr="00C56F63">
        <w:rPr>
          <w:rFonts w:eastAsiaTheme="minorEastAsia"/>
          <w:color w:val="000000"/>
          <w:szCs w:val="21"/>
        </w:rPr>
        <w:t>万元。</w:t>
      </w:r>
    </w:p>
    <w:p w:rsidR="00A40B3A" w:rsidRDefault="0060040C">
      <w:pPr>
        <w:spacing w:line="360" w:lineRule="auto"/>
        <w:rPr>
          <w:rFonts w:eastAsiaTheme="minorEastAsia"/>
          <w:color w:val="000000"/>
          <w:szCs w:val="21"/>
        </w:rPr>
      </w:pPr>
      <w:r>
        <w:rPr>
          <w:rFonts w:eastAsiaTheme="minorEastAsia"/>
          <w:color w:val="000000"/>
          <w:szCs w:val="21"/>
        </w:rPr>
        <w:t>对上述股票投资决策程序的说明：本基金管理人在投资民生银行前严格执行了对上市公司的调研、内部研究推荐、投资计划审批等相关投资决策流程。上述股票根据股票池审批流程进入本基金备选库，由研究员跟踪并分析。上述事件发生后，本基金管理人对上市公司进行了进一步了解和分析，认为上述事项对上市公司财务状况、经营成果和现金流量未产生重大的实质性影响，因此，没有改变本基金管理人对上述上市公司的投资判断。</w:t>
      </w:r>
    </w:p>
    <w:p w:rsidR="00A40B3A" w:rsidRDefault="0060040C">
      <w:pPr>
        <w:spacing w:line="360" w:lineRule="auto"/>
        <w:rPr>
          <w:rFonts w:eastAsiaTheme="minorEastAsia"/>
          <w:color w:val="000000"/>
          <w:szCs w:val="21"/>
        </w:rPr>
      </w:pPr>
      <w:r>
        <w:rPr>
          <w:rFonts w:eastAsiaTheme="minorEastAsia"/>
          <w:color w:val="000000"/>
          <w:szCs w:val="21"/>
        </w:rPr>
        <w:t>除上述证券外，本基金投资的其余前十名证券的发行主体本期未出现被监管部门立案调查，或在报告编制日前一年内受到公开谴责、处罚的情形。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97,489.59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1,744.29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60,615.08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159,848.96</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4" w:name="_Toc374540579"/>
      <w:bookmarkStart w:id="75"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4"/>
      <w:bookmarkEnd w:id="75"/>
    </w:p>
    <w:p w:rsidR="006B65E1" w:rsidRPr="00C56F63" w:rsidRDefault="00945F2E">
      <w:pPr>
        <w:pStyle w:val="2"/>
        <w:spacing w:before="0" w:after="0"/>
        <w:rPr>
          <w:rFonts w:ascii="Times New Roman" w:eastAsiaTheme="minorEastAsia" w:hAnsi="Times New Roman"/>
          <w:kern w:val="0"/>
          <w:sz w:val="21"/>
          <w:szCs w:val="21"/>
        </w:rPr>
      </w:pPr>
      <w:bookmarkStart w:id="76" w:name="_Toc390421270"/>
      <w:bookmarkStart w:id="77"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6"/>
      <w:bookmarkEnd w:id="77"/>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60040C" w:rsidRPr="00C56F63" w:rsidTr="0060040C">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A40B3A" w:rsidRDefault="0060040C">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60040C" w:rsidRPr="00C56F63" w:rsidTr="0060040C">
        <w:tc>
          <w:tcPr>
            <w:tcW w:w="1627" w:type="dxa"/>
            <w:vMerge/>
            <w:tcBorders>
              <w:top w:val="single" w:sz="8" w:space="0" w:color="000000"/>
              <w:left w:val="single" w:sz="8" w:space="0" w:color="000000"/>
              <w:bottom w:val="single" w:sz="8" w:space="0" w:color="000000"/>
              <w:right w:val="single" w:sz="8" w:space="0" w:color="000000"/>
            </w:tcBorders>
            <w:vAlign w:val="center"/>
          </w:tcPr>
          <w:p w:rsidR="00A40B3A" w:rsidRDefault="00A40B3A">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60040C" w:rsidRPr="00C56F63" w:rsidTr="0060040C">
        <w:tc>
          <w:tcPr>
            <w:tcW w:w="1627" w:type="dxa"/>
            <w:vMerge/>
            <w:tcBorders>
              <w:top w:val="single" w:sz="8" w:space="0" w:color="000000"/>
              <w:left w:val="single" w:sz="8" w:space="0" w:color="000000"/>
              <w:bottom w:val="single" w:sz="8" w:space="0" w:color="000000"/>
              <w:right w:val="single" w:sz="8" w:space="0" w:color="000000"/>
            </w:tcBorders>
            <w:vAlign w:val="center"/>
          </w:tcPr>
          <w:p w:rsidR="00A40B3A" w:rsidRDefault="00A40B3A">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60040C" w:rsidRPr="00C56F63" w:rsidTr="0060040C">
        <w:tc>
          <w:tcPr>
            <w:tcW w:w="1627" w:type="dxa"/>
            <w:tcBorders>
              <w:top w:val="single" w:sz="8" w:space="0" w:color="000000"/>
              <w:left w:val="single" w:sz="8" w:space="0" w:color="000000"/>
              <w:bottom w:val="single" w:sz="8" w:space="0" w:color="000000"/>
              <w:right w:val="single" w:sz="8" w:space="0" w:color="000000"/>
            </w:tcBorders>
            <w:vAlign w:val="center"/>
          </w:tcPr>
          <w:p w:rsidR="00A40B3A" w:rsidRDefault="0060040C">
            <w:pPr>
              <w:jc w:val="center"/>
            </w:pPr>
            <w:r>
              <w:rPr>
                <w:rFonts w:eastAsiaTheme="minorEastAsia"/>
                <w:bCs/>
                <w:color w:val="000000"/>
                <w:szCs w:val="21"/>
              </w:rPr>
              <w:t>1,049</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49,638.10</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20,004,400.00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38.42%</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32,065,969.76</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61.58%</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8"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8"/>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4,599,612.91</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8.8335%</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50~100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&gt;100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74540584"/>
      <w:bookmarkStart w:id="80"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9"/>
      <w:bookmarkEnd w:id="8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2018</w:t>
            </w:r>
            <w:r w:rsidRPr="00C56F63">
              <w:rPr>
                <w:rFonts w:eastAsiaTheme="minorEastAsia"/>
                <w:szCs w:val="21"/>
              </w:rPr>
              <w:t>年</w:t>
            </w:r>
            <w:r w:rsidRPr="00C56F63">
              <w:rPr>
                <w:rFonts w:eastAsiaTheme="minorEastAsia"/>
                <w:szCs w:val="21"/>
              </w:rPr>
              <w:t>11</w:t>
            </w:r>
            <w:r w:rsidRPr="00C56F63">
              <w:rPr>
                <w:rFonts w:eastAsiaTheme="minorEastAsia"/>
                <w:szCs w:val="21"/>
              </w:rPr>
              <w:t>月</w:t>
            </w:r>
            <w:r w:rsidRPr="00C56F63">
              <w:rPr>
                <w:rFonts w:eastAsiaTheme="minorEastAsia"/>
                <w:szCs w:val="21"/>
              </w:rPr>
              <w:t>29</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244,862,431.35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244,862,431.35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6,314,712.24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199,106,773.83</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52,070,369.76</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74540585"/>
      <w:bookmarkStart w:id="82" w:name="_Toc22550005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1"/>
      <w:bookmarkEnd w:id="82"/>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6"/>
      <w:bookmarkEnd w:id="87"/>
    </w:p>
    <w:p w:rsidR="00A40B3A" w:rsidRDefault="0060040C">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A40B3A" w:rsidRDefault="0060040C">
      <w:pPr>
        <w:tabs>
          <w:tab w:val="left" w:pos="426"/>
        </w:tabs>
        <w:spacing w:before="29" w:line="288" w:lineRule="auto"/>
        <w:jc w:val="left"/>
        <w:rPr>
          <w:kern w:val="0"/>
          <w:szCs w:val="21"/>
        </w:rPr>
      </w:pPr>
      <w:r>
        <w:rPr>
          <w:kern w:val="0"/>
          <w:szCs w:val="21"/>
        </w:rPr>
        <w:t>基金托管人：</w:t>
      </w:r>
    </w:p>
    <w:p w:rsidR="003E40F9" w:rsidRPr="00690ED2" w:rsidRDefault="00D150BA" w:rsidP="003E40F9">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r>
        <w:rPr>
          <w:kern w:val="0"/>
          <w:szCs w:val="21"/>
        </w:rPr>
        <w:t xml:space="preserve"> </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3E74FD">
        <w:tc>
          <w:tcPr>
            <w:tcW w:w="1560" w:type="dxa"/>
            <w:vMerge w:val="restart"/>
            <w:vAlign w:val="center"/>
          </w:tcPr>
          <w:p w:rsidR="002A54E8" w:rsidRPr="00C56F63" w:rsidRDefault="002A54E8" w:rsidP="003E74FD">
            <w:pPr>
              <w:spacing w:line="276" w:lineRule="auto"/>
              <w:jc w:val="center"/>
              <w:rPr>
                <w:rFonts w:eastAsiaTheme="minorEastAsia"/>
                <w:szCs w:val="21"/>
              </w:rPr>
            </w:pPr>
            <w:bookmarkStart w:id="101" w:name="_Toc249760071"/>
            <w:r w:rsidRPr="00C56F63">
              <w:rPr>
                <w:rFonts w:eastAsiaTheme="minorEastAsia"/>
                <w:szCs w:val="21"/>
              </w:rPr>
              <w:t>券商名称</w:t>
            </w:r>
          </w:p>
        </w:tc>
        <w:tc>
          <w:tcPr>
            <w:tcW w:w="780" w:type="dxa"/>
            <w:vMerge w:val="restart"/>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3E74FD">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3E74FD">
        <w:tc>
          <w:tcPr>
            <w:tcW w:w="1560" w:type="dxa"/>
            <w:vMerge/>
            <w:vAlign w:val="center"/>
          </w:tcPr>
          <w:p w:rsidR="002A54E8" w:rsidRPr="00C56F63" w:rsidRDefault="002A54E8" w:rsidP="003E74FD">
            <w:pPr>
              <w:widowControl/>
              <w:spacing w:line="276" w:lineRule="auto"/>
              <w:jc w:val="left"/>
              <w:rPr>
                <w:rFonts w:eastAsiaTheme="minorEastAsia"/>
                <w:szCs w:val="21"/>
              </w:rPr>
            </w:pPr>
          </w:p>
        </w:tc>
        <w:tc>
          <w:tcPr>
            <w:tcW w:w="780" w:type="dxa"/>
            <w:vMerge/>
            <w:vAlign w:val="center"/>
          </w:tcPr>
          <w:p w:rsidR="002A54E8" w:rsidRPr="00C56F63" w:rsidRDefault="002A54E8" w:rsidP="003E74FD">
            <w:pPr>
              <w:widowControl/>
              <w:spacing w:line="276" w:lineRule="auto"/>
              <w:jc w:val="left"/>
              <w:rPr>
                <w:rFonts w:eastAsiaTheme="minorEastAsia"/>
                <w:szCs w:val="21"/>
              </w:rPr>
            </w:pPr>
          </w:p>
        </w:tc>
        <w:tc>
          <w:tcPr>
            <w:tcW w:w="1800"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3E74FD">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3E74FD">
            <w:pPr>
              <w:widowControl/>
              <w:spacing w:line="276" w:lineRule="auto"/>
              <w:jc w:val="left"/>
              <w:rPr>
                <w:rFonts w:eastAsiaTheme="minorEastAsia"/>
                <w:kern w:val="0"/>
                <w:szCs w:val="21"/>
              </w:rPr>
            </w:pPr>
          </w:p>
        </w:tc>
      </w:tr>
      <w:tr w:rsidR="00A40B3A">
        <w:tc>
          <w:tcPr>
            <w:tcW w:w="1560" w:type="dxa"/>
            <w:vAlign w:val="center"/>
          </w:tcPr>
          <w:p w:rsidR="00A40B3A" w:rsidRDefault="0060040C">
            <w:pPr>
              <w:jc w:val="left"/>
            </w:pPr>
            <w:r>
              <w:rPr>
                <w:rFonts w:eastAsiaTheme="minorEastAsia"/>
                <w:szCs w:val="21"/>
              </w:rPr>
              <w:t>长城证券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6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国信证券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6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中信建投</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94,205,614.49</w:t>
            </w:r>
          </w:p>
        </w:tc>
        <w:tc>
          <w:tcPr>
            <w:tcW w:w="1080" w:type="dxa"/>
            <w:vAlign w:val="center"/>
          </w:tcPr>
          <w:p w:rsidR="00A40B3A" w:rsidRDefault="0060040C">
            <w:pPr>
              <w:jc w:val="right"/>
            </w:pPr>
            <w:r>
              <w:rPr>
                <w:rFonts w:eastAsiaTheme="minorEastAsia"/>
                <w:szCs w:val="21"/>
              </w:rPr>
              <w:t>20.37%</w:t>
            </w:r>
          </w:p>
        </w:tc>
        <w:tc>
          <w:tcPr>
            <w:tcW w:w="1620" w:type="dxa"/>
            <w:vAlign w:val="center"/>
          </w:tcPr>
          <w:p w:rsidR="00A40B3A" w:rsidRDefault="0060040C">
            <w:pPr>
              <w:jc w:val="right"/>
            </w:pPr>
            <w:r>
              <w:rPr>
                <w:rFonts w:eastAsiaTheme="minorEastAsia"/>
                <w:szCs w:val="21"/>
              </w:rPr>
              <w:t>87,732.92</w:t>
            </w:r>
          </w:p>
        </w:tc>
        <w:tc>
          <w:tcPr>
            <w:tcW w:w="1080" w:type="dxa"/>
            <w:vAlign w:val="center"/>
          </w:tcPr>
          <w:p w:rsidR="00A40B3A" w:rsidRDefault="0060040C">
            <w:pPr>
              <w:jc w:val="right"/>
            </w:pPr>
            <w:r>
              <w:rPr>
                <w:rFonts w:eastAsiaTheme="minorEastAsia"/>
                <w:szCs w:val="21"/>
              </w:rPr>
              <w:t>20.37%</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中信证券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83,597,320.71</w:t>
            </w:r>
          </w:p>
        </w:tc>
        <w:tc>
          <w:tcPr>
            <w:tcW w:w="1080" w:type="dxa"/>
            <w:vAlign w:val="center"/>
          </w:tcPr>
          <w:p w:rsidR="00A40B3A" w:rsidRDefault="0060040C">
            <w:pPr>
              <w:jc w:val="right"/>
            </w:pPr>
            <w:r>
              <w:rPr>
                <w:rFonts w:eastAsiaTheme="minorEastAsia"/>
                <w:szCs w:val="21"/>
              </w:rPr>
              <w:t>18.08%</w:t>
            </w:r>
          </w:p>
        </w:tc>
        <w:tc>
          <w:tcPr>
            <w:tcW w:w="1620" w:type="dxa"/>
            <w:vAlign w:val="center"/>
          </w:tcPr>
          <w:p w:rsidR="00A40B3A" w:rsidRDefault="0060040C">
            <w:pPr>
              <w:jc w:val="right"/>
            </w:pPr>
            <w:r>
              <w:rPr>
                <w:rFonts w:eastAsiaTheme="minorEastAsia"/>
                <w:szCs w:val="21"/>
              </w:rPr>
              <w:t>77,855.37</w:t>
            </w:r>
          </w:p>
        </w:tc>
        <w:tc>
          <w:tcPr>
            <w:tcW w:w="1080" w:type="dxa"/>
            <w:vAlign w:val="center"/>
          </w:tcPr>
          <w:p w:rsidR="00A40B3A" w:rsidRDefault="0060040C">
            <w:pPr>
              <w:jc w:val="right"/>
            </w:pPr>
            <w:r>
              <w:rPr>
                <w:rFonts w:eastAsiaTheme="minorEastAsia"/>
                <w:szCs w:val="21"/>
              </w:rPr>
              <w:t>18.08%</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光大证券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65,542,901.53</w:t>
            </w:r>
          </w:p>
        </w:tc>
        <w:tc>
          <w:tcPr>
            <w:tcW w:w="1080" w:type="dxa"/>
            <w:vAlign w:val="center"/>
          </w:tcPr>
          <w:p w:rsidR="00A40B3A" w:rsidRDefault="0060040C">
            <w:pPr>
              <w:jc w:val="right"/>
            </w:pPr>
            <w:r>
              <w:rPr>
                <w:rFonts w:eastAsiaTheme="minorEastAsia"/>
                <w:szCs w:val="21"/>
              </w:rPr>
              <w:t>14.18%</w:t>
            </w:r>
          </w:p>
        </w:tc>
        <w:tc>
          <w:tcPr>
            <w:tcW w:w="1620" w:type="dxa"/>
            <w:vAlign w:val="center"/>
          </w:tcPr>
          <w:p w:rsidR="00A40B3A" w:rsidRDefault="0060040C">
            <w:pPr>
              <w:jc w:val="right"/>
            </w:pPr>
            <w:r>
              <w:rPr>
                <w:rFonts w:eastAsiaTheme="minorEastAsia"/>
                <w:szCs w:val="21"/>
              </w:rPr>
              <w:t>61,039.59</w:t>
            </w:r>
          </w:p>
        </w:tc>
        <w:tc>
          <w:tcPr>
            <w:tcW w:w="1080" w:type="dxa"/>
            <w:vAlign w:val="center"/>
          </w:tcPr>
          <w:p w:rsidR="00A40B3A" w:rsidRDefault="0060040C">
            <w:pPr>
              <w:jc w:val="right"/>
            </w:pPr>
            <w:r>
              <w:rPr>
                <w:rFonts w:eastAsiaTheme="minorEastAsia"/>
                <w:szCs w:val="21"/>
              </w:rPr>
              <w:t>14.18%</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广发证券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60,130,590.00</w:t>
            </w:r>
          </w:p>
        </w:tc>
        <w:tc>
          <w:tcPr>
            <w:tcW w:w="1080" w:type="dxa"/>
            <w:vAlign w:val="center"/>
          </w:tcPr>
          <w:p w:rsidR="00A40B3A" w:rsidRDefault="0060040C">
            <w:pPr>
              <w:jc w:val="right"/>
            </w:pPr>
            <w:r>
              <w:rPr>
                <w:rFonts w:eastAsiaTheme="minorEastAsia"/>
                <w:szCs w:val="21"/>
              </w:rPr>
              <w:t>13.00%</w:t>
            </w:r>
          </w:p>
        </w:tc>
        <w:tc>
          <w:tcPr>
            <w:tcW w:w="1620" w:type="dxa"/>
            <w:vAlign w:val="center"/>
          </w:tcPr>
          <w:p w:rsidR="00A40B3A" w:rsidRDefault="0060040C">
            <w:pPr>
              <w:jc w:val="right"/>
            </w:pPr>
            <w:r>
              <w:rPr>
                <w:rFonts w:eastAsiaTheme="minorEastAsia"/>
                <w:szCs w:val="21"/>
              </w:rPr>
              <w:t>55,999.88</w:t>
            </w:r>
          </w:p>
        </w:tc>
        <w:tc>
          <w:tcPr>
            <w:tcW w:w="1080" w:type="dxa"/>
            <w:vAlign w:val="center"/>
          </w:tcPr>
          <w:p w:rsidR="00A40B3A" w:rsidRDefault="0060040C">
            <w:pPr>
              <w:jc w:val="right"/>
            </w:pPr>
            <w:r>
              <w:rPr>
                <w:rFonts w:eastAsiaTheme="minorEastAsia"/>
                <w:szCs w:val="21"/>
              </w:rPr>
              <w:t>13.00%</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安信证券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49,809,121.46</w:t>
            </w:r>
          </w:p>
        </w:tc>
        <w:tc>
          <w:tcPr>
            <w:tcW w:w="1080" w:type="dxa"/>
            <w:vAlign w:val="center"/>
          </w:tcPr>
          <w:p w:rsidR="00A40B3A" w:rsidRDefault="0060040C">
            <w:pPr>
              <w:jc w:val="right"/>
            </w:pPr>
            <w:r>
              <w:rPr>
                <w:rFonts w:eastAsiaTheme="minorEastAsia"/>
                <w:szCs w:val="21"/>
              </w:rPr>
              <w:t>10.77%</w:t>
            </w:r>
          </w:p>
        </w:tc>
        <w:tc>
          <w:tcPr>
            <w:tcW w:w="1620" w:type="dxa"/>
            <w:vAlign w:val="center"/>
          </w:tcPr>
          <w:p w:rsidR="00A40B3A" w:rsidRDefault="0060040C">
            <w:pPr>
              <w:jc w:val="right"/>
            </w:pPr>
            <w:r>
              <w:rPr>
                <w:rFonts w:eastAsiaTheme="minorEastAsia"/>
                <w:szCs w:val="21"/>
              </w:rPr>
              <w:t>46,387.22</w:t>
            </w:r>
          </w:p>
        </w:tc>
        <w:tc>
          <w:tcPr>
            <w:tcW w:w="1080" w:type="dxa"/>
            <w:vAlign w:val="center"/>
          </w:tcPr>
          <w:p w:rsidR="00A40B3A" w:rsidRDefault="0060040C">
            <w:pPr>
              <w:jc w:val="right"/>
            </w:pPr>
            <w:r>
              <w:rPr>
                <w:rFonts w:eastAsiaTheme="minorEastAsia"/>
                <w:szCs w:val="21"/>
              </w:rPr>
              <w:t>10.77%</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国泰君安</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43,749,859.05</w:t>
            </w:r>
          </w:p>
        </w:tc>
        <w:tc>
          <w:tcPr>
            <w:tcW w:w="1080" w:type="dxa"/>
            <w:vAlign w:val="center"/>
          </w:tcPr>
          <w:p w:rsidR="00A40B3A" w:rsidRDefault="0060040C">
            <w:pPr>
              <w:jc w:val="right"/>
            </w:pPr>
            <w:r>
              <w:rPr>
                <w:rFonts w:eastAsiaTheme="minorEastAsia"/>
                <w:szCs w:val="21"/>
              </w:rPr>
              <w:t>9.46%</w:t>
            </w:r>
          </w:p>
        </w:tc>
        <w:tc>
          <w:tcPr>
            <w:tcW w:w="1620" w:type="dxa"/>
            <w:vAlign w:val="center"/>
          </w:tcPr>
          <w:p w:rsidR="00A40B3A" w:rsidRDefault="0060040C">
            <w:pPr>
              <w:jc w:val="right"/>
            </w:pPr>
            <w:r>
              <w:rPr>
                <w:rFonts w:eastAsiaTheme="minorEastAsia"/>
                <w:szCs w:val="21"/>
              </w:rPr>
              <w:t>40,744.56</w:t>
            </w:r>
          </w:p>
        </w:tc>
        <w:tc>
          <w:tcPr>
            <w:tcW w:w="1080" w:type="dxa"/>
            <w:vAlign w:val="center"/>
          </w:tcPr>
          <w:p w:rsidR="00A40B3A" w:rsidRDefault="0060040C">
            <w:pPr>
              <w:jc w:val="right"/>
            </w:pPr>
            <w:r>
              <w:rPr>
                <w:rFonts w:eastAsiaTheme="minorEastAsia"/>
                <w:szCs w:val="21"/>
              </w:rPr>
              <w:t>9.46%</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华金证券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20,608,411.45</w:t>
            </w:r>
          </w:p>
        </w:tc>
        <w:tc>
          <w:tcPr>
            <w:tcW w:w="1080" w:type="dxa"/>
            <w:vAlign w:val="center"/>
          </w:tcPr>
          <w:p w:rsidR="00A40B3A" w:rsidRDefault="0060040C">
            <w:pPr>
              <w:jc w:val="right"/>
            </w:pPr>
            <w:r>
              <w:rPr>
                <w:rFonts w:eastAsiaTheme="minorEastAsia"/>
                <w:szCs w:val="21"/>
              </w:rPr>
              <w:t>4.46%</w:t>
            </w:r>
          </w:p>
        </w:tc>
        <w:tc>
          <w:tcPr>
            <w:tcW w:w="1620" w:type="dxa"/>
            <w:vAlign w:val="center"/>
          </w:tcPr>
          <w:p w:rsidR="00A40B3A" w:rsidRDefault="0060040C">
            <w:pPr>
              <w:jc w:val="right"/>
            </w:pPr>
            <w:r>
              <w:rPr>
                <w:rFonts w:eastAsiaTheme="minorEastAsia"/>
                <w:szCs w:val="21"/>
              </w:rPr>
              <w:t>19,192.58</w:t>
            </w:r>
          </w:p>
        </w:tc>
        <w:tc>
          <w:tcPr>
            <w:tcW w:w="1080" w:type="dxa"/>
            <w:vAlign w:val="center"/>
          </w:tcPr>
          <w:p w:rsidR="00A40B3A" w:rsidRDefault="0060040C">
            <w:pPr>
              <w:jc w:val="right"/>
            </w:pPr>
            <w:r>
              <w:rPr>
                <w:rFonts w:eastAsiaTheme="minorEastAsia"/>
                <w:szCs w:val="21"/>
              </w:rPr>
              <w:t>4.46%</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华泰证券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18,956,201.61</w:t>
            </w:r>
          </w:p>
        </w:tc>
        <w:tc>
          <w:tcPr>
            <w:tcW w:w="1080" w:type="dxa"/>
            <w:vAlign w:val="center"/>
          </w:tcPr>
          <w:p w:rsidR="00A40B3A" w:rsidRDefault="0060040C">
            <w:pPr>
              <w:jc w:val="right"/>
            </w:pPr>
            <w:r>
              <w:rPr>
                <w:rFonts w:eastAsiaTheme="minorEastAsia"/>
                <w:szCs w:val="21"/>
              </w:rPr>
              <w:t>4.10%</w:t>
            </w:r>
          </w:p>
        </w:tc>
        <w:tc>
          <w:tcPr>
            <w:tcW w:w="1620" w:type="dxa"/>
            <w:vAlign w:val="center"/>
          </w:tcPr>
          <w:p w:rsidR="00A40B3A" w:rsidRDefault="0060040C">
            <w:pPr>
              <w:jc w:val="right"/>
            </w:pPr>
            <w:r>
              <w:rPr>
                <w:rFonts w:eastAsiaTheme="minorEastAsia"/>
                <w:szCs w:val="21"/>
              </w:rPr>
              <w:t>17,654.26</w:t>
            </w:r>
          </w:p>
        </w:tc>
        <w:tc>
          <w:tcPr>
            <w:tcW w:w="1080" w:type="dxa"/>
            <w:vAlign w:val="center"/>
          </w:tcPr>
          <w:p w:rsidR="00A40B3A" w:rsidRDefault="0060040C">
            <w:pPr>
              <w:jc w:val="right"/>
            </w:pPr>
            <w:r>
              <w:rPr>
                <w:rFonts w:eastAsiaTheme="minorEastAsia"/>
                <w:szCs w:val="21"/>
              </w:rPr>
              <w:t>4.10%</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中泰证券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10,889,811.19</w:t>
            </w:r>
          </w:p>
        </w:tc>
        <w:tc>
          <w:tcPr>
            <w:tcW w:w="1080" w:type="dxa"/>
            <w:vAlign w:val="center"/>
          </w:tcPr>
          <w:p w:rsidR="00A40B3A" w:rsidRDefault="0060040C">
            <w:pPr>
              <w:jc w:val="right"/>
            </w:pPr>
            <w:r>
              <w:rPr>
                <w:rFonts w:eastAsiaTheme="minorEastAsia"/>
                <w:szCs w:val="21"/>
              </w:rPr>
              <w:t>2.36%</w:t>
            </w:r>
          </w:p>
        </w:tc>
        <w:tc>
          <w:tcPr>
            <w:tcW w:w="1620" w:type="dxa"/>
            <w:vAlign w:val="center"/>
          </w:tcPr>
          <w:p w:rsidR="00A40B3A" w:rsidRDefault="0060040C">
            <w:pPr>
              <w:jc w:val="right"/>
            </w:pPr>
            <w:r>
              <w:rPr>
                <w:rFonts w:eastAsiaTheme="minorEastAsia"/>
                <w:szCs w:val="21"/>
              </w:rPr>
              <w:t>10,141.80</w:t>
            </w:r>
          </w:p>
        </w:tc>
        <w:tc>
          <w:tcPr>
            <w:tcW w:w="1080" w:type="dxa"/>
            <w:vAlign w:val="center"/>
          </w:tcPr>
          <w:p w:rsidR="00A40B3A" w:rsidRDefault="0060040C">
            <w:pPr>
              <w:jc w:val="right"/>
            </w:pPr>
            <w:r>
              <w:rPr>
                <w:rFonts w:eastAsiaTheme="minorEastAsia"/>
                <w:szCs w:val="21"/>
              </w:rPr>
              <w:t>2.36%</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西南证券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7,457,017.92</w:t>
            </w:r>
          </w:p>
        </w:tc>
        <w:tc>
          <w:tcPr>
            <w:tcW w:w="1080" w:type="dxa"/>
            <w:vAlign w:val="center"/>
          </w:tcPr>
          <w:p w:rsidR="00A40B3A" w:rsidRDefault="0060040C">
            <w:pPr>
              <w:jc w:val="right"/>
            </w:pPr>
            <w:r>
              <w:rPr>
                <w:rFonts w:eastAsiaTheme="minorEastAsia"/>
                <w:szCs w:val="21"/>
              </w:rPr>
              <w:t>1.61%</w:t>
            </w:r>
          </w:p>
        </w:tc>
        <w:tc>
          <w:tcPr>
            <w:tcW w:w="1620" w:type="dxa"/>
            <w:vAlign w:val="center"/>
          </w:tcPr>
          <w:p w:rsidR="00A40B3A" w:rsidRDefault="0060040C">
            <w:pPr>
              <w:jc w:val="right"/>
            </w:pPr>
            <w:r>
              <w:rPr>
                <w:rFonts w:eastAsiaTheme="minorEastAsia"/>
                <w:szCs w:val="21"/>
              </w:rPr>
              <w:t>6,944.71</w:t>
            </w:r>
          </w:p>
        </w:tc>
        <w:tc>
          <w:tcPr>
            <w:tcW w:w="1080" w:type="dxa"/>
            <w:vAlign w:val="center"/>
          </w:tcPr>
          <w:p w:rsidR="00A40B3A" w:rsidRDefault="0060040C">
            <w:pPr>
              <w:jc w:val="right"/>
            </w:pPr>
            <w:r>
              <w:rPr>
                <w:rFonts w:eastAsiaTheme="minorEastAsia"/>
                <w:szCs w:val="21"/>
              </w:rPr>
              <w:t>1.61%</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申银万国</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6,160,420.82</w:t>
            </w:r>
          </w:p>
        </w:tc>
        <w:tc>
          <w:tcPr>
            <w:tcW w:w="1080" w:type="dxa"/>
            <w:vAlign w:val="center"/>
          </w:tcPr>
          <w:p w:rsidR="00A40B3A" w:rsidRDefault="0060040C">
            <w:pPr>
              <w:jc w:val="right"/>
            </w:pPr>
            <w:r>
              <w:rPr>
                <w:rFonts w:eastAsiaTheme="minorEastAsia"/>
                <w:szCs w:val="21"/>
              </w:rPr>
              <w:t>1.33%</w:t>
            </w:r>
          </w:p>
        </w:tc>
        <w:tc>
          <w:tcPr>
            <w:tcW w:w="1620" w:type="dxa"/>
            <w:vAlign w:val="center"/>
          </w:tcPr>
          <w:p w:rsidR="00A40B3A" w:rsidRDefault="0060040C">
            <w:pPr>
              <w:jc w:val="right"/>
            </w:pPr>
            <w:r>
              <w:rPr>
                <w:rFonts w:eastAsiaTheme="minorEastAsia"/>
                <w:szCs w:val="21"/>
              </w:rPr>
              <w:t>5,737.15</w:t>
            </w:r>
          </w:p>
        </w:tc>
        <w:tc>
          <w:tcPr>
            <w:tcW w:w="1080" w:type="dxa"/>
            <w:vAlign w:val="center"/>
          </w:tcPr>
          <w:p w:rsidR="00A40B3A" w:rsidRDefault="0060040C">
            <w:pPr>
              <w:jc w:val="right"/>
            </w:pPr>
            <w:r>
              <w:rPr>
                <w:rFonts w:eastAsiaTheme="minorEastAsia"/>
                <w:szCs w:val="21"/>
              </w:rPr>
              <w:t>1.33%</w:t>
            </w:r>
          </w:p>
        </w:tc>
        <w:tc>
          <w:tcPr>
            <w:tcW w:w="1080" w:type="dxa"/>
            <w:vAlign w:val="center"/>
          </w:tcPr>
          <w:p w:rsidR="00A40B3A" w:rsidRDefault="0060040C">
            <w:pPr>
              <w:jc w:val="lef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方正证券</w:t>
            </w:r>
          </w:p>
        </w:tc>
        <w:tc>
          <w:tcPr>
            <w:tcW w:w="780" w:type="dxa"/>
            <w:vAlign w:val="center"/>
          </w:tcPr>
          <w:p w:rsidR="00A40B3A" w:rsidRDefault="0060040C">
            <w:pPr>
              <w:jc w:val="right"/>
            </w:pPr>
            <w:r>
              <w:rPr>
                <w:rFonts w:eastAsiaTheme="minorEastAsia"/>
                <w:szCs w:val="21"/>
              </w:rPr>
              <w:t>1</w:t>
            </w:r>
          </w:p>
        </w:tc>
        <w:tc>
          <w:tcPr>
            <w:tcW w:w="1800" w:type="dxa"/>
            <w:vAlign w:val="center"/>
          </w:tcPr>
          <w:p w:rsidR="00A40B3A" w:rsidRDefault="0060040C">
            <w:pPr>
              <w:jc w:val="right"/>
            </w:pPr>
            <w:r>
              <w:rPr>
                <w:rFonts w:eastAsiaTheme="minorEastAsia"/>
                <w:szCs w:val="21"/>
              </w:rPr>
              <w:t>1,264,448.84</w:t>
            </w:r>
          </w:p>
        </w:tc>
        <w:tc>
          <w:tcPr>
            <w:tcW w:w="1080" w:type="dxa"/>
            <w:vAlign w:val="center"/>
          </w:tcPr>
          <w:p w:rsidR="00A40B3A" w:rsidRDefault="0060040C">
            <w:pPr>
              <w:jc w:val="right"/>
            </w:pPr>
            <w:r>
              <w:rPr>
                <w:rFonts w:eastAsiaTheme="minorEastAsia"/>
                <w:szCs w:val="21"/>
              </w:rPr>
              <w:t>0.27%</w:t>
            </w:r>
          </w:p>
        </w:tc>
        <w:tc>
          <w:tcPr>
            <w:tcW w:w="1620" w:type="dxa"/>
            <w:vAlign w:val="center"/>
          </w:tcPr>
          <w:p w:rsidR="00A40B3A" w:rsidRDefault="0060040C">
            <w:pPr>
              <w:jc w:val="right"/>
            </w:pPr>
            <w:r>
              <w:rPr>
                <w:rFonts w:eastAsiaTheme="minorEastAsia"/>
                <w:szCs w:val="21"/>
              </w:rPr>
              <w:t>1,177.58</w:t>
            </w:r>
          </w:p>
        </w:tc>
        <w:tc>
          <w:tcPr>
            <w:tcW w:w="1080" w:type="dxa"/>
            <w:vAlign w:val="center"/>
          </w:tcPr>
          <w:p w:rsidR="00A40B3A" w:rsidRDefault="0060040C">
            <w:pPr>
              <w:jc w:val="right"/>
            </w:pPr>
            <w:r>
              <w:rPr>
                <w:rFonts w:eastAsiaTheme="minorEastAsia"/>
                <w:szCs w:val="21"/>
              </w:rPr>
              <w:t>0.27%</w:t>
            </w:r>
          </w:p>
        </w:tc>
        <w:tc>
          <w:tcPr>
            <w:tcW w:w="1080" w:type="dxa"/>
            <w:vAlign w:val="center"/>
          </w:tcPr>
          <w:p w:rsidR="00A40B3A" w:rsidRDefault="0060040C">
            <w:pPr>
              <w:jc w:val="left"/>
            </w:pPr>
            <w:r>
              <w:rPr>
                <w:rFonts w:eastAsiaTheme="minorEastAsia"/>
                <w:szCs w:val="21"/>
              </w:rPr>
              <w:t>-</w:t>
            </w:r>
          </w:p>
        </w:tc>
      </w:tr>
    </w:tbl>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A40B3A" w:rsidRDefault="0060040C">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本基金于</w:t>
      </w:r>
      <w:r w:rsidRPr="00C56F63">
        <w:rPr>
          <w:rFonts w:eastAsiaTheme="minorEastAsia"/>
          <w:szCs w:val="21"/>
        </w:rPr>
        <w:t>2018</w:t>
      </w:r>
      <w:r w:rsidRPr="00C56F63">
        <w:rPr>
          <w:rFonts w:eastAsiaTheme="minorEastAsia"/>
          <w:szCs w:val="21"/>
        </w:rPr>
        <w:t>年</w:t>
      </w:r>
      <w:r w:rsidRPr="00C56F63">
        <w:rPr>
          <w:rFonts w:eastAsiaTheme="minorEastAsia"/>
          <w:szCs w:val="21"/>
        </w:rPr>
        <w:t>11</w:t>
      </w:r>
      <w:r w:rsidRPr="00C56F63">
        <w:rPr>
          <w:rFonts w:eastAsiaTheme="minorEastAsia"/>
          <w:szCs w:val="21"/>
        </w:rPr>
        <w:t>月</w:t>
      </w:r>
      <w:r w:rsidRPr="00C56F63">
        <w:rPr>
          <w:rFonts w:eastAsiaTheme="minorEastAsia"/>
          <w:szCs w:val="21"/>
        </w:rPr>
        <w:t>29</w:t>
      </w:r>
      <w:r w:rsidRPr="00C56F63">
        <w:rPr>
          <w:rFonts w:eastAsiaTheme="minorEastAsia"/>
          <w:szCs w:val="21"/>
        </w:rPr>
        <w:t>日正式成立，本期无新增、注销席位。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3E74FD">
        <w:tc>
          <w:tcPr>
            <w:tcW w:w="1560" w:type="dxa"/>
            <w:vMerge w:val="restart"/>
            <w:vAlign w:val="center"/>
          </w:tcPr>
          <w:p w:rsidR="002A54E8" w:rsidRPr="00C56F63" w:rsidRDefault="002A54E8" w:rsidP="003E74FD">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权证交易</w:t>
            </w:r>
          </w:p>
        </w:tc>
      </w:tr>
      <w:tr w:rsidR="002A54E8" w:rsidRPr="00C56F63" w:rsidTr="003E74FD">
        <w:tc>
          <w:tcPr>
            <w:tcW w:w="1560" w:type="dxa"/>
            <w:vMerge/>
            <w:vAlign w:val="center"/>
          </w:tcPr>
          <w:p w:rsidR="002A54E8" w:rsidRPr="00C56F63" w:rsidRDefault="002A54E8" w:rsidP="003E74FD">
            <w:pPr>
              <w:widowControl/>
              <w:spacing w:line="276" w:lineRule="auto"/>
              <w:jc w:val="left"/>
              <w:rPr>
                <w:rFonts w:eastAsiaTheme="minorEastAsia"/>
                <w:kern w:val="0"/>
                <w:szCs w:val="21"/>
              </w:rPr>
            </w:pPr>
          </w:p>
        </w:tc>
        <w:tc>
          <w:tcPr>
            <w:tcW w:w="1320"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3E74FD">
            <w:pPr>
              <w:spacing w:line="276" w:lineRule="auto"/>
              <w:jc w:val="center"/>
              <w:rPr>
                <w:rFonts w:eastAsiaTheme="minorEastAsia"/>
                <w:szCs w:val="21"/>
              </w:rPr>
            </w:pPr>
            <w:r w:rsidRPr="00C56F63">
              <w:rPr>
                <w:rFonts w:eastAsiaTheme="minorEastAsia"/>
                <w:szCs w:val="21"/>
              </w:rPr>
              <w:t>占当期权证成交总额的比例</w:t>
            </w:r>
          </w:p>
        </w:tc>
      </w:tr>
      <w:tr w:rsidR="00A40B3A">
        <w:tc>
          <w:tcPr>
            <w:tcW w:w="1560" w:type="dxa"/>
            <w:vAlign w:val="center"/>
          </w:tcPr>
          <w:p w:rsidR="00A40B3A" w:rsidRDefault="0060040C">
            <w:pPr>
              <w:jc w:val="left"/>
            </w:pPr>
            <w:r>
              <w:rPr>
                <w:rFonts w:eastAsiaTheme="minorEastAsia"/>
                <w:szCs w:val="21"/>
              </w:rPr>
              <w:t>长城证券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国信证券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中信建投</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中信证券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光大证券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广发证券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安信证券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国泰君安</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304,200,000.00</w:t>
            </w:r>
          </w:p>
        </w:tc>
        <w:tc>
          <w:tcPr>
            <w:tcW w:w="1197" w:type="dxa"/>
            <w:vAlign w:val="center"/>
          </w:tcPr>
          <w:p w:rsidR="00A40B3A" w:rsidRDefault="0060040C">
            <w:pPr>
              <w:jc w:val="right"/>
            </w:pPr>
            <w:r>
              <w:rPr>
                <w:rFonts w:eastAsiaTheme="minorEastAsia"/>
                <w:szCs w:val="21"/>
              </w:rPr>
              <w:t>66.67%</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华金证券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华泰证券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中泰证券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西南证券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152,100,000.00</w:t>
            </w:r>
          </w:p>
        </w:tc>
        <w:tc>
          <w:tcPr>
            <w:tcW w:w="1197" w:type="dxa"/>
            <w:vAlign w:val="center"/>
          </w:tcPr>
          <w:p w:rsidR="00A40B3A" w:rsidRDefault="0060040C">
            <w:pPr>
              <w:jc w:val="right"/>
            </w:pPr>
            <w:r>
              <w:rPr>
                <w:rFonts w:eastAsiaTheme="minorEastAsia"/>
                <w:szCs w:val="21"/>
              </w:rPr>
              <w:t>33.33%</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申银万国</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r w:rsidR="00A40B3A">
        <w:tc>
          <w:tcPr>
            <w:tcW w:w="1560" w:type="dxa"/>
            <w:vAlign w:val="center"/>
          </w:tcPr>
          <w:p w:rsidR="00A40B3A" w:rsidRDefault="0060040C">
            <w:pPr>
              <w:jc w:val="left"/>
            </w:pPr>
            <w:r>
              <w:rPr>
                <w:rFonts w:eastAsiaTheme="minorEastAsia"/>
                <w:szCs w:val="21"/>
              </w:rPr>
              <w:t>方正证券</w:t>
            </w:r>
          </w:p>
        </w:tc>
        <w:tc>
          <w:tcPr>
            <w:tcW w:w="1320" w:type="dxa"/>
            <w:vAlign w:val="center"/>
          </w:tcPr>
          <w:p w:rsidR="00A40B3A" w:rsidRDefault="0060040C">
            <w:pPr>
              <w:jc w:val="right"/>
            </w:pPr>
            <w:r>
              <w:rPr>
                <w:rFonts w:eastAsiaTheme="minorEastAsia"/>
                <w:szCs w:val="21"/>
              </w:rPr>
              <w:t>-</w:t>
            </w:r>
          </w:p>
        </w:tc>
        <w:tc>
          <w:tcPr>
            <w:tcW w:w="1080" w:type="dxa"/>
            <w:vAlign w:val="center"/>
          </w:tcPr>
          <w:p w:rsidR="00A40B3A" w:rsidRDefault="0060040C">
            <w:pPr>
              <w:jc w:val="right"/>
            </w:pPr>
            <w:r>
              <w:rPr>
                <w:rFonts w:eastAsiaTheme="minorEastAsia"/>
                <w:szCs w:val="21"/>
              </w:rPr>
              <w:t>-</w:t>
            </w:r>
          </w:p>
        </w:tc>
        <w:tc>
          <w:tcPr>
            <w:tcW w:w="1143" w:type="dxa"/>
            <w:vAlign w:val="center"/>
          </w:tcPr>
          <w:p w:rsidR="00A40B3A" w:rsidRDefault="0060040C">
            <w:pPr>
              <w:jc w:val="right"/>
            </w:pPr>
            <w:r>
              <w:rPr>
                <w:rFonts w:eastAsiaTheme="minorEastAsia"/>
                <w:szCs w:val="21"/>
              </w:rPr>
              <w:t>-</w:t>
            </w:r>
          </w:p>
        </w:tc>
        <w:tc>
          <w:tcPr>
            <w:tcW w:w="1197" w:type="dxa"/>
            <w:vAlign w:val="center"/>
          </w:tcPr>
          <w:p w:rsidR="00A40B3A" w:rsidRDefault="0060040C">
            <w:pPr>
              <w:jc w:val="right"/>
            </w:pPr>
            <w:r>
              <w:rPr>
                <w:rFonts w:eastAsiaTheme="minorEastAsia"/>
                <w:szCs w:val="21"/>
              </w:rPr>
              <w:t>-</w:t>
            </w:r>
          </w:p>
        </w:tc>
        <w:tc>
          <w:tcPr>
            <w:tcW w:w="1497" w:type="dxa"/>
            <w:vAlign w:val="center"/>
          </w:tcPr>
          <w:p w:rsidR="00A40B3A" w:rsidRDefault="0060040C">
            <w:pPr>
              <w:jc w:val="right"/>
            </w:pPr>
            <w:r>
              <w:rPr>
                <w:rFonts w:eastAsiaTheme="minorEastAsia"/>
                <w:szCs w:val="21"/>
              </w:rPr>
              <w:t>-</w:t>
            </w:r>
          </w:p>
        </w:tc>
        <w:tc>
          <w:tcPr>
            <w:tcW w:w="1203" w:type="dxa"/>
            <w:vAlign w:val="center"/>
          </w:tcPr>
          <w:p w:rsidR="00A40B3A" w:rsidRDefault="0060040C">
            <w:pPr>
              <w:jc w:val="right"/>
            </w:pPr>
            <w:r>
              <w:rPr>
                <w:rFonts w:eastAsiaTheme="minorEastAsia"/>
                <w:szCs w:val="21"/>
              </w:rPr>
              <w:t>-</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3" w:name="_Toc374540595"/>
      <w:bookmarkEnd w:id="85"/>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03"/>
    </w:p>
    <w:p w:rsidR="006B65E1" w:rsidRPr="00C56F63" w:rsidRDefault="00945F2E">
      <w:pPr>
        <w:autoSpaceDE w:val="0"/>
        <w:autoSpaceDN w:val="0"/>
        <w:adjustRightInd w:val="0"/>
        <w:spacing w:line="360" w:lineRule="auto"/>
        <w:jc w:val="left"/>
        <w:rPr>
          <w:rFonts w:ascii="宋体" w:hAnsi="宋体"/>
          <w:b/>
          <w:bCs/>
          <w:color w:val="000000"/>
          <w:kern w:val="0"/>
          <w:szCs w:val="21"/>
        </w:rPr>
      </w:pPr>
      <w:bookmarkStart w:id="104" w:name="_Toc374540596"/>
      <w:bookmarkStart w:id="105" w:name="_Toc225500055"/>
      <w:r w:rsidRPr="00C56F63">
        <w:rPr>
          <w:rFonts w:ascii="宋体" w:hAnsi="宋体"/>
          <w:b/>
          <w:bCs/>
          <w:color w:val="000000"/>
          <w:kern w:val="0"/>
          <w:szCs w:val="21"/>
        </w:rPr>
        <w:t>11.</w:t>
      </w:r>
      <w:r w:rsidRPr="00C56F63">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B65E1" w:rsidRPr="00C56F63">
        <w:tc>
          <w:tcPr>
            <w:tcW w:w="993" w:type="dxa"/>
            <w:vMerge w:val="restart"/>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投资者类别</w:t>
            </w:r>
            <w:r w:rsidRPr="00C56F63">
              <w:rPr>
                <w:rFonts w:ascii="宋体" w:hAnsi="宋体"/>
                <w:color w:val="000000"/>
                <w:kern w:val="0"/>
                <w:szCs w:val="21"/>
              </w:rPr>
              <w:t xml:space="preserve">  </w:t>
            </w:r>
          </w:p>
        </w:tc>
        <w:tc>
          <w:tcPr>
            <w:tcW w:w="5670" w:type="dxa"/>
            <w:gridSpan w:val="5"/>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报告期内持有基金份额变化情况</w:t>
            </w:r>
          </w:p>
        </w:tc>
        <w:tc>
          <w:tcPr>
            <w:tcW w:w="2549" w:type="dxa"/>
            <w:gridSpan w:val="2"/>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报告期末持有基金情况</w:t>
            </w:r>
          </w:p>
        </w:tc>
      </w:tr>
      <w:tr w:rsidR="006B65E1" w:rsidRPr="00C56F63">
        <w:tc>
          <w:tcPr>
            <w:tcW w:w="993" w:type="dxa"/>
            <w:vMerge/>
            <w:vAlign w:val="center"/>
          </w:tcPr>
          <w:p w:rsidR="006B65E1" w:rsidRPr="00C56F63" w:rsidRDefault="006B65E1">
            <w:pPr>
              <w:autoSpaceDE w:val="0"/>
              <w:autoSpaceDN w:val="0"/>
              <w:adjustRightInd w:val="0"/>
              <w:jc w:val="center"/>
              <w:rPr>
                <w:rFonts w:ascii="宋体" w:hAnsi="宋体"/>
                <w:b/>
                <w:bCs/>
                <w:color w:val="000000"/>
                <w:kern w:val="0"/>
                <w:szCs w:val="21"/>
              </w:rPr>
            </w:pPr>
          </w:p>
        </w:tc>
        <w:tc>
          <w:tcPr>
            <w:tcW w:w="992"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序号</w:t>
            </w:r>
          </w:p>
        </w:tc>
        <w:tc>
          <w:tcPr>
            <w:tcW w:w="1843"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持有基金份额比例达到或者超过20%的时间区间</w:t>
            </w:r>
          </w:p>
        </w:tc>
        <w:tc>
          <w:tcPr>
            <w:tcW w:w="851"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期初份额</w:t>
            </w:r>
          </w:p>
        </w:tc>
        <w:tc>
          <w:tcPr>
            <w:tcW w:w="850"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申购份额</w:t>
            </w:r>
          </w:p>
        </w:tc>
        <w:tc>
          <w:tcPr>
            <w:tcW w:w="1134"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赎回份额</w:t>
            </w:r>
          </w:p>
        </w:tc>
        <w:tc>
          <w:tcPr>
            <w:tcW w:w="1419"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持有份额</w:t>
            </w:r>
          </w:p>
        </w:tc>
        <w:tc>
          <w:tcPr>
            <w:tcW w:w="1130"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份额占比</w:t>
            </w:r>
          </w:p>
        </w:tc>
      </w:tr>
      <w:tr w:rsidR="00A40B3A">
        <w:tc>
          <w:tcPr>
            <w:tcW w:w="993" w:type="dxa"/>
          </w:tcPr>
          <w:p w:rsidR="00A40B3A" w:rsidRDefault="00A40B3A"/>
          <w:p w:rsidR="00A40B3A" w:rsidRDefault="0060040C">
            <w:r>
              <w:rPr>
                <w:rFonts w:ascii="宋体" w:hAnsi="宋体" w:hint="eastAsia"/>
                <w:bCs/>
                <w:color w:val="000000"/>
                <w:kern w:val="0"/>
                <w:szCs w:val="21"/>
              </w:rPr>
              <w:t>机构</w:t>
            </w:r>
          </w:p>
        </w:tc>
        <w:tc>
          <w:tcPr>
            <w:tcW w:w="992" w:type="dxa"/>
            <w:vAlign w:val="center"/>
          </w:tcPr>
          <w:p w:rsidR="00A40B3A" w:rsidRDefault="0060040C">
            <w:pPr>
              <w:jc w:val="center"/>
            </w:pPr>
            <w:r>
              <w:rPr>
                <w:rFonts w:ascii="宋体" w:hAnsi="宋体"/>
                <w:color w:val="000000"/>
                <w:kern w:val="0"/>
                <w:szCs w:val="21"/>
              </w:rPr>
              <w:t>1</w:t>
            </w:r>
          </w:p>
        </w:tc>
        <w:tc>
          <w:tcPr>
            <w:tcW w:w="1843" w:type="dxa"/>
            <w:vAlign w:val="center"/>
          </w:tcPr>
          <w:p w:rsidR="00A40B3A" w:rsidRDefault="0060040C">
            <w:pPr>
              <w:jc w:val="center"/>
            </w:pPr>
            <w:r>
              <w:rPr>
                <w:rFonts w:ascii="宋体" w:hAnsi="宋体"/>
                <w:color w:val="000000"/>
                <w:kern w:val="0"/>
                <w:szCs w:val="21"/>
              </w:rPr>
              <w:t>20190121-20190630</w:t>
            </w:r>
          </w:p>
        </w:tc>
        <w:tc>
          <w:tcPr>
            <w:tcW w:w="851" w:type="dxa"/>
            <w:vAlign w:val="center"/>
          </w:tcPr>
          <w:p w:rsidR="00A40B3A" w:rsidRDefault="0060040C">
            <w:pPr>
              <w:jc w:val="center"/>
            </w:pPr>
            <w:r>
              <w:rPr>
                <w:rFonts w:ascii="宋体" w:hAnsi="宋体"/>
                <w:color w:val="000000"/>
                <w:kern w:val="0"/>
                <w:szCs w:val="21"/>
              </w:rPr>
              <w:t>20,004,400.00</w:t>
            </w:r>
          </w:p>
        </w:tc>
        <w:tc>
          <w:tcPr>
            <w:tcW w:w="850" w:type="dxa"/>
            <w:vAlign w:val="center"/>
          </w:tcPr>
          <w:p w:rsidR="00A40B3A" w:rsidRDefault="0060040C">
            <w:pPr>
              <w:jc w:val="center"/>
            </w:pPr>
            <w:r>
              <w:rPr>
                <w:rFonts w:ascii="宋体" w:hAnsi="宋体"/>
                <w:color w:val="000000"/>
                <w:kern w:val="0"/>
                <w:szCs w:val="21"/>
              </w:rPr>
              <w:t>0.00</w:t>
            </w:r>
          </w:p>
        </w:tc>
        <w:tc>
          <w:tcPr>
            <w:tcW w:w="1134" w:type="dxa"/>
            <w:vAlign w:val="center"/>
          </w:tcPr>
          <w:p w:rsidR="00A40B3A" w:rsidRDefault="0060040C">
            <w:pPr>
              <w:jc w:val="center"/>
            </w:pPr>
            <w:r>
              <w:rPr>
                <w:rFonts w:ascii="宋体" w:hAnsi="宋体"/>
                <w:color w:val="000000"/>
                <w:kern w:val="0"/>
                <w:szCs w:val="21"/>
              </w:rPr>
              <w:t>0.00</w:t>
            </w:r>
          </w:p>
        </w:tc>
        <w:tc>
          <w:tcPr>
            <w:tcW w:w="1419" w:type="dxa"/>
            <w:vAlign w:val="center"/>
          </w:tcPr>
          <w:p w:rsidR="00A40B3A" w:rsidRDefault="0060040C">
            <w:pPr>
              <w:jc w:val="center"/>
            </w:pPr>
            <w:r>
              <w:rPr>
                <w:rFonts w:ascii="宋体" w:hAnsi="宋体"/>
                <w:color w:val="000000"/>
                <w:kern w:val="0"/>
                <w:szCs w:val="21"/>
              </w:rPr>
              <w:t>20,004,400.00</w:t>
            </w:r>
          </w:p>
        </w:tc>
        <w:tc>
          <w:tcPr>
            <w:tcW w:w="1130" w:type="dxa"/>
            <w:vAlign w:val="center"/>
          </w:tcPr>
          <w:p w:rsidR="00A40B3A" w:rsidRDefault="0060040C">
            <w:pPr>
              <w:jc w:val="center"/>
            </w:pPr>
            <w:r>
              <w:rPr>
                <w:rFonts w:ascii="宋体" w:hAnsi="宋体"/>
                <w:color w:val="000000"/>
                <w:kern w:val="0"/>
                <w:szCs w:val="21"/>
              </w:rPr>
              <w:t>38.42%</w:t>
            </w:r>
          </w:p>
        </w:tc>
      </w:tr>
      <w:tr w:rsidR="006B65E1" w:rsidRPr="00C56F63">
        <w:tc>
          <w:tcPr>
            <w:tcW w:w="9212" w:type="dxa"/>
            <w:gridSpan w:val="8"/>
            <w:vAlign w:val="center"/>
          </w:tcPr>
          <w:p w:rsidR="006B65E1" w:rsidRPr="00C56F63" w:rsidRDefault="00945F2E">
            <w:pPr>
              <w:autoSpaceDE w:val="0"/>
              <w:autoSpaceDN w:val="0"/>
              <w:adjustRightInd w:val="0"/>
              <w:jc w:val="center"/>
              <w:rPr>
                <w:rFonts w:ascii="宋体" w:hAnsi="宋体"/>
                <w:kern w:val="0"/>
                <w:szCs w:val="21"/>
              </w:rPr>
            </w:pPr>
            <w:r w:rsidRPr="00C56F63">
              <w:rPr>
                <w:rFonts w:ascii="宋体" w:hAnsi="宋体"/>
                <w:color w:val="000000"/>
                <w:kern w:val="0"/>
                <w:szCs w:val="21"/>
              </w:rPr>
              <w:t>产品特有风险</w:t>
            </w:r>
          </w:p>
        </w:tc>
      </w:tr>
      <w:tr w:rsidR="006B65E1" w:rsidRPr="00C56F63">
        <w:tc>
          <w:tcPr>
            <w:tcW w:w="9212" w:type="dxa"/>
            <w:gridSpan w:val="8"/>
            <w:vAlign w:val="center"/>
          </w:tcPr>
          <w:p w:rsidR="006B65E1" w:rsidRPr="00C56F63" w:rsidRDefault="00945F2E">
            <w:pPr>
              <w:autoSpaceDE w:val="0"/>
              <w:autoSpaceDN w:val="0"/>
              <w:adjustRightInd w:val="0"/>
              <w:jc w:val="left"/>
              <w:rPr>
                <w:rFonts w:ascii="宋体" w:hAnsi="宋体"/>
                <w:kern w:val="0"/>
                <w:szCs w:val="21"/>
              </w:rPr>
            </w:pPr>
            <w:r w:rsidRPr="00C56F63">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bookmarkEnd w:id="104"/>
      <w:bookmarkEnd w:id="105"/>
    </w:tbl>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FD" w:rsidRDefault="003E74FD" w:rsidP="006B65E1">
      <w:r>
        <w:separator/>
      </w:r>
    </w:p>
  </w:endnote>
  <w:endnote w:type="continuationSeparator" w:id="0">
    <w:p w:rsidR="003E74FD" w:rsidRDefault="003E74FD"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FD" w:rsidRDefault="003E74F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3E74FD" w:rsidRDefault="003E74FD">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FD" w:rsidRDefault="003E74F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F2916">
      <w:rPr>
        <w:noProof/>
        <w:kern w:val="0"/>
        <w:szCs w:val="21"/>
      </w:rPr>
      <w:t>32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F2916">
      <w:rPr>
        <w:noProof/>
        <w:kern w:val="0"/>
        <w:szCs w:val="21"/>
      </w:rPr>
      <w:t>32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FD" w:rsidRDefault="003E74FD" w:rsidP="006B65E1">
      <w:r>
        <w:separator/>
      </w:r>
    </w:p>
  </w:footnote>
  <w:footnote w:type="continuationSeparator" w:id="0">
    <w:p w:rsidR="003E74FD" w:rsidRDefault="003E74FD" w:rsidP="006B6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FD" w:rsidRDefault="003E74FD">
    <w:pPr>
      <w:pStyle w:val="af6"/>
      <w:pBdr>
        <w:bottom w:val="single" w:sz="6" w:space="0" w:color="auto"/>
      </w:pBdr>
      <w:jc w:val="right"/>
    </w:pPr>
    <w:r>
      <w:t>上投摩根核心精选股票型证券投资基金</w:t>
    </w:r>
    <w:r>
      <w:t>2019</w:t>
    </w:r>
    <w:r>
      <w:t>年半年度报告</w:t>
    </w:r>
    <w:r>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2A51"/>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6DE3"/>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4F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040C"/>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3A"/>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16"/>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0BA"/>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8F26C9"/>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35924-E2F1-4D57-BEC0-F0D82D77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503</cp:revision>
  <cp:lastPrinted>2007-07-19T00:46:00Z</cp:lastPrinted>
  <dcterms:created xsi:type="dcterms:W3CDTF">2013-08-19T07:44:00Z</dcterms:created>
  <dcterms:modified xsi:type="dcterms:W3CDTF">2019-08-22T03:38:00Z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