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30A57" w:rsidRDefault="00F30A57">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F30A57" w:rsidRDefault="00F30A5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30A57" w:rsidRDefault="00F30A57">
      <w:pPr>
        <w:spacing w:line="360" w:lineRule="auto"/>
        <w:jc w:val="center"/>
        <w:rPr>
          <w:rFonts w:hint="eastAsia"/>
        </w:rPr>
      </w:pPr>
      <w:r>
        <w:rPr>
          <w:rFonts w:ascii="宋体" w:hAnsi="宋体" w:hint="eastAsia"/>
          <w:b/>
          <w:bCs/>
          <w:color w:val="000000" w:themeColor="text1"/>
          <w:sz w:val="48"/>
          <w:szCs w:val="30"/>
        </w:rPr>
        <w:t>摩根香港精选港股通混合型证券投资基金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F30A57" w:rsidRDefault="00F30A5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30A57" w:rsidRDefault="00F30A5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30A57" w:rsidRDefault="00F30A5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30A57" w:rsidRDefault="00F30A5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F30A57" w:rsidRDefault="00F30A5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30A57" w:rsidRDefault="00F30A5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F30A57" w:rsidRDefault="00F30A57">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30A57" w:rsidRDefault="00F30A5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2165936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F30A57" w:rsidRDefault="00F30A5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szCs w:val="24"/>
                <w:lang w:eastAsia="zh-Hans"/>
              </w:rPr>
              <w:t>摩根香港精选港股通混</w:t>
            </w:r>
            <w:r>
              <w:rPr>
                <w:rFonts w:ascii="宋体" w:hAnsi="宋体" w:hint="eastAsia"/>
                <w:szCs w:val="24"/>
                <w:lang w:eastAsia="zh-Hans"/>
              </w:rPr>
              <w:t>合</w:t>
            </w:r>
            <w:r>
              <w:rPr>
                <w:rFonts w:ascii="宋体" w:hAnsi="宋体" w:hint="eastAsia"/>
                <w:lang w:eastAsia="zh-Hans"/>
              </w:rPr>
              <w:t xml:space="preserve"> </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00570</w:t>
            </w:r>
            <w:r>
              <w:rPr>
                <w:rFonts w:ascii="宋体" w:hAnsi="宋体" w:hint="eastAsia"/>
                <w:lang w:eastAsia="zh-Hans"/>
              </w:rPr>
              <w:t>1</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契约型开放</w:t>
            </w:r>
            <w:r>
              <w:rPr>
                <w:rFonts w:ascii="宋体" w:hAnsi="宋体" w:hint="eastAsia"/>
                <w:lang w:eastAsia="zh-Hans"/>
              </w:rPr>
              <w:t>式</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58,820,481.0</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本基金采用定量及定性研究方法，自下而上优选在港股通范围内的上市公司，通过严格风险控制，力争实现基金资产的长期增值</w:t>
            </w:r>
            <w:r>
              <w:rPr>
                <w:rFonts w:ascii="宋体" w:hAnsi="宋体" w:hint="eastAsia"/>
                <w:lang w:eastAsia="zh-Hans"/>
              </w:rPr>
              <w:t>。</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 xml:space="preserve">资产配置层面，本基金将综合分析和持续跟踪基本面、政策面、市场面等多方面因素，对宏观经济、国家政策、资金面和市场情绪等影响证券市场的重要因素进行深入分析，重点关注包括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对于港股，本基金在分析宏观经济形势和行业发展基础上，精选港股市场中的优质上市企业，有针对性地根据不同指标选取具有成长性和投资价值的上市公司构建股票池。在具体操作上，基金将采用自下而上的个股精选策略，综合运用定量分析与定性分析的手段，对公司基本面进行价值挖掘。</w:t>
            </w:r>
            <w:r>
              <w:rPr>
                <w:rFonts w:ascii="宋体" w:hAnsi="宋体" w:hint="eastAsia"/>
                <w:lang w:eastAsia="zh-Hans"/>
              </w:rPr>
              <w:br/>
              <w:t>3</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本基金在精选个股的基础上，对股票投资组合进行适度均衡的行业配置。本基金将对宏观经济发展状况及趋势、行业周期性及景气度、行业相对估值水平等方面进行研究，判断各个行业的相对投资价值。在此基础上，参考整体市场的行业资产分布比例，确定和动态调整各个行业的配置比例。</w:t>
            </w:r>
            <w:r>
              <w:rPr>
                <w:rFonts w:ascii="宋体" w:hAnsi="宋体" w:hint="eastAsia"/>
                <w:lang w:eastAsia="zh-Hans"/>
              </w:rPr>
              <w:br/>
              <w:t>4</w:t>
            </w:r>
            <w:r>
              <w:rPr>
                <w:rFonts w:ascii="宋体" w:hAnsi="宋体" w:hint="eastAsia"/>
                <w:lang w:eastAsia="zh-Hans"/>
              </w:rPr>
              <w:t>、债券</w:t>
            </w:r>
            <w:r>
              <w:rPr>
                <w:rFonts w:ascii="宋体" w:hAnsi="宋体" w:hint="eastAsia"/>
                <w:lang w:eastAsia="zh-Hans"/>
              </w:rPr>
              <w:t>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5</w:t>
            </w:r>
            <w:r>
              <w:rPr>
                <w:rFonts w:ascii="宋体" w:hAnsi="宋体" w:hint="eastAsia"/>
                <w:lang w:eastAsia="zh-Hans"/>
              </w:rPr>
              <w:t>、其他投资策略：包括股指期货投资策略、资产支持证券投资策略、股票期权投资策略、权证投资策略、存托凭证投资策略</w:t>
            </w:r>
            <w:r>
              <w:rPr>
                <w:rFonts w:ascii="宋体" w:hAnsi="宋体" w:hint="eastAsia"/>
                <w:lang w:eastAsia="zh-Hans"/>
              </w:rPr>
              <w:t>。</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中证港股通综合指数收益率×</w:t>
            </w:r>
            <w:r>
              <w:rPr>
                <w:rFonts w:ascii="宋体" w:hAnsi="宋体" w:hint="eastAsia"/>
                <w:lang w:eastAsia="zh-Hans"/>
              </w:rPr>
              <w:t>70%+</w:t>
            </w:r>
            <w:r>
              <w:rPr>
                <w:rFonts w:ascii="宋体" w:hAnsi="宋体" w:hint="eastAsia"/>
                <w:lang w:eastAsia="zh-Hans"/>
              </w:rPr>
              <w:t>中债总指数收益率×</w:t>
            </w:r>
            <w:r>
              <w:rPr>
                <w:rFonts w:ascii="宋体" w:hAnsi="宋体" w:hint="eastAsia"/>
                <w:lang w:eastAsia="zh-Hans"/>
              </w:rPr>
              <w:t>30</w:t>
            </w:r>
            <w:r>
              <w:rPr>
                <w:rFonts w:ascii="宋体" w:hAnsi="宋体" w:hint="eastAsia"/>
                <w:lang w:eastAsia="zh-Hans"/>
              </w:rPr>
              <w:t>%</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本基金属于混合型基金产品，预期风险和收益水平高于债券型基金和货币市场基金，低于股票型基金，属于较高风险收益水平的基金产品。本基金将投资港股通标的股票，需承担汇率风险以及境外市场的风险。</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216593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1216593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lang w:eastAsia="zh-Hans"/>
              </w:rPr>
              <w:t>摩根香港精选港股通混合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lang w:eastAsia="zh-Hans"/>
              </w:rPr>
              <w:t>摩根香港精选港股通混合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216593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lang w:eastAsia="zh-Hans"/>
              </w:rPr>
              <w:t>00570</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lang w:eastAsia="zh-Hans"/>
              </w:rPr>
              <w:t>01692</w:t>
            </w:r>
            <w:r>
              <w:rPr>
                <w:rFonts w:ascii="宋体" w:hAnsi="宋体" w:hint="eastAsia"/>
                <w:lang w:eastAsia="zh-Hans"/>
              </w:rPr>
              <w:t>1</w:t>
            </w:r>
            <w:r>
              <w:rPr>
                <w:rFonts w:ascii="宋体" w:hAnsi="宋体" w:hint="eastAsia"/>
                <w:kern w:val="0"/>
                <w:sz w:val="20"/>
                <w:lang w:eastAsia="zh-Hans"/>
              </w:rPr>
              <w:t xml:space="preserve"> </w:t>
            </w:r>
          </w:p>
        </w:tc>
      </w:tr>
      <w:bookmarkEnd w:id="32"/>
      <w:bookmarkEnd w:id="33"/>
      <w:tr w:rsidR="00000000">
        <w:trPr>
          <w:divId w:val="1216593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30A57" w:rsidRDefault="00F30A5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lang w:eastAsia="zh-Hans"/>
              </w:rPr>
              <w:t>40,269,899.3</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lang w:eastAsia="zh-Hans"/>
              </w:rPr>
              <w:t>18,550,581.7</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F30A57" w:rsidRDefault="00F30A5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F30A57" w:rsidRDefault="00F30A57">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F30A57" w:rsidRDefault="00F30A57">
      <w:pPr>
        <w:jc w:val="right"/>
        <w:divId w:val="61325047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45"/>
        <w:gridCol w:w="2845"/>
        <w:gridCol w:w="2845"/>
      </w:tblGrid>
      <w:tr w:rsidR="00000000">
        <w:trPr>
          <w:divId w:val="61325047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30A57" w:rsidRDefault="00F30A5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30A57" w:rsidRDefault="00F30A5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61325047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30A57" w:rsidRDefault="00F30A57">
            <w:pPr>
              <w:jc w:val="center"/>
              <w:rPr>
                <w:rFonts w:hint="eastAsia"/>
              </w:rPr>
            </w:pPr>
            <w:r>
              <w:rPr>
                <w:rFonts w:ascii="宋体" w:hAnsi="宋体" w:hint="eastAsia"/>
                <w:szCs w:val="24"/>
                <w:lang w:eastAsia="zh-Hans"/>
              </w:rPr>
              <w:t>摩根香港精选港股通混合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30A57" w:rsidRDefault="00F30A57">
            <w:pPr>
              <w:jc w:val="center"/>
            </w:pPr>
            <w:r>
              <w:rPr>
                <w:rFonts w:ascii="宋体" w:hAnsi="宋体" w:hint="eastAsia"/>
                <w:szCs w:val="24"/>
                <w:lang w:eastAsia="zh-Hans"/>
              </w:rPr>
              <w:t>摩根香港精选港股通混合</w:t>
            </w:r>
            <w:r>
              <w:rPr>
                <w:rFonts w:ascii="宋体" w:hAnsi="宋体" w:hint="eastAsia"/>
                <w:szCs w:val="24"/>
                <w:lang w:eastAsia="zh-Hans"/>
              </w:rPr>
              <w:t>C</w:t>
            </w:r>
          </w:p>
        </w:tc>
      </w:tr>
      <w:tr w:rsidR="00000000">
        <w:trPr>
          <w:divId w:val="6132504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rPr>
                <w:rFonts w:hint="eastAsia"/>
              </w:rPr>
            </w:pPr>
            <w:r>
              <w:rPr>
                <w:rFonts w:ascii="宋体" w:hAnsi="宋体" w:hint="eastAsia"/>
                <w:szCs w:val="24"/>
                <w:lang w:eastAsia="zh-Hans"/>
              </w:rPr>
              <w:t>-1,273,094.8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pPr>
            <w:r>
              <w:rPr>
                <w:rFonts w:ascii="宋体" w:hAnsi="宋体" w:hint="eastAsia"/>
                <w:szCs w:val="24"/>
                <w:lang w:eastAsia="zh-Hans"/>
              </w:rPr>
              <w:t>-585,983.9</w:t>
            </w:r>
            <w:r>
              <w:rPr>
                <w:rFonts w:ascii="宋体" w:hAnsi="宋体" w:hint="eastAsia"/>
                <w:szCs w:val="24"/>
                <w:lang w:eastAsia="zh-Hans"/>
              </w:rPr>
              <w:t>2</w:t>
            </w:r>
          </w:p>
        </w:tc>
      </w:tr>
      <w:tr w:rsidR="00000000">
        <w:trPr>
          <w:divId w:val="6132504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rPr>
                <w:rFonts w:hint="eastAsia"/>
              </w:rPr>
            </w:pPr>
            <w:r>
              <w:rPr>
                <w:rFonts w:ascii="宋体" w:hAnsi="宋体" w:hint="eastAsia"/>
                <w:szCs w:val="24"/>
                <w:lang w:eastAsia="zh-Hans"/>
              </w:rPr>
              <w:t>2,311,680.3</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pPr>
            <w:r>
              <w:rPr>
                <w:rFonts w:ascii="宋体" w:hAnsi="宋体" w:hint="eastAsia"/>
                <w:szCs w:val="24"/>
                <w:lang w:eastAsia="zh-Hans"/>
              </w:rPr>
              <w:t>1,062,195.9</w:t>
            </w:r>
            <w:r>
              <w:rPr>
                <w:rFonts w:ascii="宋体" w:hAnsi="宋体" w:hint="eastAsia"/>
                <w:szCs w:val="24"/>
                <w:lang w:eastAsia="zh-Hans"/>
              </w:rPr>
              <w:t>9</w:t>
            </w:r>
          </w:p>
        </w:tc>
      </w:tr>
      <w:tr w:rsidR="00000000">
        <w:trPr>
          <w:divId w:val="6132504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rPr>
                <w:rFonts w:hint="eastAsia"/>
              </w:rPr>
            </w:pPr>
            <w:r>
              <w:rPr>
                <w:rFonts w:ascii="宋体" w:hAnsi="宋体" w:hint="eastAsia"/>
                <w:szCs w:val="24"/>
                <w:lang w:eastAsia="zh-Hans"/>
              </w:rPr>
              <w:t>0.053</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pPr>
            <w:r>
              <w:rPr>
                <w:rFonts w:ascii="宋体" w:hAnsi="宋体" w:hint="eastAsia"/>
                <w:szCs w:val="24"/>
                <w:lang w:eastAsia="zh-Hans"/>
              </w:rPr>
              <w:t>0.052</w:t>
            </w:r>
            <w:r>
              <w:rPr>
                <w:rFonts w:ascii="宋体" w:hAnsi="宋体" w:hint="eastAsia"/>
                <w:szCs w:val="24"/>
                <w:lang w:eastAsia="zh-Hans"/>
              </w:rPr>
              <w:t>2</w:t>
            </w:r>
          </w:p>
        </w:tc>
      </w:tr>
      <w:tr w:rsidR="00000000">
        <w:trPr>
          <w:divId w:val="6132504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rPr>
                <w:rFonts w:hint="eastAsia"/>
              </w:rPr>
            </w:pPr>
            <w:r>
              <w:rPr>
                <w:rFonts w:ascii="宋体" w:hAnsi="宋体" w:hint="eastAsia"/>
                <w:szCs w:val="24"/>
                <w:lang w:eastAsia="zh-Hans"/>
              </w:rPr>
              <w:t>47,827,007.9</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pPr>
            <w:r>
              <w:rPr>
                <w:rFonts w:ascii="宋体" w:hAnsi="宋体" w:hint="eastAsia"/>
                <w:szCs w:val="24"/>
                <w:lang w:eastAsia="zh-Hans"/>
              </w:rPr>
              <w:t>21,199,114.4</w:t>
            </w:r>
            <w:r>
              <w:rPr>
                <w:rFonts w:ascii="宋体" w:hAnsi="宋体" w:hint="eastAsia"/>
                <w:szCs w:val="24"/>
                <w:lang w:eastAsia="zh-Hans"/>
              </w:rPr>
              <w:t>5</w:t>
            </w:r>
          </w:p>
        </w:tc>
      </w:tr>
      <w:tr w:rsidR="00000000">
        <w:trPr>
          <w:divId w:val="6132504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rPr>
                <w:rFonts w:hint="eastAsia"/>
              </w:rPr>
            </w:pPr>
            <w:r>
              <w:rPr>
                <w:rFonts w:ascii="宋体" w:hAnsi="宋体" w:hint="eastAsia"/>
                <w:szCs w:val="24"/>
                <w:lang w:eastAsia="zh-Hans"/>
              </w:rPr>
              <w:t>1.187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30A57" w:rsidRDefault="00F30A57">
            <w:pPr>
              <w:jc w:val="right"/>
            </w:pPr>
            <w:r>
              <w:rPr>
                <w:rFonts w:ascii="宋体" w:hAnsi="宋体" w:hint="eastAsia"/>
                <w:szCs w:val="24"/>
                <w:lang w:eastAsia="zh-Hans"/>
              </w:rPr>
              <w:t>1.142</w:t>
            </w:r>
            <w:r>
              <w:rPr>
                <w:rFonts w:ascii="宋体" w:hAnsi="宋体" w:hint="eastAsia"/>
                <w:szCs w:val="24"/>
                <w:lang w:eastAsia="zh-Hans"/>
              </w:rPr>
              <w:t>8</w:t>
            </w:r>
          </w:p>
        </w:tc>
      </w:tr>
    </w:tbl>
    <w:p w:rsidR="00F30A57" w:rsidRDefault="00F30A57">
      <w:pPr>
        <w:wordWrap w:val="0"/>
        <w:spacing w:line="360" w:lineRule="auto"/>
        <w:jc w:val="left"/>
        <w:divId w:val="27028556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30A57" w:rsidRDefault="00F30A5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F30A57" w:rsidRDefault="00F30A57">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F30A57" w:rsidRDefault="00F30A57">
      <w:pPr>
        <w:spacing w:line="360" w:lineRule="auto"/>
        <w:jc w:val="center"/>
        <w:divId w:val="777800946"/>
        <w:rPr>
          <w:rFonts w:hint="eastAsia"/>
        </w:rPr>
      </w:pPr>
      <w:r>
        <w:rPr>
          <w:rFonts w:ascii="宋体" w:hAnsi="宋体" w:hint="eastAsia"/>
        </w:rPr>
        <w:t>摩根香港精选港股通混合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77780094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②－④</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4.8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-6.0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10.8</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2.3</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0.8</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12.3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15.8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-5.8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21.7</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35.5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10.5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24.9</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-16.9</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-5.9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20.5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-2.2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22.8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77780094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18.7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-4.7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23.5</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0.6</w:t>
            </w:r>
            <w:r>
              <w:rPr>
                <w:rFonts w:ascii="宋体" w:hAnsi="宋体" w:hint="eastAsia"/>
              </w:rPr>
              <w:t>1</w:t>
            </w:r>
            <w:r>
              <w:rPr>
                <w:rFonts w:ascii="宋体" w:hAnsi="宋体" w:hint="eastAsia"/>
              </w:rPr>
              <w:t xml:space="preserve">% </w:t>
            </w:r>
          </w:p>
        </w:tc>
      </w:tr>
    </w:tbl>
    <w:p w:rsidR="00F30A57" w:rsidRDefault="00F30A57">
      <w:pPr>
        <w:spacing w:line="360" w:lineRule="auto"/>
        <w:jc w:val="center"/>
        <w:divId w:val="1462919310"/>
      </w:pPr>
      <w:r>
        <w:rPr>
          <w:rFonts w:ascii="宋体" w:hAnsi="宋体" w:hint="eastAsia"/>
        </w:rPr>
        <w:t>摩根香港精选港股通混合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6291931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462919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4.6</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-6.0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10.7</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462919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1.9</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0.8</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11.9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462919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15.1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-5.8</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0.7</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20.9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462919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30.7</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10.5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20.2</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462919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39.1</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1.6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32.1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30A57" w:rsidRDefault="00F30A57">
            <w:pPr>
              <w:spacing w:line="360" w:lineRule="auto"/>
              <w:jc w:val="right"/>
            </w:pPr>
            <w:r>
              <w:rPr>
                <w:rFonts w:ascii="宋体" w:hAnsi="宋体" w:hint="eastAsia"/>
              </w:rPr>
              <w:t>7.0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r>
    </w:tbl>
    <w:p w:rsidR="00F30A57" w:rsidRDefault="00F30A5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F30A57" w:rsidRDefault="00F30A57">
      <w:pPr>
        <w:spacing w:line="360" w:lineRule="auto"/>
        <w:jc w:val="left"/>
        <w:divId w:val="302319750"/>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30A57" w:rsidRDefault="00F30A57">
      <w:pPr>
        <w:spacing w:line="360" w:lineRule="auto"/>
        <w:jc w:val="left"/>
        <w:divId w:val="213197307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30A57" w:rsidRDefault="00F30A5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F30A57" w:rsidRDefault="00F30A5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F30A57" w:rsidRDefault="00F30A57">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2340156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2340156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pPr>
          </w:p>
        </w:tc>
      </w:tr>
      <w:tr w:rsidR="00000000">
        <w:trPr>
          <w:divId w:val="152340156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bl>
    <w:p w:rsidR="00F30A57" w:rsidRDefault="00F30A57">
      <w:pPr>
        <w:wordWrap w:val="0"/>
        <w:spacing w:line="360" w:lineRule="auto"/>
        <w:jc w:val="left"/>
        <w:divId w:val="219052397"/>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30A57" w:rsidRDefault="00F30A5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F30A57" w:rsidRDefault="00F30A57">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F30A57" w:rsidRDefault="00F30A5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F30A57" w:rsidRDefault="00F30A57">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F30A57" w:rsidRDefault="00F30A5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30A57" w:rsidRDefault="00F30A5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F30A57" w:rsidRDefault="00F30A5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30A57" w:rsidRDefault="00F30A5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cs="宋体" w:hint="eastAsia"/>
          <w:color w:val="000000"/>
          <w:kern w:val="0"/>
        </w:rPr>
        <w:t>回顾</w:t>
      </w: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股市场在经历一季度中东地缘冲突后迎来修复性行情，但结构性</w:t>
      </w:r>
      <w:r>
        <w:rPr>
          <w:rFonts w:ascii="宋体" w:hAnsi="宋体" w:cs="宋体" w:hint="eastAsia"/>
          <w:color w:val="000000"/>
          <w:kern w:val="0"/>
        </w:rPr>
        <w:t>K</w:t>
      </w:r>
      <w:r>
        <w:rPr>
          <w:rFonts w:ascii="宋体" w:hAnsi="宋体" w:cs="宋体" w:hint="eastAsia"/>
          <w:color w:val="000000"/>
          <w:kern w:val="0"/>
        </w:rPr>
        <w:t>型分化极致演绎，港股市场则面临流动性、基本面等诸多问题，表现不佳。宽基指数也分化明显，上证指数上涨</w:t>
      </w:r>
      <w:r>
        <w:rPr>
          <w:rFonts w:ascii="宋体" w:hAnsi="宋体" w:cs="宋体" w:hint="eastAsia"/>
          <w:color w:val="000000"/>
          <w:kern w:val="0"/>
        </w:rPr>
        <w:t>5.2%</w:t>
      </w:r>
      <w:r>
        <w:rPr>
          <w:rFonts w:ascii="宋体" w:hAnsi="宋体" w:cs="宋体" w:hint="eastAsia"/>
          <w:color w:val="000000"/>
          <w:kern w:val="0"/>
        </w:rPr>
        <w:t>，深证成指上涨</w:t>
      </w:r>
      <w:r>
        <w:rPr>
          <w:rFonts w:ascii="宋体" w:hAnsi="宋体" w:cs="宋体" w:hint="eastAsia"/>
          <w:color w:val="000000"/>
          <w:kern w:val="0"/>
        </w:rPr>
        <w:t>20.2%</w:t>
      </w:r>
      <w:r>
        <w:rPr>
          <w:rFonts w:ascii="宋体" w:hAnsi="宋体" w:cs="宋体" w:hint="eastAsia"/>
          <w:color w:val="000000"/>
          <w:kern w:val="0"/>
        </w:rPr>
        <w:t>，香港恒生指数下跌</w:t>
      </w:r>
      <w:r>
        <w:rPr>
          <w:rFonts w:ascii="宋体" w:hAnsi="宋体" w:cs="宋体" w:hint="eastAsia"/>
          <w:color w:val="000000"/>
          <w:kern w:val="0"/>
        </w:rPr>
        <w:t>7.69%</w:t>
      </w:r>
      <w:r>
        <w:rPr>
          <w:rFonts w:ascii="宋体" w:hAnsi="宋体" w:cs="宋体" w:hint="eastAsia"/>
          <w:color w:val="000000"/>
          <w:kern w:val="0"/>
        </w:rPr>
        <w:t>（上半年恒指下跌</w:t>
      </w:r>
      <w:r>
        <w:rPr>
          <w:rFonts w:ascii="宋体" w:hAnsi="宋体" w:cs="宋体" w:hint="eastAsia"/>
          <w:color w:val="000000"/>
          <w:kern w:val="0"/>
        </w:rPr>
        <w:t>10.7%</w:t>
      </w:r>
      <w:r>
        <w:rPr>
          <w:rFonts w:ascii="宋体" w:hAnsi="宋体" w:cs="宋体" w:hint="eastAsia"/>
          <w:color w:val="000000"/>
          <w:kern w:val="0"/>
        </w:rPr>
        <w:t>，恒科下跌</w:t>
      </w:r>
      <w:r>
        <w:rPr>
          <w:rFonts w:ascii="宋体" w:hAnsi="宋体" w:cs="宋体" w:hint="eastAsia"/>
          <w:color w:val="000000"/>
          <w:kern w:val="0"/>
        </w:rPr>
        <w:t>18.9%</w:t>
      </w:r>
      <w:r>
        <w:rPr>
          <w:rFonts w:ascii="宋体" w:hAnsi="宋体" w:cs="宋体" w:hint="eastAsia"/>
          <w:color w:val="000000"/>
          <w:kern w:val="0"/>
        </w:rPr>
        <w:t>）。分板块来看，</w:t>
      </w:r>
      <w:r>
        <w:rPr>
          <w:rFonts w:ascii="宋体" w:hAnsi="宋体" w:cs="宋体" w:hint="eastAsia"/>
          <w:color w:val="000000"/>
          <w:kern w:val="0"/>
        </w:rPr>
        <w:t>A</w:t>
      </w:r>
      <w:r>
        <w:rPr>
          <w:rFonts w:ascii="宋体" w:hAnsi="宋体" w:cs="宋体" w:hint="eastAsia"/>
          <w:color w:val="000000"/>
          <w:kern w:val="0"/>
        </w:rPr>
        <w:t>股科创板、创业板指数表现强势，二季度科创</w:t>
      </w:r>
      <w:r>
        <w:rPr>
          <w:rFonts w:ascii="宋体" w:hAnsi="宋体" w:cs="宋体" w:hint="eastAsia"/>
          <w:color w:val="000000"/>
          <w:kern w:val="0"/>
        </w:rPr>
        <w:t>50</w:t>
      </w:r>
      <w:r>
        <w:rPr>
          <w:rFonts w:ascii="宋体" w:hAnsi="宋体" w:cs="宋体" w:hint="eastAsia"/>
          <w:color w:val="000000"/>
          <w:kern w:val="0"/>
        </w:rPr>
        <w:t>上涨</w:t>
      </w:r>
      <w:r>
        <w:rPr>
          <w:rFonts w:ascii="宋体" w:hAnsi="宋体" w:cs="宋体" w:hint="eastAsia"/>
          <w:color w:val="000000"/>
          <w:kern w:val="0"/>
        </w:rPr>
        <w:t>75.7%</w:t>
      </w:r>
      <w:r>
        <w:rPr>
          <w:rFonts w:ascii="宋体" w:hAnsi="宋体" w:cs="宋体" w:hint="eastAsia"/>
          <w:color w:val="000000"/>
          <w:kern w:val="0"/>
        </w:rPr>
        <w:t>，创业板指上涨</w:t>
      </w:r>
      <w:r>
        <w:rPr>
          <w:rFonts w:ascii="宋体" w:hAnsi="宋体" w:cs="宋体" w:hint="eastAsia"/>
          <w:color w:val="000000"/>
          <w:kern w:val="0"/>
        </w:rPr>
        <w:t>36.4%</w:t>
      </w:r>
      <w:r>
        <w:rPr>
          <w:rFonts w:ascii="宋体" w:hAnsi="宋体" w:cs="宋体" w:hint="eastAsia"/>
          <w:color w:val="000000"/>
          <w:kern w:val="0"/>
        </w:rPr>
        <w:t>，北证</w:t>
      </w:r>
      <w:r>
        <w:rPr>
          <w:rFonts w:ascii="宋体" w:hAnsi="宋体" w:cs="宋体" w:hint="eastAsia"/>
          <w:color w:val="000000"/>
          <w:kern w:val="0"/>
        </w:rPr>
        <w:t>50</w:t>
      </w:r>
      <w:r>
        <w:rPr>
          <w:rFonts w:ascii="宋体" w:hAnsi="宋体" w:cs="宋体" w:hint="eastAsia"/>
          <w:color w:val="000000"/>
          <w:kern w:val="0"/>
        </w:rPr>
        <w:t>上涨仅</w:t>
      </w:r>
      <w:r>
        <w:rPr>
          <w:rFonts w:ascii="宋体" w:hAnsi="宋体" w:cs="宋体" w:hint="eastAsia"/>
          <w:color w:val="000000"/>
          <w:kern w:val="0"/>
        </w:rPr>
        <w:t>0.23%</w:t>
      </w:r>
      <w:r>
        <w:rPr>
          <w:rFonts w:ascii="宋体" w:hAnsi="宋体" w:cs="宋体" w:hint="eastAsia"/>
          <w:color w:val="000000"/>
          <w:kern w:val="0"/>
        </w:rPr>
        <w:t>。中证新能指数下跌</w:t>
      </w:r>
      <w:r>
        <w:rPr>
          <w:rFonts w:ascii="宋体" w:hAnsi="宋体" w:cs="宋体" w:hint="eastAsia"/>
          <w:color w:val="000000"/>
          <w:kern w:val="0"/>
        </w:rPr>
        <w:t>0.71%</w:t>
      </w:r>
      <w:r>
        <w:rPr>
          <w:rFonts w:ascii="宋体" w:hAnsi="宋体" w:cs="宋体" w:hint="eastAsia"/>
          <w:color w:val="000000"/>
          <w:kern w:val="0"/>
        </w:rPr>
        <w:t>，红利指数下跌</w:t>
      </w:r>
      <w:r>
        <w:rPr>
          <w:rFonts w:ascii="宋体" w:hAnsi="宋体" w:cs="宋体" w:hint="eastAsia"/>
          <w:color w:val="000000"/>
          <w:kern w:val="0"/>
        </w:rPr>
        <w:t>11.9%</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行业板块也是极致分化，二季度仅</w:t>
      </w:r>
      <w:r>
        <w:rPr>
          <w:rFonts w:ascii="宋体" w:hAnsi="宋体" w:cs="宋体" w:hint="eastAsia"/>
          <w:color w:val="000000"/>
          <w:kern w:val="0"/>
        </w:rPr>
        <w:t>6</w:t>
      </w:r>
      <w:r>
        <w:rPr>
          <w:rFonts w:ascii="宋体" w:hAnsi="宋体" w:cs="宋体" w:hint="eastAsia"/>
          <w:color w:val="000000"/>
          <w:kern w:val="0"/>
        </w:rPr>
        <w:t>个行业取得正收益，上涨股票占比仅约三成。涨幅前三的行业（申万一级行业分类）为电子（</w:t>
      </w:r>
      <w:r>
        <w:rPr>
          <w:rFonts w:ascii="宋体" w:hAnsi="宋体" w:cs="宋体" w:hint="eastAsia"/>
          <w:color w:val="000000"/>
          <w:kern w:val="0"/>
        </w:rPr>
        <w:t>+90.9%</w:t>
      </w:r>
      <w:r>
        <w:rPr>
          <w:rFonts w:ascii="宋体" w:hAnsi="宋体" w:cs="宋体" w:hint="eastAsia"/>
          <w:color w:val="000000"/>
          <w:kern w:val="0"/>
        </w:rPr>
        <w:t>）、通信（</w:t>
      </w:r>
      <w:r>
        <w:rPr>
          <w:rFonts w:ascii="宋体" w:hAnsi="宋体" w:cs="宋体" w:hint="eastAsia"/>
          <w:color w:val="000000"/>
          <w:kern w:val="0"/>
        </w:rPr>
        <w:t>+63.8%</w:t>
      </w:r>
      <w:r>
        <w:rPr>
          <w:rFonts w:ascii="宋体" w:hAnsi="宋体" w:cs="宋体" w:hint="eastAsia"/>
          <w:color w:val="000000"/>
          <w:kern w:val="0"/>
        </w:rPr>
        <w:t>）、建筑材料（</w:t>
      </w:r>
      <w:r>
        <w:rPr>
          <w:rFonts w:ascii="宋体" w:hAnsi="宋体" w:cs="宋体" w:hint="eastAsia"/>
          <w:color w:val="000000"/>
          <w:kern w:val="0"/>
        </w:rPr>
        <w:t>+35.2%</w:t>
      </w:r>
      <w:r>
        <w:rPr>
          <w:rFonts w:ascii="宋体" w:hAnsi="宋体" w:cs="宋体" w:hint="eastAsia"/>
          <w:color w:val="000000"/>
          <w:kern w:val="0"/>
        </w:rPr>
        <w:t>），表现最差的三个行业为石油石化（</w:t>
      </w:r>
      <w:r>
        <w:rPr>
          <w:rFonts w:ascii="宋体" w:hAnsi="宋体" w:cs="宋体" w:hint="eastAsia"/>
          <w:color w:val="000000"/>
          <w:kern w:val="0"/>
        </w:rPr>
        <w:t>-22.2%</w:t>
      </w:r>
      <w:r>
        <w:rPr>
          <w:rFonts w:ascii="宋体" w:hAnsi="宋体" w:cs="宋体" w:hint="eastAsia"/>
          <w:color w:val="000000"/>
          <w:kern w:val="0"/>
        </w:rPr>
        <w:t>）、农林牧渔（</w:t>
      </w:r>
      <w:r>
        <w:rPr>
          <w:rFonts w:ascii="宋体" w:hAnsi="宋体" w:cs="宋体" w:hint="eastAsia"/>
          <w:color w:val="000000"/>
          <w:kern w:val="0"/>
        </w:rPr>
        <w:t>-20.19%</w:t>
      </w:r>
      <w:r>
        <w:rPr>
          <w:rFonts w:ascii="宋体" w:hAnsi="宋体" w:cs="宋体" w:hint="eastAsia"/>
          <w:color w:val="000000"/>
          <w:kern w:val="0"/>
        </w:rPr>
        <w:t>）、钢铁（</w:t>
      </w:r>
      <w:r>
        <w:rPr>
          <w:rFonts w:ascii="宋体" w:hAnsi="宋体" w:cs="宋体" w:hint="eastAsia"/>
          <w:color w:val="000000"/>
          <w:kern w:val="0"/>
        </w:rPr>
        <w:t>-18.6%</w:t>
      </w:r>
      <w:r>
        <w:rPr>
          <w:rFonts w:ascii="宋体" w:hAnsi="宋体" w:cs="宋体" w:hint="eastAsia"/>
          <w:color w:val="000000"/>
          <w:kern w:val="0"/>
        </w:rPr>
        <w:t>）。其中电力设备板块上涨</w:t>
      </w:r>
      <w:r>
        <w:rPr>
          <w:rFonts w:ascii="宋体" w:hAnsi="宋体" w:cs="宋体" w:hint="eastAsia"/>
          <w:color w:val="000000"/>
          <w:kern w:val="0"/>
        </w:rPr>
        <w:t>0.46%</w:t>
      </w:r>
      <w:r>
        <w:rPr>
          <w:rFonts w:ascii="宋体" w:hAnsi="宋体" w:cs="宋体" w:hint="eastAsia"/>
          <w:color w:val="000000"/>
          <w:kern w:val="0"/>
        </w:rPr>
        <w:t>，排名第六。全市场都在围绕着</w:t>
      </w:r>
      <w:r>
        <w:rPr>
          <w:rFonts w:ascii="宋体" w:hAnsi="宋体" w:cs="宋体" w:hint="eastAsia"/>
          <w:color w:val="000000"/>
          <w:kern w:val="0"/>
        </w:rPr>
        <w:t>AI</w:t>
      </w:r>
      <w:r>
        <w:rPr>
          <w:rFonts w:ascii="宋体" w:hAnsi="宋体" w:cs="宋体" w:hint="eastAsia"/>
          <w:color w:val="000000"/>
          <w:kern w:val="0"/>
        </w:rPr>
        <w:t>资本开支方向交易，尤其涨价链受到了极大关注。港股二季度</w:t>
      </w:r>
      <w:r>
        <w:rPr>
          <w:rFonts w:ascii="宋体" w:hAnsi="宋体" w:cs="宋体" w:hint="eastAsia"/>
          <w:color w:val="000000"/>
          <w:kern w:val="0"/>
        </w:rPr>
        <w:t>30</w:t>
      </w:r>
      <w:r>
        <w:rPr>
          <w:rFonts w:ascii="宋体" w:hAnsi="宋体" w:cs="宋体" w:hint="eastAsia"/>
          <w:color w:val="000000"/>
          <w:kern w:val="0"/>
        </w:rPr>
        <w:t>个行业（中信港股通指数）中仅</w:t>
      </w:r>
      <w:r>
        <w:rPr>
          <w:rFonts w:ascii="宋体" w:hAnsi="宋体" w:cs="宋体" w:hint="eastAsia"/>
          <w:color w:val="000000"/>
          <w:kern w:val="0"/>
        </w:rPr>
        <w:t>5</w:t>
      </w:r>
      <w:r>
        <w:rPr>
          <w:rFonts w:ascii="宋体" w:hAnsi="宋体" w:cs="宋体" w:hint="eastAsia"/>
          <w:color w:val="000000"/>
          <w:kern w:val="0"/>
        </w:rPr>
        <w:t>个行业正收益，涨幅前三的行业为电子（</w:t>
      </w:r>
      <w:r>
        <w:rPr>
          <w:rFonts w:ascii="宋体" w:hAnsi="宋体" w:cs="宋体" w:hint="eastAsia"/>
          <w:color w:val="000000"/>
          <w:kern w:val="0"/>
        </w:rPr>
        <w:t>+37.9%</w:t>
      </w:r>
      <w:r>
        <w:rPr>
          <w:rFonts w:ascii="宋体" w:hAnsi="宋体" w:cs="宋体" w:hint="eastAsia"/>
          <w:color w:val="000000"/>
          <w:kern w:val="0"/>
        </w:rPr>
        <w:t>）、计算机（</w:t>
      </w:r>
      <w:r>
        <w:rPr>
          <w:rFonts w:ascii="宋体" w:hAnsi="宋体" w:cs="宋体" w:hint="eastAsia"/>
          <w:color w:val="000000"/>
          <w:kern w:val="0"/>
        </w:rPr>
        <w:t>+5.1%</w:t>
      </w:r>
      <w:r>
        <w:rPr>
          <w:rFonts w:ascii="宋体" w:hAnsi="宋体" w:cs="宋体" w:hint="eastAsia"/>
          <w:color w:val="000000"/>
          <w:kern w:val="0"/>
        </w:rPr>
        <w:t>）和银行（</w:t>
      </w:r>
      <w:r>
        <w:rPr>
          <w:rFonts w:ascii="宋体" w:hAnsi="宋体" w:cs="宋体" w:hint="eastAsia"/>
          <w:color w:val="000000"/>
          <w:kern w:val="0"/>
        </w:rPr>
        <w:t>+4.4%</w:t>
      </w:r>
      <w:r>
        <w:rPr>
          <w:rFonts w:ascii="宋体" w:hAnsi="宋体" w:cs="宋体" w:hint="eastAsia"/>
          <w:color w:val="000000"/>
          <w:kern w:val="0"/>
        </w:rPr>
        <w:t>），跌幅前三的行业为综合（</w:t>
      </w:r>
      <w:r>
        <w:rPr>
          <w:rFonts w:ascii="宋体" w:hAnsi="宋体" w:cs="宋体" w:hint="eastAsia"/>
          <w:color w:val="000000"/>
          <w:kern w:val="0"/>
        </w:rPr>
        <w:t>-41.9%</w:t>
      </w:r>
      <w:r>
        <w:rPr>
          <w:rFonts w:ascii="宋体" w:hAnsi="宋体" w:cs="宋体" w:hint="eastAsia"/>
          <w:color w:val="000000"/>
          <w:kern w:val="0"/>
        </w:rPr>
        <w:t>）、有色金属（</w:t>
      </w:r>
      <w:r>
        <w:rPr>
          <w:rFonts w:ascii="宋体" w:hAnsi="宋体" w:cs="宋体" w:hint="eastAsia"/>
          <w:color w:val="000000"/>
          <w:kern w:val="0"/>
        </w:rPr>
        <w:t>-28.4%</w:t>
      </w:r>
      <w:r>
        <w:rPr>
          <w:rFonts w:ascii="宋体" w:hAnsi="宋体" w:cs="宋体" w:hint="eastAsia"/>
          <w:color w:val="000000"/>
          <w:kern w:val="0"/>
        </w:rPr>
        <w:t>）和石油石化（</w:t>
      </w:r>
      <w:r>
        <w:rPr>
          <w:rFonts w:ascii="宋体" w:hAnsi="宋体" w:cs="宋体" w:hint="eastAsia"/>
          <w:color w:val="000000"/>
          <w:kern w:val="0"/>
        </w:rPr>
        <w:t>-25.4%</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月中下旬中东局势升级、美联储主席提名鹰派人物，深刻扰动了全球流动性预期，全球避险情绪浓厚、风险资产回调，美股投资也转向</w:t>
      </w:r>
      <w:r>
        <w:rPr>
          <w:rFonts w:ascii="宋体" w:hAnsi="宋体" w:cs="宋体" w:hint="eastAsia"/>
          <w:color w:val="000000"/>
          <w:kern w:val="0"/>
        </w:rPr>
        <w:t>HALO</w:t>
      </w:r>
      <w:r>
        <w:rPr>
          <w:rFonts w:ascii="宋体" w:hAnsi="宋体" w:cs="宋体" w:hint="eastAsia"/>
          <w:color w:val="000000"/>
          <w:kern w:val="0"/>
        </w:rPr>
        <w:t>策略（</w:t>
      </w:r>
      <w:r>
        <w:rPr>
          <w:rFonts w:ascii="宋体" w:hAnsi="宋体" w:cs="宋体" w:hint="eastAsia"/>
          <w:color w:val="000000"/>
          <w:kern w:val="0"/>
        </w:rPr>
        <w:t>Heavy Assets</w:t>
      </w:r>
      <w:r>
        <w:rPr>
          <w:rFonts w:ascii="宋体" w:hAnsi="宋体" w:cs="宋体" w:hint="eastAsia"/>
          <w:color w:val="000000"/>
          <w:kern w:val="0"/>
        </w:rPr>
        <w:t>，</w:t>
      </w:r>
      <w:r>
        <w:rPr>
          <w:rFonts w:ascii="宋体" w:hAnsi="宋体" w:cs="宋体" w:hint="eastAsia"/>
          <w:color w:val="000000"/>
          <w:kern w:val="0"/>
        </w:rPr>
        <w:t>Low Obsolescence</w:t>
      </w:r>
      <w:r>
        <w:rPr>
          <w:rFonts w:ascii="宋体" w:hAnsi="宋体" w:cs="宋体" w:hint="eastAsia"/>
          <w:color w:val="000000"/>
          <w:kern w:val="0"/>
        </w:rPr>
        <w:t>）。</w:t>
      </w:r>
      <w:r>
        <w:rPr>
          <w:rFonts w:ascii="宋体" w:hAnsi="宋体" w:cs="宋体" w:hint="eastAsia"/>
          <w:color w:val="000000"/>
          <w:kern w:val="0"/>
        </w:rPr>
        <w:t>4</w:t>
      </w:r>
      <w:r>
        <w:rPr>
          <w:rFonts w:ascii="宋体" w:hAnsi="宋体" w:cs="宋体" w:hint="eastAsia"/>
          <w:color w:val="000000"/>
          <w:kern w:val="0"/>
        </w:rPr>
        <w:t>月</w:t>
      </w:r>
      <w:r>
        <w:rPr>
          <w:rFonts w:ascii="宋体" w:hAnsi="宋体" w:cs="宋体" w:hint="eastAsia"/>
          <w:color w:val="000000"/>
          <w:kern w:val="0"/>
        </w:rPr>
        <w:t>7</w:t>
      </w:r>
      <w:r>
        <w:rPr>
          <w:rFonts w:ascii="宋体" w:hAnsi="宋体" w:cs="宋体" w:hint="eastAsia"/>
          <w:color w:val="000000"/>
          <w:kern w:val="0"/>
        </w:rPr>
        <w:t>日美伊达成临时协议后，全球风险资产迎来修复，</w:t>
      </w:r>
      <w:r>
        <w:rPr>
          <w:rFonts w:ascii="宋体" w:hAnsi="宋体" w:cs="宋体" w:hint="eastAsia"/>
          <w:color w:val="000000"/>
          <w:kern w:val="0"/>
        </w:rPr>
        <w:t>CPO</w:t>
      </w:r>
      <w:r>
        <w:rPr>
          <w:rFonts w:ascii="宋体" w:hAnsi="宋体" w:cs="宋体" w:hint="eastAsia"/>
          <w:color w:val="000000"/>
          <w:kern w:val="0"/>
        </w:rPr>
        <w:t>、</w:t>
      </w:r>
      <w:r>
        <w:rPr>
          <w:rFonts w:ascii="宋体" w:hAnsi="宋体" w:cs="宋体" w:hint="eastAsia"/>
          <w:color w:val="000000"/>
          <w:kern w:val="0"/>
        </w:rPr>
        <w:t>PCB</w:t>
      </w:r>
      <w:r>
        <w:rPr>
          <w:rFonts w:ascii="宋体" w:hAnsi="宋体" w:cs="宋体" w:hint="eastAsia"/>
          <w:color w:val="000000"/>
          <w:kern w:val="0"/>
        </w:rPr>
        <w:t>、</w:t>
      </w:r>
      <w:r>
        <w:rPr>
          <w:rFonts w:ascii="宋体" w:hAnsi="宋体" w:cs="宋体" w:hint="eastAsia"/>
          <w:color w:val="000000"/>
          <w:kern w:val="0"/>
        </w:rPr>
        <w:t>MLCC</w:t>
      </w:r>
      <w:r>
        <w:rPr>
          <w:rFonts w:ascii="宋体" w:hAnsi="宋体" w:cs="宋体" w:hint="eastAsia"/>
          <w:color w:val="000000"/>
          <w:kern w:val="0"/>
        </w:rPr>
        <w:t>、存储芯片等</w:t>
      </w:r>
      <w:r>
        <w:rPr>
          <w:rFonts w:ascii="宋体" w:hAnsi="宋体" w:cs="宋体" w:hint="eastAsia"/>
          <w:color w:val="000000"/>
          <w:kern w:val="0"/>
        </w:rPr>
        <w:t>AI</w:t>
      </w:r>
      <w:r>
        <w:rPr>
          <w:rFonts w:ascii="宋体" w:hAnsi="宋体" w:cs="宋体" w:hint="eastAsia"/>
          <w:color w:val="000000"/>
          <w:kern w:val="0"/>
        </w:rPr>
        <w:t>硬件细分领域在</w:t>
      </w:r>
      <w:r>
        <w:rPr>
          <w:rFonts w:ascii="宋体" w:hAnsi="宋体" w:cs="宋体" w:hint="eastAsia"/>
          <w:color w:val="000000"/>
          <w:kern w:val="0"/>
        </w:rPr>
        <w:t>CSP</w:t>
      </w:r>
      <w:r>
        <w:rPr>
          <w:rFonts w:ascii="宋体" w:hAnsi="宋体" w:cs="宋体" w:hint="eastAsia"/>
          <w:color w:val="000000"/>
          <w:kern w:val="0"/>
        </w:rPr>
        <w:t>大厂资本开支持续攀升叙事驱动下连续创出历史新高，与此形成鲜明对比的是，商贸零售、食品饮料等消费板块、汽车、地产等传统行业跌幅明显。随着美联储降息预期反复摇摆、美元指数阶段性走强，港股在二季度承受了较大的估值压力。</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AH</w:t>
      </w:r>
      <w:r>
        <w:rPr>
          <w:rFonts w:ascii="宋体" w:hAnsi="宋体" w:cs="宋体" w:hint="eastAsia"/>
          <w:color w:val="000000"/>
          <w:kern w:val="0"/>
        </w:rPr>
        <w:t>市场及行业配置上，本基金二季度整体降低了港股仓位，行业上总体相对均衡，但更偏向于投资港股市场中具备稀缺性的新经济标的，主要降低了之前超配的有色、汽车（机器人）、轻工等板块，加仓了受益</w:t>
      </w:r>
      <w:r>
        <w:rPr>
          <w:rFonts w:ascii="宋体" w:hAnsi="宋体" w:cs="宋体" w:hint="eastAsia"/>
          <w:color w:val="000000"/>
          <w:kern w:val="0"/>
        </w:rPr>
        <w:t>CSP</w:t>
      </w:r>
      <w:r>
        <w:rPr>
          <w:rFonts w:ascii="宋体" w:hAnsi="宋体" w:cs="宋体" w:hint="eastAsia"/>
          <w:color w:val="000000"/>
          <w:kern w:val="0"/>
        </w:rPr>
        <w:t>大厂资本开支扩张的</w:t>
      </w:r>
      <w:r>
        <w:rPr>
          <w:rFonts w:ascii="宋体" w:hAnsi="宋体" w:cs="宋体" w:hint="eastAsia"/>
          <w:color w:val="000000"/>
          <w:kern w:val="0"/>
        </w:rPr>
        <w:t>AI</w:t>
      </w:r>
      <w:r>
        <w:rPr>
          <w:rFonts w:ascii="宋体" w:hAnsi="宋体" w:cs="宋体" w:hint="eastAsia"/>
          <w:color w:val="000000"/>
          <w:kern w:val="0"/>
        </w:rPr>
        <w:t>硬件相关板块，以及优化了地缘冲突及</w:t>
      </w:r>
      <w:r>
        <w:rPr>
          <w:rFonts w:ascii="宋体" w:hAnsi="宋体" w:cs="宋体" w:hint="eastAsia"/>
          <w:color w:val="000000"/>
          <w:kern w:val="0"/>
        </w:rPr>
        <w:t>AI</w:t>
      </w:r>
      <w:r>
        <w:rPr>
          <w:rFonts w:ascii="宋体" w:hAnsi="宋体" w:cs="宋体" w:hint="eastAsia"/>
          <w:color w:val="000000"/>
          <w:kern w:val="0"/>
        </w:rPr>
        <w:t>建设双重受益的电力设备新能源板块的结构，增配了上游资源。继续低配银行、商贸零售、非银等板块。</w:t>
      </w:r>
      <w:r>
        <w:rPr>
          <w:rFonts w:ascii="宋体" w:hAnsi="宋体" w:cs="宋体" w:hint="eastAsia"/>
          <w:color w:val="000000"/>
          <w:kern w:val="0"/>
        </w:rPr>
        <w:br/>
      </w:r>
      <w:r>
        <w:rPr>
          <w:rFonts w:ascii="宋体" w:hAnsi="宋体" w:cs="宋体" w:hint="eastAsia"/>
          <w:color w:val="000000"/>
          <w:kern w:val="0"/>
        </w:rPr>
        <w:t xml:space="preserve">　　展望后市，国内外复杂多变的宏观环境在</w:t>
      </w:r>
      <w:r>
        <w:rPr>
          <w:rFonts w:ascii="宋体" w:hAnsi="宋体" w:cs="宋体" w:hint="eastAsia"/>
          <w:color w:val="000000"/>
          <w:kern w:val="0"/>
        </w:rPr>
        <w:t>2026</w:t>
      </w:r>
      <w:r>
        <w:rPr>
          <w:rFonts w:ascii="宋体" w:hAnsi="宋体" w:cs="宋体" w:hint="eastAsia"/>
          <w:color w:val="000000"/>
          <w:kern w:val="0"/>
        </w:rPr>
        <w:t>年并未明显改善，中东局势的反复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w:t>
      </w:r>
      <w:r>
        <w:rPr>
          <w:rFonts w:ascii="宋体" w:hAnsi="宋体" w:cs="宋体" w:hint="eastAsia"/>
          <w:color w:val="000000"/>
          <w:kern w:val="0"/>
        </w:rPr>
        <w:t>2026</w:t>
      </w:r>
      <w:r>
        <w:rPr>
          <w:rFonts w:ascii="宋体" w:hAnsi="宋体" w:cs="宋体" w:hint="eastAsia"/>
          <w:color w:val="000000"/>
          <w:kern w:val="0"/>
        </w:rPr>
        <w:t>年下半年市场持乐观态度。</w:t>
      </w:r>
      <w:r>
        <w:rPr>
          <w:rFonts w:ascii="宋体" w:hAnsi="宋体" w:cs="宋体" w:hint="eastAsia"/>
          <w:color w:val="000000"/>
          <w:kern w:val="0"/>
        </w:rPr>
        <w:br/>
      </w:r>
      <w:r>
        <w:rPr>
          <w:rFonts w:ascii="宋体" w:hAnsi="宋体" w:cs="宋体" w:hint="eastAsia"/>
          <w:color w:val="000000"/>
          <w:kern w:val="0"/>
        </w:rPr>
        <w:t xml:space="preserve">　　行业层面，</w:t>
      </w:r>
      <w:r>
        <w:rPr>
          <w:rFonts w:ascii="宋体" w:hAnsi="宋体" w:cs="宋体" w:hint="eastAsia"/>
          <w:color w:val="000000"/>
          <w:kern w:val="0"/>
        </w:rPr>
        <w:t>2026</w:t>
      </w:r>
      <w:r>
        <w:rPr>
          <w:rFonts w:ascii="宋体" w:hAnsi="宋体" w:cs="宋体" w:hint="eastAsia"/>
          <w:color w:val="000000"/>
          <w:kern w:val="0"/>
        </w:rPr>
        <w:t>年下半年我们将继续重点关注资本开支驱动的</w:t>
      </w:r>
      <w:r>
        <w:rPr>
          <w:rFonts w:ascii="宋体" w:hAnsi="宋体" w:cs="宋体" w:hint="eastAsia"/>
          <w:color w:val="000000"/>
          <w:kern w:val="0"/>
        </w:rPr>
        <w:t>AI</w:t>
      </w:r>
      <w:r>
        <w:rPr>
          <w:rFonts w:ascii="宋体" w:hAnsi="宋体" w:cs="宋体" w:hint="eastAsia"/>
          <w:color w:val="000000"/>
          <w:kern w:val="0"/>
        </w:rPr>
        <w:t>硬件、储能带动的锂电产业链以及制造业出海等投资机会。市场阶段性的极致分化大概率不具备持续性，但</w:t>
      </w:r>
      <w:r>
        <w:rPr>
          <w:rFonts w:ascii="宋体" w:hAnsi="宋体" w:cs="宋体" w:hint="eastAsia"/>
          <w:color w:val="000000"/>
          <w:kern w:val="0"/>
        </w:rPr>
        <w:t>AI</w:t>
      </w:r>
      <w:r>
        <w:rPr>
          <w:rFonts w:ascii="宋体" w:hAnsi="宋体" w:cs="宋体" w:hint="eastAsia"/>
          <w:color w:val="000000"/>
          <w:kern w:val="0"/>
        </w:rPr>
        <w:t>的宏大叙事短期依然无法证伪。对于市场关注的</w:t>
      </w:r>
      <w:r>
        <w:rPr>
          <w:rFonts w:ascii="宋体" w:hAnsi="宋体" w:cs="宋体" w:hint="eastAsia"/>
          <w:color w:val="000000"/>
          <w:kern w:val="0"/>
        </w:rPr>
        <w:t>AI</w:t>
      </w:r>
      <w:r>
        <w:rPr>
          <w:rFonts w:ascii="宋体" w:hAnsi="宋体" w:cs="宋体" w:hint="eastAsia"/>
          <w:color w:val="000000"/>
          <w:kern w:val="0"/>
        </w:rPr>
        <w:t>资本开支可持续性问题，我们认为技术革命的演进速度常超出线性预测，应紧密跟踪用户增长、产品迭代等具体指标。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w:t>
      </w:r>
      <w:r>
        <w:rPr>
          <w:rFonts w:ascii="宋体" w:hAnsi="宋体" w:cs="宋体" w:hint="eastAsia"/>
          <w:color w:val="000000"/>
          <w:kern w:val="0"/>
        </w:rPr>
        <w:t>AI</w:t>
      </w:r>
      <w:r>
        <w:rPr>
          <w:rFonts w:ascii="宋体" w:hAnsi="宋体" w:cs="宋体" w:hint="eastAsia"/>
          <w:color w:val="000000"/>
          <w:kern w:val="0"/>
        </w:rPr>
        <w:t>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cs="宋体" w:hint="eastAsia"/>
          <w:color w:val="000000"/>
          <w:kern w:val="0"/>
        </w:rPr>
        <w:br/>
      </w:r>
      <w:r>
        <w:rPr>
          <w:rFonts w:ascii="宋体" w:hAnsi="宋体" w:cs="宋体" w:hint="eastAsia"/>
          <w:color w:val="000000"/>
          <w:kern w:val="0"/>
        </w:rPr>
        <w:t xml:space="preserve">　　上半年在</w:t>
      </w:r>
      <w:r>
        <w:rPr>
          <w:rFonts w:ascii="宋体" w:hAnsi="宋体" w:cs="宋体" w:hint="eastAsia"/>
          <w:color w:val="000000"/>
          <w:kern w:val="0"/>
        </w:rPr>
        <w:t>AI</w:t>
      </w:r>
      <w:r>
        <w:rPr>
          <w:rFonts w:ascii="宋体" w:hAnsi="宋体" w:cs="宋体" w:hint="eastAsia"/>
          <w:color w:val="000000"/>
          <w:kern w:val="0"/>
        </w:rPr>
        <w:t>硬件行情极致分化的背景下，新能源、创新药等基本面改善的行业和公司股价并没有很好的表现，我们相信下半年市场风格会迎来再平衡的过程。</w:t>
      </w:r>
      <w:r>
        <w:rPr>
          <w:rFonts w:ascii="宋体" w:hAnsi="宋体" w:cs="宋体" w:hint="eastAsia"/>
          <w:color w:val="000000"/>
          <w:kern w:val="0"/>
        </w:rPr>
        <w:br/>
      </w:r>
      <w:r>
        <w:rPr>
          <w:rFonts w:ascii="宋体" w:hAnsi="宋体" w:cs="宋体" w:hint="eastAsia"/>
          <w:color w:val="000000"/>
          <w:kern w:val="0"/>
        </w:rPr>
        <w:t xml:space="preserve">　　此外，越来越多的具备全球竞争力的中国制造业或科技公司或将赴港上市，这将极大程度上优化港股上市公司行业结构，预计未来也将吸引更多国际资金投资中国优质公司。</w:t>
      </w:r>
      <w:r>
        <w:rPr>
          <w:rFonts w:ascii="宋体" w:hAnsi="宋体" w:cs="宋体" w:hint="eastAsia"/>
          <w:color w:val="000000"/>
          <w:kern w:val="0"/>
        </w:rPr>
        <w:br/>
      </w:r>
      <w:r>
        <w:rPr>
          <w:rFonts w:ascii="宋体" w:hAnsi="宋体" w:cs="宋体" w:hint="eastAsia"/>
          <w:color w:val="000000"/>
          <w:kern w:val="0"/>
        </w:rPr>
        <w:t xml:space="preserve">　　我们始终相信真正有成长性的行业和公司可以穿越周期，我们将始终坚持从中长期视角来配置主要投资标的，同时紧密跟踪和关注宏观政策（尤其是流动性变化）、国际环境的变化，适度动态调整组合，力争为基金持有人创造持续稳定收益</w:t>
      </w:r>
      <w:r>
        <w:rPr>
          <w:rFonts w:ascii="宋体" w:hAnsi="宋体" w:cs="宋体" w:hint="eastAsia"/>
          <w:color w:val="000000"/>
          <w:kern w:val="0"/>
        </w:rPr>
        <w:t>。</w:t>
      </w:r>
    </w:p>
    <w:p w:rsidR="00F30A57" w:rsidRDefault="00F30A5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F30A57" w:rsidRDefault="00F30A57">
      <w:pPr>
        <w:spacing w:line="360" w:lineRule="auto"/>
        <w:ind w:firstLineChars="200" w:firstLine="420"/>
        <w:rPr>
          <w:rFonts w:hint="eastAsia"/>
        </w:rPr>
      </w:pPr>
      <w:r>
        <w:rPr>
          <w:rFonts w:ascii="宋体" w:hAnsi="宋体" w:hint="eastAsia"/>
        </w:rPr>
        <w:t>本报告期摩根香港精选港股通混合</w:t>
      </w:r>
      <w:r>
        <w:rPr>
          <w:rFonts w:ascii="宋体" w:hAnsi="宋体" w:hint="eastAsia"/>
        </w:rPr>
        <w:t>A</w:t>
      </w:r>
      <w:r>
        <w:rPr>
          <w:rFonts w:ascii="宋体" w:hAnsi="宋体" w:hint="eastAsia"/>
        </w:rPr>
        <w:t>份额净值增长率为：</w:t>
      </w:r>
      <w:r>
        <w:rPr>
          <w:rFonts w:ascii="宋体" w:hAnsi="宋体" w:hint="eastAsia"/>
        </w:rPr>
        <w:t>4.80%</w:t>
      </w:r>
      <w:r>
        <w:rPr>
          <w:rFonts w:ascii="宋体" w:hAnsi="宋体" w:hint="eastAsia"/>
        </w:rPr>
        <w:t>，同期业绩比较基准收益率为：</w:t>
      </w:r>
      <w:r>
        <w:rPr>
          <w:rFonts w:ascii="宋体" w:hAnsi="宋体" w:hint="eastAsia"/>
        </w:rPr>
        <w:t>-6.09%</w:t>
      </w:r>
      <w:r>
        <w:rPr>
          <w:rFonts w:ascii="宋体" w:hAnsi="宋体" w:hint="eastAsia"/>
        </w:rPr>
        <w:t>；</w:t>
      </w:r>
      <w:r>
        <w:rPr>
          <w:rFonts w:ascii="宋体" w:hAnsi="宋体" w:hint="eastAsia"/>
        </w:rPr>
        <w:br/>
      </w:r>
      <w:r>
        <w:rPr>
          <w:rFonts w:ascii="宋体" w:hAnsi="宋体" w:hint="eastAsia"/>
        </w:rPr>
        <w:t xml:space="preserve">　　摩根香港精选港股通混合</w:t>
      </w:r>
      <w:r>
        <w:rPr>
          <w:rFonts w:ascii="宋体" w:hAnsi="宋体" w:hint="eastAsia"/>
        </w:rPr>
        <w:t>C</w:t>
      </w:r>
      <w:r>
        <w:rPr>
          <w:rFonts w:ascii="宋体" w:hAnsi="宋体" w:hint="eastAsia"/>
        </w:rPr>
        <w:t>份额净值增长率为：</w:t>
      </w:r>
      <w:r>
        <w:rPr>
          <w:rFonts w:ascii="宋体" w:hAnsi="宋体" w:hint="eastAsia"/>
        </w:rPr>
        <w:t>4.66%</w:t>
      </w:r>
      <w:r>
        <w:rPr>
          <w:rFonts w:ascii="宋体" w:hAnsi="宋体" w:hint="eastAsia"/>
        </w:rPr>
        <w:t>，同期业绩比较基准收益率为：</w:t>
      </w:r>
      <w:r>
        <w:rPr>
          <w:rFonts w:ascii="宋体" w:hAnsi="宋体" w:hint="eastAsia"/>
        </w:rPr>
        <w:t>-6.09%</w:t>
      </w:r>
      <w:r>
        <w:rPr>
          <w:rFonts w:ascii="宋体" w:hAnsi="宋体" w:hint="eastAsia"/>
        </w:rPr>
        <w:t>。</w:t>
      </w:r>
    </w:p>
    <w:p w:rsidR="00F30A57" w:rsidRDefault="00F30A5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30A57" w:rsidRDefault="00F30A5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F30A57" w:rsidRDefault="00F30A57">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57,070,701.8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80.4</w:t>
            </w:r>
            <w:r>
              <w:rPr>
                <w:rFonts w:ascii="宋体" w:hAnsi="宋体" w:hint="eastAsia"/>
                <w:szCs w:val="24"/>
                <w:lang w:eastAsia="zh-Hans"/>
              </w:rPr>
              <w:t>2</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57,070,701.8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80.4</w:t>
            </w:r>
            <w:r>
              <w:rPr>
                <w:rFonts w:ascii="宋体" w:hAnsi="宋体" w:hint="eastAsia"/>
                <w:szCs w:val="24"/>
                <w:lang w:eastAsia="zh-Hans"/>
              </w:rPr>
              <w:t>2</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13,450,742.6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18.9</w:t>
            </w:r>
            <w:r>
              <w:rPr>
                <w:rFonts w:ascii="宋体" w:hAnsi="宋体" w:hint="eastAsia"/>
                <w:szCs w:val="24"/>
                <w:lang w:eastAsia="zh-Hans"/>
              </w:rPr>
              <w:t>5</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443,520.6</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0.6</w:t>
            </w:r>
            <w:r>
              <w:rPr>
                <w:rFonts w:ascii="宋体" w:hAnsi="宋体" w:hint="eastAsia"/>
                <w:szCs w:val="24"/>
                <w:lang w:eastAsia="zh-Hans"/>
              </w:rPr>
              <w:t>2</w:t>
            </w:r>
          </w:p>
        </w:tc>
      </w:tr>
      <w:tr w:rsidR="00000000">
        <w:trPr>
          <w:divId w:val="17785983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30A57" w:rsidRDefault="00F30A5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F30A57" w:rsidRDefault="00F30A5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70,964,965.2</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F30A57" w:rsidRDefault="00F30A57">
            <w:pPr>
              <w:jc w:val="right"/>
            </w:pPr>
            <w:r>
              <w:rPr>
                <w:rFonts w:ascii="宋体" w:hAnsi="宋体" w:hint="eastAsia"/>
                <w:szCs w:val="24"/>
                <w:lang w:eastAsia="zh-Hans"/>
              </w:rPr>
              <w:t>100.0</w:t>
            </w:r>
            <w:r>
              <w:rPr>
                <w:rFonts w:ascii="宋体" w:hAnsi="宋体" w:hint="eastAsia"/>
                <w:szCs w:val="24"/>
                <w:lang w:eastAsia="zh-Hans"/>
              </w:rPr>
              <w:t>0</w:t>
            </w:r>
          </w:p>
        </w:tc>
      </w:tr>
    </w:tbl>
    <w:p w:rsidR="00F30A57" w:rsidRDefault="00F30A57">
      <w:pPr>
        <w:spacing w:line="360" w:lineRule="auto"/>
        <w:jc w:val="left"/>
        <w:divId w:val="749080491"/>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57,070,701.89</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82.68%</w:t>
      </w:r>
      <w:r>
        <w:rPr>
          <w:rFonts w:ascii="宋体" w:hAnsi="宋体" w:hint="eastAsia"/>
        </w:rPr>
        <w:t>。</w:t>
      </w:r>
    </w:p>
    <w:p w:rsidR="00F30A57" w:rsidRDefault="00F30A5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F30A57" w:rsidRDefault="00F30A57">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F30A57" w:rsidRDefault="00F30A57">
      <w:pPr>
        <w:spacing w:line="360" w:lineRule="auto"/>
        <w:ind w:firstLineChars="200" w:firstLine="420"/>
        <w:divId w:val="248852901"/>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F30A57" w:rsidRDefault="00F30A5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30A57" w:rsidRDefault="00F30A57">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30A57" w:rsidRDefault="00F30A57">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30A57" w:rsidRDefault="00F30A5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3,150,427.1</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4.5</w:t>
            </w:r>
            <w:r>
              <w:rPr>
                <w:rFonts w:ascii="宋体" w:hAnsi="宋体" w:hint="eastAsia"/>
                <w:szCs w:val="24"/>
                <w:lang w:eastAsia="zh-Hans"/>
              </w:rPr>
              <w:t>6</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3,466,993.0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5.0</w:t>
            </w:r>
            <w:r>
              <w:rPr>
                <w:rFonts w:ascii="宋体" w:hAnsi="宋体" w:hint="eastAsia"/>
                <w:szCs w:val="24"/>
                <w:lang w:eastAsia="zh-Hans"/>
              </w:rPr>
              <w:t>2</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3,118,086.3</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4.5</w:t>
            </w:r>
            <w:r>
              <w:rPr>
                <w:rFonts w:ascii="宋体" w:hAnsi="宋体" w:hint="eastAsia"/>
                <w:szCs w:val="24"/>
                <w:lang w:eastAsia="zh-Hans"/>
              </w:rPr>
              <w:t>2</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5,597,643.5</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8.1</w:t>
            </w:r>
            <w:r>
              <w:rPr>
                <w:rFonts w:ascii="宋体" w:hAnsi="宋体" w:hint="eastAsia"/>
                <w:szCs w:val="24"/>
                <w:lang w:eastAsia="zh-Hans"/>
              </w:rPr>
              <w:t>1</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8,939,691.5</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12.9</w:t>
            </w:r>
            <w:r>
              <w:rPr>
                <w:rFonts w:ascii="宋体" w:hAnsi="宋体" w:hint="eastAsia"/>
                <w:szCs w:val="24"/>
                <w:lang w:eastAsia="zh-Hans"/>
              </w:rPr>
              <w:t>5</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30,208,405.9</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43.7</w:t>
            </w:r>
            <w:r>
              <w:rPr>
                <w:rFonts w:ascii="宋体" w:hAnsi="宋体" w:hint="eastAsia"/>
                <w:szCs w:val="24"/>
                <w:lang w:eastAsia="zh-Hans"/>
              </w:rPr>
              <w:t>6</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2,589,454.3</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3.7</w:t>
            </w:r>
            <w:r>
              <w:rPr>
                <w:rFonts w:ascii="宋体" w:hAnsi="宋体" w:hint="eastAsia"/>
                <w:szCs w:val="24"/>
                <w:lang w:eastAsia="zh-Hans"/>
              </w:rPr>
              <w:t>5</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w:t>
            </w:r>
          </w:p>
        </w:tc>
      </w:tr>
      <w:tr w:rsidR="00000000">
        <w:trPr>
          <w:divId w:val="692809570"/>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57,070,701.8</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30A57" w:rsidRDefault="00F30A57">
            <w:pPr>
              <w:jc w:val="right"/>
            </w:pPr>
            <w:r>
              <w:rPr>
                <w:rFonts w:ascii="宋体" w:hAnsi="宋体" w:hint="eastAsia"/>
                <w:szCs w:val="24"/>
                <w:lang w:eastAsia="zh-Hans"/>
              </w:rPr>
              <w:t>82.6</w:t>
            </w:r>
            <w:r>
              <w:rPr>
                <w:rFonts w:ascii="宋体" w:hAnsi="宋体" w:hint="eastAsia"/>
                <w:szCs w:val="24"/>
                <w:lang w:eastAsia="zh-Hans"/>
              </w:rPr>
              <w:t>8</w:t>
            </w:r>
          </w:p>
        </w:tc>
      </w:tr>
    </w:tbl>
    <w:p w:rsidR="00F30A57" w:rsidRDefault="00F30A57">
      <w:pPr>
        <w:spacing w:line="360" w:lineRule="auto"/>
        <w:divId w:val="808667674"/>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F30A57" w:rsidRDefault="00F30A5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F30A57" w:rsidRDefault="00F30A57">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5715160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70,37</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5,464,193.4</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7.9</w:t>
            </w:r>
            <w:r>
              <w:rPr>
                <w:rFonts w:ascii="宋体" w:hAnsi="宋体" w:hint="eastAsia"/>
                <w:szCs w:val="24"/>
                <w:lang w:eastAsia="zh-Hans"/>
              </w:rPr>
              <w:t>2</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0686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长飞光纤光</w:t>
            </w:r>
            <w:r>
              <w:rPr>
                <w:rFonts w:ascii="宋体" w:hAnsi="宋体" w:hint="eastAsia"/>
                <w:szCs w:val="24"/>
                <w:lang w:eastAsia="zh-Hans"/>
              </w:rPr>
              <w:t>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21,03</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4,666,145.0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6.7</w:t>
            </w:r>
            <w:r>
              <w:rPr>
                <w:rFonts w:ascii="宋体" w:hAnsi="宋体" w:hint="eastAsia"/>
                <w:szCs w:val="24"/>
                <w:lang w:eastAsia="zh-Hans"/>
              </w:rPr>
              <w:t>6</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21,81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4,077,858.2</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5.9</w:t>
            </w:r>
            <w:r>
              <w:rPr>
                <w:rFonts w:ascii="宋体" w:hAnsi="宋体" w:hint="eastAsia"/>
                <w:szCs w:val="24"/>
                <w:lang w:eastAsia="zh-Hans"/>
              </w:rPr>
              <w:t>1</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0188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建滔积层</w:t>
            </w:r>
            <w:r>
              <w:rPr>
                <w:rFonts w:ascii="宋体" w:hAnsi="宋体" w:hint="eastAsia"/>
                <w:szCs w:val="24"/>
                <w:lang w:eastAsia="zh-Hans"/>
              </w:rPr>
              <w:t>板</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44,00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3,789,136.2</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5.4</w:t>
            </w:r>
            <w:r>
              <w:rPr>
                <w:rFonts w:ascii="宋体" w:hAnsi="宋体" w:hint="eastAsia"/>
                <w:szCs w:val="24"/>
                <w:lang w:eastAsia="zh-Hans"/>
              </w:rPr>
              <w:t>9</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0014</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建滔集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3,123,262.3</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4.5</w:t>
            </w:r>
            <w:r>
              <w:rPr>
                <w:rFonts w:ascii="宋体" w:hAnsi="宋体" w:hint="eastAsia"/>
                <w:szCs w:val="24"/>
                <w:lang w:eastAsia="zh-Hans"/>
              </w:rPr>
              <w:t>2</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0375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4,60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2,804,721.6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4.0</w:t>
            </w:r>
            <w:r>
              <w:rPr>
                <w:rFonts w:ascii="宋体" w:hAnsi="宋体" w:hint="eastAsia"/>
                <w:szCs w:val="24"/>
                <w:lang w:eastAsia="zh-Hans"/>
              </w:rPr>
              <w:t>6</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0000</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汇丰控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18,80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2,415,020.6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3.5</w:t>
            </w:r>
            <w:r>
              <w:rPr>
                <w:rFonts w:ascii="宋体" w:hAnsi="宋体" w:hint="eastAsia"/>
                <w:szCs w:val="24"/>
                <w:lang w:eastAsia="zh-Hans"/>
              </w:rPr>
              <w:t>0</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0052</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ASMP</w:t>
            </w:r>
            <w:r>
              <w:rPr>
                <w:rFonts w:ascii="宋体" w:hAnsi="宋体" w:hint="eastAsia"/>
                <w:szCs w:val="24"/>
                <w:lang w:eastAsia="zh-Hans"/>
              </w:rPr>
              <w:t>T</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11,60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2,405,952.9</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3.4</w:t>
            </w:r>
            <w:r>
              <w:rPr>
                <w:rFonts w:ascii="宋体" w:hAnsi="宋体" w:hint="eastAsia"/>
                <w:szCs w:val="24"/>
                <w:lang w:eastAsia="zh-Hans"/>
              </w:rPr>
              <w:t>9</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0070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腾讯控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6,13</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2,289,839.3</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3.3</w:t>
            </w:r>
            <w:r>
              <w:rPr>
                <w:rFonts w:ascii="宋体" w:hAnsi="宋体" w:hint="eastAsia"/>
                <w:szCs w:val="24"/>
                <w:lang w:eastAsia="zh-Hans"/>
              </w:rPr>
              <w:t>2</w:t>
            </w:r>
          </w:p>
        </w:tc>
      </w:tr>
      <w:tr w:rsidR="00000000">
        <w:trPr>
          <w:divId w:val="6571516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0320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szCs w:val="24"/>
                <w:lang w:eastAsia="zh-Hans"/>
              </w:rPr>
              <w:t>大族数</w:t>
            </w:r>
            <w:r>
              <w:rPr>
                <w:rFonts w:ascii="宋体" w:hAnsi="宋体" w:hint="eastAsia"/>
                <w:szCs w:val="24"/>
                <w:lang w:eastAsia="zh-Hans"/>
              </w:rPr>
              <w:t>控</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14,00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2,209,417.4</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3.2</w:t>
            </w:r>
            <w:r>
              <w:rPr>
                <w:rFonts w:ascii="宋体" w:hAnsi="宋体" w:hint="eastAsia"/>
                <w:szCs w:val="24"/>
                <w:lang w:eastAsia="zh-Hans"/>
              </w:rPr>
              <w:t>0</w:t>
            </w:r>
          </w:p>
        </w:tc>
      </w:tr>
    </w:tbl>
    <w:p w:rsidR="00F30A57" w:rsidRDefault="00F30A5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F30A57" w:rsidRDefault="00F30A57">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F30A57" w:rsidRDefault="00F30A57">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30A57" w:rsidRDefault="00F30A57">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F30A57" w:rsidRDefault="00F30A57">
      <w:pPr>
        <w:spacing w:line="360" w:lineRule="auto"/>
        <w:ind w:firstLineChars="200" w:firstLine="420"/>
        <w:divId w:val="7644421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F30A57" w:rsidRDefault="00F30A57">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F30A57" w:rsidRDefault="00F30A57">
      <w:pPr>
        <w:spacing w:line="360" w:lineRule="auto"/>
        <w:ind w:firstLineChars="200" w:firstLine="420"/>
        <w:divId w:val="197980266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F30A57" w:rsidRDefault="00F30A57">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F30A57" w:rsidRDefault="00F30A57">
      <w:pPr>
        <w:spacing w:line="360" w:lineRule="auto"/>
        <w:ind w:firstLineChars="200" w:firstLine="420"/>
        <w:divId w:val="52475756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F30A57" w:rsidRDefault="00F30A57">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F30A57" w:rsidRDefault="00F30A57">
      <w:pPr>
        <w:spacing w:line="360" w:lineRule="auto"/>
        <w:ind w:firstLineChars="200" w:firstLine="420"/>
        <w:divId w:val="1053576788"/>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F30A57" w:rsidRDefault="00F30A57">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F30A57" w:rsidRDefault="00F30A57">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F30A57" w:rsidRDefault="00F30A5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F30A57" w:rsidRDefault="00F30A57">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F30A57" w:rsidRDefault="00F30A5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30A57" w:rsidRDefault="00F30A57">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13937103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jc w:val="center"/>
            </w:pPr>
            <w:r>
              <w:rPr>
                <w:rFonts w:ascii="宋体" w:hAnsi="宋体" w:hint="eastAsia"/>
              </w:rPr>
              <w:t>金额（元</w:t>
            </w:r>
            <w:r>
              <w:rPr>
                <w:rFonts w:ascii="宋体" w:hAnsi="宋体" w:hint="eastAsia"/>
              </w:rPr>
              <w:t>）</w:t>
            </w:r>
            <w:r>
              <w:t xml:space="preserve"> </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13,450.2</w:t>
            </w:r>
            <w:r>
              <w:rPr>
                <w:rFonts w:ascii="宋体" w:hAnsi="宋体" w:hint="eastAsia"/>
              </w:rPr>
              <w:t>4</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191,581.1</w:t>
            </w:r>
            <w:r>
              <w:rPr>
                <w:rFonts w:ascii="宋体" w:hAnsi="宋体" w:hint="eastAsia"/>
              </w:rPr>
              <w:t>1</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238,489.2</w:t>
            </w:r>
            <w:r>
              <w:rPr>
                <w:rFonts w:ascii="宋体" w:hAnsi="宋体" w:hint="eastAsia"/>
              </w:rPr>
              <w:t>7</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w:t>
            </w:r>
          </w:p>
        </w:tc>
      </w:tr>
      <w:tr w:rsidR="00000000">
        <w:trPr>
          <w:divId w:val="21393710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rPr>
              <w:t>443,520.6</w:t>
            </w:r>
            <w:r>
              <w:rPr>
                <w:rFonts w:ascii="宋体" w:hAnsi="宋体" w:hint="eastAsia"/>
              </w:rPr>
              <w:t>2</w:t>
            </w:r>
          </w:p>
        </w:tc>
      </w:tr>
    </w:tbl>
    <w:p w:rsidR="00F30A57" w:rsidRDefault="00F30A57">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F30A57" w:rsidRDefault="00F30A5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30A57" w:rsidRDefault="00F30A57">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F30A57" w:rsidRDefault="00F30A57">
      <w:pPr>
        <w:spacing w:line="360" w:lineRule="auto"/>
        <w:ind w:firstLineChars="200" w:firstLine="420"/>
        <w:jc w:val="left"/>
        <w:divId w:val="104244279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F30A57" w:rsidRDefault="00F30A57">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F30A57" w:rsidRDefault="00F30A5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F30A57" w:rsidRDefault="00F30A57">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F30A57" w:rsidRDefault="00F30A57">
      <w:pPr>
        <w:wordWrap w:val="0"/>
        <w:spacing w:line="360" w:lineRule="auto"/>
        <w:jc w:val="right"/>
        <w:divId w:val="1246106968"/>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246106968"/>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30A57" w:rsidRDefault="00F30A57">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ind w:right="3"/>
              <w:jc w:val="center"/>
            </w:pPr>
            <w:r>
              <w:rPr>
                <w:rFonts w:ascii="宋体" w:hAnsi="宋体" w:hint="eastAsia"/>
                <w:lang w:eastAsia="zh-Hans"/>
              </w:rPr>
              <w:t>摩根香港精选港股通混合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0A57" w:rsidRDefault="00F30A57">
            <w:pPr>
              <w:ind w:right="3"/>
              <w:jc w:val="center"/>
            </w:pPr>
            <w:r>
              <w:rPr>
                <w:rFonts w:ascii="宋体" w:hAnsi="宋体" w:hint="eastAsia"/>
                <w:lang w:eastAsia="zh-Hans"/>
              </w:rPr>
              <w:t>摩根香港精选港股通混合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2461069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44,016,119.0</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21,222,815.4</w:t>
            </w:r>
            <w:r>
              <w:rPr>
                <w:rFonts w:ascii="宋体" w:hAnsi="宋体" w:hint="eastAsia"/>
              </w:rPr>
              <w:t>6</w:t>
            </w:r>
          </w:p>
        </w:tc>
      </w:tr>
      <w:tr w:rsidR="00000000">
        <w:trPr>
          <w:divId w:val="12461069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5,366,820.1</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2,959,439.3</w:t>
            </w:r>
            <w:r>
              <w:rPr>
                <w:rFonts w:ascii="宋体" w:hAnsi="宋体" w:hint="eastAsia"/>
              </w:rPr>
              <w:t>4</w:t>
            </w:r>
          </w:p>
        </w:tc>
      </w:tr>
      <w:tr w:rsidR="00000000">
        <w:trPr>
          <w:divId w:val="12461069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9,113,039.8</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5,631,673.1</w:t>
            </w:r>
            <w:r>
              <w:rPr>
                <w:rFonts w:ascii="宋体" w:hAnsi="宋体" w:hint="eastAsia"/>
              </w:rPr>
              <w:t>0</w:t>
            </w:r>
          </w:p>
        </w:tc>
      </w:tr>
      <w:tr w:rsidR="00000000">
        <w:trPr>
          <w:divId w:val="12461069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w:t>
            </w:r>
          </w:p>
        </w:tc>
      </w:tr>
      <w:tr w:rsidR="00000000">
        <w:trPr>
          <w:divId w:val="12461069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40,269,899.3</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30A57" w:rsidRDefault="00F30A57">
            <w:pPr>
              <w:jc w:val="right"/>
            </w:pPr>
            <w:r>
              <w:rPr>
                <w:rFonts w:ascii="宋体" w:hAnsi="宋体" w:hint="eastAsia"/>
              </w:rPr>
              <w:t>18,550,581.7</w:t>
            </w:r>
            <w:r>
              <w:rPr>
                <w:rFonts w:ascii="宋体" w:hAnsi="宋体" w:hint="eastAsia"/>
              </w:rPr>
              <w:t>0</w:t>
            </w:r>
          </w:p>
        </w:tc>
      </w:tr>
    </w:tbl>
    <w:p w:rsidR="00F30A57" w:rsidRDefault="00F30A57">
      <w:pPr>
        <w:spacing w:line="360" w:lineRule="auto"/>
        <w:jc w:val="left"/>
        <w:divId w:val="1246106968"/>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F30A57" w:rsidRDefault="00F30A57">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F30A57" w:rsidRDefault="00F30A57">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F30A57" w:rsidRDefault="00F30A57">
      <w:pPr>
        <w:wordWrap w:val="0"/>
        <w:spacing w:line="360" w:lineRule="auto"/>
        <w:jc w:val="right"/>
        <w:divId w:val="171758306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71758306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jc w:val="center"/>
            </w:pPr>
            <w:r>
              <w:rPr>
                <w:rFonts w:ascii="宋体" w:hAnsi="宋体" w:hint="eastAsia"/>
                <w:lang w:eastAsia="zh-Hans"/>
              </w:rPr>
              <w:t>摩根香港精选港股通混合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30A57" w:rsidRDefault="00F30A57">
            <w:pPr>
              <w:jc w:val="center"/>
            </w:pPr>
            <w:r>
              <w:rPr>
                <w:rFonts w:ascii="宋体" w:hAnsi="宋体" w:hint="eastAsia"/>
                <w:lang w:eastAsia="zh-Hans"/>
              </w:rPr>
              <w:t>摩根香港精选港股通混合</w:t>
            </w:r>
            <w:r>
              <w:rPr>
                <w:rFonts w:ascii="宋体" w:hAnsi="宋体" w:hint="eastAsia"/>
                <w:lang w:eastAsia="zh-Hans"/>
              </w:rPr>
              <w:t>C</w:t>
            </w:r>
            <w:r>
              <w:rPr>
                <w:rFonts w:ascii="宋体" w:hAnsi="宋体" w:hint="eastAsia"/>
                <w:color w:val="000000"/>
              </w:rPr>
              <w:t xml:space="preserve"> </w:t>
            </w:r>
          </w:p>
        </w:tc>
      </w:tr>
      <w:tr w:rsidR="00000000">
        <w:trPr>
          <w:divId w:val="171758306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rPr>
                <w:rFonts w:hint="eastAsia"/>
              </w:rPr>
            </w:pPr>
            <w:r>
              <w:rPr>
                <w:rFonts w:ascii="宋体" w:hAnsi="宋体" w:hint="eastAsia"/>
                <w:kern w:val="0"/>
                <w:szCs w:val="24"/>
                <w:lang w:eastAsia="zh-Hans"/>
              </w:rPr>
              <w:t>1,750,692.3</w:t>
            </w:r>
            <w:r>
              <w:rPr>
                <w:rFonts w:ascii="宋体" w:hAnsi="宋体" w:hint="eastAsia"/>
                <w:kern w:val="0"/>
                <w:szCs w:val="24"/>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kern w:val="0"/>
                <w:szCs w:val="24"/>
                <w:lang w:eastAsia="zh-Hans"/>
              </w:rPr>
              <w:t>-</w:t>
            </w:r>
          </w:p>
        </w:tc>
      </w:tr>
      <w:tr w:rsidR="00000000">
        <w:trPr>
          <w:divId w:val="171758306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szCs w:val="24"/>
                <w:lang w:eastAsia="zh-Hans"/>
              </w:rPr>
              <w:t>-</w:t>
            </w:r>
          </w:p>
        </w:tc>
      </w:tr>
      <w:tr w:rsidR="00000000">
        <w:trPr>
          <w:divId w:val="171758306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lang w:eastAsia="zh-Hans"/>
              </w:rPr>
              <w:t>-</w:t>
            </w:r>
          </w:p>
        </w:tc>
      </w:tr>
      <w:tr w:rsidR="00000000">
        <w:trPr>
          <w:divId w:val="171758306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rPr>
                <w:rFonts w:hint="eastAsia"/>
              </w:rPr>
            </w:pPr>
            <w:r>
              <w:rPr>
                <w:rFonts w:ascii="宋体" w:hAnsi="宋体" w:hint="eastAsia"/>
                <w:lang w:eastAsia="zh-Hans"/>
              </w:rPr>
              <w:t>1,750,692.3</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lang w:eastAsia="zh-Hans"/>
              </w:rPr>
              <w:t>-</w:t>
            </w:r>
          </w:p>
        </w:tc>
      </w:tr>
      <w:tr w:rsidR="00000000">
        <w:trPr>
          <w:divId w:val="171758306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rPr>
                <w:rFonts w:hint="eastAsia"/>
              </w:rPr>
            </w:pPr>
            <w:r>
              <w:rPr>
                <w:rFonts w:ascii="宋体" w:hAnsi="宋体" w:hint="eastAsia"/>
                <w:lang w:eastAsia="zh-Hans"/>
              </w:rPr>
              <w:t>2.9</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jc w:val="right"/>
            </w:pPr>
            <w:r>
              <w:rPr>
                <w:rFonts w:ascii="宋体" w:hAnsi="宋体" w:hint="eastAsia"/>
                <w:lang w:eastAsia="zh-Hans"/>
              </w:rPr>
              <w:t>-</w:t>
            </w:r>
          </w:p>
        </w:tc>
      </w:tr>
    </w:tbl>
    <w:p w:rsidR="00F30A57" w:rsidRDefault="00F30A57">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F30A57" w:rsidRDefault="00F30A57">
      <w:pPr>
        <w:spacing w:line="360" w:lineRule="auto"/>
        <w:ind w:firstLineChars="200" w:firstLine="420"/>
        <w:jc w:val="left"/>
        <w:divId w:val="67091614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30A57" w:rsidRDefault="00F30A57">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F30A57" w:rsidRDefault="00F30A57">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000000">
        <w:trPr>
          <w:divId w:val="999499250"/>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jc w:val="center"/>
              <w:rPr>
                <w:rFonts w:hint="eastAsia"/>
              </w:rPr>
            </w:pPr>
            <w:bookmarkStart w:id="347" w:name="OLE_LINK42"/>
            <w:bookmarkStart w:id="348" w:name="OLE_LINK41"/>
            <w:bookmarkStart w:id="349" w:name="m13_01"/>
            <w:bookmarkStart w:id="350" w:name="m13_01_01"/>
            <w:bookmarkStart w:id="351" w:name="_Toc433036733"/>
            <w:bookmarkStart w:id="352" w:name="m12_01"/>
            <w:bookmarkEnd w:id="22"/>
            <w:bookmarkEnd w:id="42"/>
            <w:bookmarkEnd w:id="43"/>
            <w:bookmarkEnd w:id="347"/>
            <w:bookmarkEnd w:id="348"/>
            <w:bookmarkEnd w:id="349"/>
            <w:bookmarkEnd w:id="350"/>
            <w:bookmarkEnd w:id="351"/>
            <w:bookmarkEnd w:id="352"/>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99949925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期初</w:t>
            </w:r>
            <w:r>
              <w:rPr>
                <w:rFonts w:ascii="宋体" w:hAnsi="宋体" w:hint="eastAsia"/>
                <w:color w:val="000000"/>
                <w:kern w:val="0"/>
              </w:rPr>
              <w:t xml:space="preserve"> </w:t>
            </w:r>
          </w:p>
          <w:p w:rsidR="00F30A57" w:rsidRDefault="00F30A57">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申购</w:t>
            </w:r>
            <w:r>
              <w:rPr>
                <w:rFonts w:ascii="宋体" w:hAnsi="宋体" w:hint="eastAsia"/>
                <w:color w:val="000000"/>
                <w:kern w:val="0"/>
              </w:rPr>
              <w:t xml:space="preserve"> </w:t>
            </w:r>
          </w:p>
          <w:p w:rsidR="00F30A57" w:rsidRDefault="00F30A57">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赎回</w:t>
            </w:r>
            <w:r>
              <w:rPr>
                <w:rFonts w:ascii="宋体" w:hAnsi="宋体" w:hint="eastAsia"/>
                <w:color w:val="000000"/>
                <w:kern w:val="0"/>
              </w:rPr>
              <w:t xml:space="preserve"> </w:t>
            </w:r>
          </w:p>
          <w:p w:rsidR="00F30A57" w:rsidRDefault="00F30A57">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0A57" w:rsidRDefault="00F30A57">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999499250"/>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center"/>
            </w:pPr>
            <w:r>
              <w:rPr>
                <w:rFonts w:ascii="宋体" w:hAnsi="宋体" w:hint="eastAsia"/>
                <w:color w:val="000000"/>
                <w:szCs w:val="21"/>
              </w:rPr>
              <w:t>20260511-2026063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12,980,546.7</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12,980,546.7</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22.0</w:t>
            </w:r>
            <w:r>
              <w:rPr>
                <w:rFonts w:ascii="宋体" w:hAnsi="宋体" w:hint="eastAsia"/>
                <w:color w:val="000000"/>
                <w:szCs w:val="21"/>
              </w:rPr>
              <w:t>7</w:t>
            </w:r>
            <w:r>
              <w:rPr>
                <w:szCs w:val="21"/>
              </w:rPr>
              <w:t>%</w:t>
            </w:r>
            <w:r>
              <w:t xml:space="preserve"> </w:t>
            </w:r>
          </w:p>
        </w:tc>
      </w:tr>
      <w:tr w:rsidR="00000000">
        <w:trPr>
          <w:divId w:val="99949925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0A57" w:rsidRDefault="00F30A57">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center"/>
            </w:pPr>
            <w:r>
              <w:rPr>
                <w:rFonts w:ascii="宋体" w:hAnsi="宋体" w:hint="eastAsia"/>
                <w:color w:val="000000"/>
                <w:szCs w:val="21"/>
              </w:rPr>
              <w:t>20260409-2026050</w:t>
            </w:r>
            <w:r>
              <w:rPr>
                <w:rFonts w:ascii="宋体" w:hAnsi="宋体" w:hint="eastAsia"/>
                <w:color w:val="000000"/>
                <w:szCs w:val="21"/>
              </w:rPr>
              <w:t>7</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12,980,546.7</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12,980,546.7</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right"/>
            </w:pPr>
            <w:r>
              <w:rPr>
                <w:rFonts w:ascii="宋体" w:hAnsi="宋体" w:hint="eastAsia"/>
                <w:color w:val="000000"/>
                <w:szCs w:val="21"/>
              </w:rPr>
              <w:t>22.0</w:t>
            </w:r>
            <w:r>
              <w:rPr>
                <w:rFonts w:ascii="宋体" w:hAnsi="宋体" w:hint="eastAsia"/>
                <w:color w:val="000000"/>
                <w:szCs w:val="21"/>
              </w:rPr>
              <w:t>7</w:t>
            </w:r>
            <w:r>
              <w:rPr>
                <w:szCs w:val="21"/>
              </w:rPr>
              <w:t>%</w:t>
            </w:r>
            <w:r>
              <w:t xml:space="preserve"> </w:t>
            </w:r>
          </w:p>
        </w:tc>
      </w:tr>
      <w:tr w:rsidR="00000000">
        <w:trPr>
          <w:divId w:val="99949925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99949925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30A57" w:rsidRDefault="00F30A57">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F30A57" w:rsidRDefault="00F30A57">
      <w:pPr>
        <w:pStyle w:val="XBRLTitle1"/>
        <w:spacing w:before="156" w:line="360" w:lineRule="auto"/>
        <w:ind w:left="425"/>
      </w:pPr>
      <w:bookmarkStart w:id="353" w:name="_Toc17898228"/>
      <w:bookmarkStart w:id="354" w:name="_Toc17897969"/>
      <w:bookmarkStart w:id="355" w:name="_Toc512519529"/>
      <w:bookmarkStart w:id="356" w:name="_Toc490050049"/>
      <w:bookmarkStart w:id="357" w:name="_Toc481075097"/>
      <w:bookmarkStart w:id="358" w:name="_Toc438646481"/>
      <w:bookmarkStart w:id="359" w:name="_Toc513295878"/>
      <w:bookmarkStart w:id="360" w:name="_Toc513295941"/>
      <w:bookmarkEnd w:id="339"/>
      <w:r>
        <w:rPr>
          <w:rFonts w:hAnsi="宋体" w:hint="eastAsia"/>
        </w:rPr>
        <w:t>备查文件目</w:t>
      </w:r>
      <w:r>
        <w:rPr>
          <w:rFonts w:hAnsi="宋体" w:hint="eastAsia"/>
        </w:rPr>
        <w:t>录</w:t>
      </w:r>
      <w:bookmarkEnd w:id="353"/>
      <w:bookmarkEnd w:id="354"/>
      <w:bookmarkEnd w:id="355"/>
      <w:bookmarkEnd w:id="356"/>
      <w:bookmarkEnd w:id="357"/>
      <w:bookmarkEnd w:id="358"/>
      <w:bookmarkEnd w:id="359"/>
      <w:bookmarkEnd w:id="360"/>
      <w:r>
        <w:rPr>
          <w:rFonts w:hAnsi="宋体" w:hint="eastAsia"/>
        </w:rPr>
        <w:t xml:space="preserve"> </w:t>
      </w:r>
    </w:p>
    <w:p w:rsidR="00F30A57" w:rsidRDefault="00F30A57">
      <w:pPr>
        <w:pStyle w:val="XBRLTitle2"/>
        <w:spacing w:before="156" w:line="360" w:lineRule="auto"/>
        <w:ind w:left="454"/>
        <w:rPr>
          <w:rFonts w:hint="eastAsia"/>
        </w:rPr>
      </w:pPr>
      <w:bookmarkStart w:id="361" w:name="_Toc438646482"/>
      <w:bookmarkStart w:id="362" w:name="_Toc17898229"/>
      <w:bookmarkStart w:id="363" w:name="_Toc17897970"/>
      <w:bookmarkStart w:id="364" w:name="_Toc512519530"/>
      <w:bookmarkStart w:id="365" w:name="_Toc481075098"/>
      <w:bookmarkStart w:id="366" w:name="_Toc490050050"/>
      <w:bookmarkStart w:id="367" w:name="_Toc513295879"/>
      <w:bookmarkStart w:id="368" w:name="_Toc513295942"/>
      <w:bookmarkStart w:id="369" w:name="m801_01_1733"/>
      <w:r>
        <w:rPr>
          <w:rFonts w:hAnsi="宋体" w:hint="eastAsia"/>
        </w:rPr>
        <w:t>备查文件目</w:t>
      </w:r>
      <w:r>
        <w:rPr>
          <w:rFonts w:hAnsi="宋体" w:hint="eastAsia"/>
        </w:rPr>
        <w:t>录</w:t>
      </w:r>
      <w:bookmarkEnd w:id="361"/>
      <w:bookmarkEnd w:id="362"/>
      <w:bookmarkEnd w:id="363"/>
      <w:bookmarkEnd w:id="364"/>
      <w:bookmarkEnd w:id="365"/>
      <w:bookmarkEnd w:id="366"/>
      <w:bookmarkEnd w:id="367"/>
      <w:bookmarkEnd w:id="368"/>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摩根香港精选港股通混合型证券投资基金基金合同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摩根香港精选港股通混合型证券投资基金托管协议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F30A57" w:rsidRDefault="00F30A57">
      <w:pPr>
        <w:pStyle w:val="XBRLTitle2"/>
        <w:spacing w:before="156" w:line="360" w:lineRule="auto"/>
        <w:ind w:left="454"/>
      </w:pPr>
      <w:bookmarkStart w:id="370" w:name="_Toc438646483"/>
      <w:bookmarkStart w:id="371" w:name="_Toc17898230"/>
      <w:bookmarkStart w:id="372" w:name="_Toc17897971"/>
      <w:bookmarkStart w:id="373" w:name="_Toc512519531"/>
      <w:bookmarkStart w:id="374" w:name="_Toc481075099"/>
      <w:bookmarkStart w:id="375" w:name="_Toc490050051"/>
      <w:bookmarkStart w:id="376" w:name="_Toc513295880"/>
      <w:bookmarkStart w:id="377" w:name="_Toc513295943"/>
      <w:bookmarkStart w:id="378" w:name="m801_01_1734"/>
      <w:bookmarkEnd w:id="369"/>
      <w:r>
        <w:rPr>
          <w:rFonts w:hAnsi="宋体" w:hint="eastAsia"/>
        </w:rPr>
        <w:t>存放地</w:t>
      </w:r>
      <w:r>
        <w:rPr>
          <w:rFonts w:hAnsi="宋体" w:hint="eastAsia"/>
        </w:rPr>
        <w:t>点</w:t>
      </w:r>
      <w:bookmarkEnd w:id="370"/>
      <w:bookmarkEnd w:id="371"/>
      <w:bookmarkEnd w:id="372"/>
      <w:bookmarkEnd w:id="373"/>
      <w:bookmarkEnd w:id="374"/>
      <w:bookmarkEnd w:id="375"/>
      <w:bookmarkEnd w:id="376"/>
      <w:bookmarkEnd w:id="377"/>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30A57" w:rsidRDefault="00F30A57">
      <w:pPr>
        <w:pStyle w:val="XBRLTitle2"/>
        <w:spacing w:before="156" w:line="360" w:lineRule="auto"/>
        <w:ind w:left="454"/>
      </w:pPr>
      <w:bookmarkStart w:id="379" w:name="_Toc438646484"/>
      <w:bookmarkStart w:id="380" w:name="_Toc17898231"/>
      <w:bookmarkStart w:id="381" w:name="_Toc17897972"/>
      <w:bookmarkStart w:id="382" w:name="_Toc512519532"/>
      <w:bookmarkStart w:id="383" w:name="_Toc481075100"/>
      <w:bookmarkStart w:id="384" w:name="_Toc490050052"/>
      <w:bookmarkStart w:id="385" w:name="_Toc513295881"/>
      <w:bookmarkStart w:id="386" w:name="_Toc513295944"/>
      <w:bookmarkStart w:id="387" w:name="m801_01_1735"/>
      <w:bookmarkEnd w:id="378"/>
      <w:r>
        <w:rPr>
          <w:rFonts w:hAnsi="宋体" w:hint="eastAsia"/>
        </w:rPr>
        <w:t>查阅方</w:t>
      </w:r>
      <w:r>
        <w:rPr>
          <w:rFonts w:hAnsi="宋体" w:hint="eastAsia"/>
        </w:rPr>
        <w:t>式</w:t>
      </w:r>
      <w:bookmarkEnd w:id="379"/>
      <w:bookmarkEnd w:id="380"/>
      <w:bookmarkEnd w:id="381"/>
      <w:bookmarkEnd w:id="382"/>
      <w:bookmarkEnd w:id="383"/>
      <w:bookmarkEnd w:id="384"/>
      <w:bookmarkEnd w:id="385"/>
      <w:bookmarkEnd w:id="386"/>
      <w:r>
        <w:rPr>
          <w:rFonts w:hAnsi="宋体" w:hint="eastAsia"/>
        </w:rPr>
        <w:t xml:space="preserve"> </w:t>
      </w:r>
    </w:p>
    <w:p w:rsidR="00F30A57" w:rsidRDefault="00F30A5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7"/>
    <w:p w:rsidR="00F30A57" w:rsidRDefault="00F30A5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30A57" w:rsidRDefault="00F30A5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30A57" w:rsidRDefault="00F30A5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F30A57" w:rsidRDefault="00F30A5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F30A5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A57" w:rsidRDefault="00F30A57">
      <w:pPr>
        <w:rPr>
          <w:szCs w:val="21"/>
        </w:rPr>
      </w:pPr>
      <w:r>
        <w:rPr>
          <w:szCs w:val="21"/>
        </w:rPr>
        <w:separator/>
      </w:r>
      <w:r>
        <w:rPr>
          <w:szCs w:val="21"/>
        </w:rPr>
        <w:t xml:space="preserve"> </w:t>
      </w:r>
    </w:p>
  </w:endnote>
  <w:endnote w:type="continuationSeparator" w:id="0">
    <w:p w:rsidR="00F30A57" w:rsidRDefault="00F30A5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A57" w:rsidRDefault="00F30A5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A57" w:rsidRDefault="00F30A57">
      <w:pPr>
        <w:rPr>
          <w:szCs w:val="21"/>
        </w:rPr>
      </w:pPr>
      <w:r>
        <w:rPr>
          <w:szCs w:val="21"/>
        </w:rPr>
        <w:separator/>
      </w:r>
      <w:r>
        <w:rPr>
          <w:szCs w:val="21"/>
        </w:rPr>
        <w:t xml:space="preserve"> </w:t>
      </w:r>
    </w:p>
  </w:footnote>
  <w:footnote w:type="continuationSeparator" w:id="0">
    <w:p w:rsidR="00F30A57" w:rsidRDefault="00F30A5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A57" w:rsidRDefault="00F30A57">
    <w:pPr>
      <w:pStyle w:val="a8"/>
      <w:jc w:val="right"/>
    </w:pPr>
    <w:r>
      <w:rPr>
        <w:rFonts w:ascii="宋体" w:hAnsi="宋体" w:hint="eastAsia"/>
      </w:rPr>
      <w:t>摩根香港精选港股通混合型证券投资基金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48518231">
    <w:abstractNumId w:val="0"/>
  </w:num>
  <w:num w:numId="2" w16cid:durableId="38452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D14EC"/>
    <w:rsid w:val="00102751"/>
    <w:rsid w:val="00AD14EC"/>
    <w:rsid w:val="00F30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4216">
      <w:marLeft w:val="0"/>
      <w:marRight w:val="0"/>
      <w:marTop w:val="0"/>
      <w:marBottom w:val="0"/>
      <w:divBdr>
        <w:top w:val="none" w:sz="0" w:space="0" w:color="auto"/>
        <w:left w:val="none" w:sz="0" w:space="0" w:color="auto"/>
        <w:bottom w:val="none" w:sz="0" w:space="0" w:color="auto"/>
        <w:right w:val="none" w:sz="0" w:space="0" w:color="auto"/>
      </w:divBdr>
    </w:div>
    <w:div w:id="121659364">
      <w:marLeft w:val="0"/>
      <w:marRight w:val="0"/>
      <w:marTop w:val="0"/>
      <w:marBottom w:val="0"/>
      <w:divBdr>
        <w:top w:val="none" w:sz="0" w:space="0" w:color="auto"/>
        <w:left w:val="none" w:sz="0" w:space="0" w:color="auto"/>
        <w:bottom w:val="none" w:sz="0" w:space="0" w:color="auto"/>
        <w:right w:val="none" w:sz="0" w:space="0" w:color="auto"/>
      </w:divBdr>
    </w:div>
    <w:div w:id="219052397">
      <w:marLeft w:val="0"/>
      <w:marRight w:val="0"/>
      <w:marTop w:val="0"/>
      <w:marBottom w:val="0"/>
      <w:divBdr>
        <w:top w:val="none" w:sz="0" w:space="0" w:color="auto"/>
        <w:left w:val="none" w:sz="0" w:space="0" w:color="auto"/>
        <w:bottom w:val="none" w:sz="0" w:space="0" w:color="auto"/>
        <w:right w:val="none" w:sz="0" w:space="0" w:color="auto"/>
      </w:divBdr>
      <w:divsChild>
        <w:div w:id="1523401563">
          <w:marLeft w:val="0"/>
          <w:marRight w:val="0"/>
          <w:marTop w:val="0"/>
          <w:marBottom w:val="0"/>
          <w:divBdr>
            <w:top w:val="none" w:sz="0" w:space="0" w:color="auto"/>
            <w:left w:val="none" w:sz="0" w:space="0" w:color="auto"/>
            <w:bottom w:val="none" w:sz="0" w:space="0" w:color="auto"/>
            <w:right w:val="none" w:sz="0" w:space="0" w:color="auto"/>
          </w:divBdr>
        </w:div>
      </w:divsChild>
    </w:div>
    <w:div w:id="248852901">
      <w:marLeft w:val="0"/>
      <w:marRight w:val="0"/>
      <w:marTop w:val="0"/>
      <w:marBottom w:val="0"/>
      <w:divBdr>
        <w:top w:val="none" w:sz="0" w:space="0" w:color="auto"/>
        <w:left w:val="none" w:sz="0" w:space="0" w:color="auto"/>
        <w:bottom w:val="none" w:sz="0" w:space="0" w:color="auto"/>
        <w:right w:val="none" w:sz="0" w:space="0" w:color="auto"/>
      </w:divBdr>
    </w:div>
    <w:div w:id="270285564">
      <w:marLeft w:val="0"/>
      <w:marRight w:val="0"/>
      <w:marTop w:val="0"/>
      <w:marBottom w:val="0"/>
      <w:divBdr>
        <w:top w:val="none" w:sz="0" w:space="0" w:color="auto"/>
        <w:left w:val="none" w:sz="0" w:space="0" w:color="auto"/>
        <w:bottom w:val="none" w:sz="0" w:space="0" w:color="auto"/>
        <w:right w:val="none" w:sz="0" w:space="0" w:color="auto"/>
      </w:divBdr>
      <w:divsChild>
        <w:div w:id="613250470">
          <w:marLeft w:val="0"/>
          <w:marRight w:val="0"/>
          <w:marTop w:val="0"/>
          <w:marBottom w:val="0"/>
          <w:divBdr>
            <w:top w:val="none" w:sz="0" w:space="0" w:color="auto"/>
            <w:left w:val="none" w:sz="0" w:space="0" w:color="auto"/>
            <w:bottom w:val="none" w:sz="0" w:space="0" w:color="auto"/>
            <w:right w:val="none" w:sz="0" w:space="0" w:color="auto"/>
          </w:divBdr>
        </w:div>
      </w:divsChild>
    </w:div>
    <w:div w:id="302319750">
      <w:marLeft w:val="0"/>
      <w:marRight w:val="0"/>
      <w:marTop w:val="0"/>
      <w:marBottom w:val="0"/>
      <w:divBdr>
        <w:top w:val="none" w:sz="0" w:space="0" w:color="auto"/>
        <w:left w:val="none" w:sz="0" w:space="0" w:color="auto"/>
        <w:bottom w:val="none" w:sz="0" w:space="0" w:color="auto"/>
        <w:right w:val="none" w:sz="0" w:space="0" w:color="auto"/>
      </w:divBdr>
    </w:div>
    <w:div w:id="396590170">
      <w:marLeft w:val="0"/>
      <w:marRight w:val="0"/>
      <w:marTop w:val="0"/>
      <w:marBottom w:val="0"/>
      <w:divBdr>
        <w:top w:val="none" w:sz="0" w:space="0" w:color="auto"/>
        <w:left w:val="none" w:sz="0" w:space="0" w:color="auto"/>
        <w:bottom w:val="none" w:sz="0" w:space="0" w:color="auto"/>
        <w:right w:val="none" w:sz="0" w:space="0" w:color="auto"/>
      </w:divBdr>
      <w:divsChild>
        <w:div w:id="1717583066">
          <w:marLeft w:val="0"/>
          <w:marRight w:val="0"/>
          <w:marTop w:val="0"/>
          <w:marBottom w:val="0"/>
          <w:divBdr>
            <w:top w:val="none" w:sz="0" w:space="0" w:color="auto"/>
            <w:left w:val="none" w:sz="0" w:space="0" w:color="auto"/>
            <w:bottom w:val="none" w:sz="0" w:space="0" w:color="auto"/>
            <w:right w:val="none" w:sz="0" w:space="0" w:color="auto"/>
          </w:divBdr>
        </w:div>
      </w:divsChild>
    </w:div>
    <w:div w:id="524757563">
      <w:marLeft w:val="0"/>
      <w:marRight w:val="0"/>
      <w:marTop w:val="0"/>
      <w:marBottom w:val="0"/>
      <w:divBdr>
        <w:top w:val="none" w:sz="0" w:space="0" w:color="auto"/>
        <w:left w:val="none" w:sz="0" w:space="0" w:color="auto"/>
        <w:bottom w:val="none" w:sz="0" w:space="0" w:color="auto"/>
        <w:right w:val="none" w:sz="0" w:space="0" w:color="auto"/>
      </w:divBdr>
    </w:div>
    <w:div w:id="657151606">
      <w:marLeft w:val="0"/>
      <w:marRight w:val="0"/>
      <w:marTop w:val="0"/>
      <w:marBottom w:val="0"/>
      <w:divBdr>
        <w:top w:val="none" w:sz="0" w:space="0" w:color="auto"/>
        <w:left w:val="none" w:sz="0" w:space="0" w:color="auto"/>
        <w:bottom w:val="none" w:sz="0" w:space="0" w:color="auto"/>
        <w:right w:val="none" w:sz="0" w:space="0" w:color="auto"/>
      </w:divBdr>
    </w:div>
    <w:div w:id="670916143">
      <w:marLeft w:val="0"/>
      <w:marRight w:val="0"/>
      <w:marTop w:val="0"/>
      <w:marBottom w:val="0"/>
      <w:divBdr>
        <w:top w:val="none" w:sz="0" w:space="0" w:color="auto"/>
        <w:left w:val="none" w:sz="0" w:space="0" w:color="auto"/>
        <w:bottom w:val="none" w:sz="0" w:space="0" w:color="auto"/>
        <w:right w:val="none" w:sz="0" w:space="0" w:color="auto"/>
      </w:divBdr>
    </w:div>
    <w:div w:id="749080491">
      <w:marLeft w:val="0"/>
      <w:marRight w:val="0"/>
      <w:marTop w:val="0"/>
      <w:marBottom w:val="0"/>
      <w:divBdr>
        <w:top w:val="none" w:sz="0" w:space="0" w:color="auto"/>
        <w:left w:val="none" w:sz="0" w:space="0" w:color="auto"/>
        <w:bottom w:val="none" w:sz="0" w:space="0" w:color="auto"/>
        <w:right w:val="none" w:sz="0" w:space="0" w:color="auto"/>
      </w:divBdr>
      <w:divsChild>
        <w:div w:id="1778598377">
          <w:marLeft w:val="0"/>
          <w:marRight w:val="0"/>
          <w:marTop w:val="0"/>
          <w:marBottom w:val="0"/>
          <w:divBdr>
            <w:top w:val="none" w:sz="0" w:space="0" w:color="auto"/>
            <w:left w:val="none" w:sz="0" w:space="0" w:color="auto"/>
            <w:bottom w:val="none" w:sz="0" w:space="0" w:color="auto"/>
            <w:right w:val="none" w:sz="0" w:space="0" w:color="auto"/>
          </w:divBdr>
        </w:div>
      </w:divsChild>
    </w:div>
    <w:div w:id="808667674">
      <w:marLeft w:val="0"/>
      <w:marRight w:val="0"/>
      <w:marTop w:val="0"/>
      <w:marBottom w:val="0"/>
      <w:divBdr>
        <w:top w:val="none" w:sz="0" w:space="0" w:color="auto"/>
        <w:left w:val="none" w:sz="0" w:space="0" w:color="auto"/>
        <w:bottom w:val="none" w:sz="0" w:space="0" w:color="auto"/>
        <w:right w:val="none" w:sz="0" w:space="0" w:color="auto"/>
      </w:divBdr>
      <w:divsChild>
        <w:div w:id="692809570">
          <w:marLeft w:val="0"/>
          <w:marRight w:val="0"/>
          <w:marTop w:val="0"/>
          <w:marBottom w:val="0"/>
          <w:divBdr>
            <w:top w:val="none" w:sz="0" w:space="0" w:color="auto"/>
            <w:left w:val="none" w:sz="0" w:space="0" w:color="auto"/>
            <w:bottom w:val="none" w:sz="0" w:space="0" w:color="auto"/>
            <w:right w:val="none" w:sz="0" w:space="0" w:color="auto"/>
          </w:divBdr>
        </w:div>
      </w:divsChild>
    </w:div>
    <w:div w:id="975798236">
      <w:marLeft w:val="0"/>
      <w:marRight w:val="0"/>
      <w:marTop w:val="0"/>
      <w:marBottom w:val="0"/>
      <w:divBdr>
        <w:top w:val="none" w:sz="0" w:space="0" w:color="auto"/>
        <w:left w:val="none" w:sz="0" w:space="0" w:color="auto"/>
        <w:bottom w:val="none" w:sz="0" w:space="0" w:color="auto"/>
        <w:right w:val="none" w:sz="0" w:space="0" w:color="auto"/>
      </w:divBdr>
      <w:divsChild>
        <w:div w:id="2139371031">
          <w:marLeft w:val="0"/>
          <w:marRight w:val="0"/>
          <w:marTop w:val="0"/>
          <w:marBottom w:val="0"/>
          <w:divBdr>
            <w:top w:val="none" w:sz="0" w:space="0" w:color="auto"/>
            <w:left w:val="none" w:sz="0" w:space="0" w:color="auto"/>
            <w:bottom w:val="none" w:sz="0" w:space="0" w:color="auto"/>
            <w:right w:val="none" w:sz="0" w:space="0" w:color="auto"/>
          </w:divBdr>
        </w:div>
      </w:divsChild>
    </w:div>
    <w:div w:id="1042442799">
      <w:marLeft w:val="0"/>
      <w:marRight w:val="0"/>
      <w:marTop w:val="0"/>
      <w:marBottom w:val="0"/>
      <w:divBdr>
        <w:top w:val="none" w:sz="0" w:space="0" w:color="auto"/>
        <w:left w:val="none" w:sz="0" w:space="0" w:color="auto"/>
        <w:bottom w:val="none" w:sz="0" w:space="0" w:color="auto"/>
        <w:right w:val="none" w:sz="0" w:space="0" w:color="auto"/>
      </w:divBdr>
    </w:div>
    <w:div w:id="1053576788">
      <w:marLeft w:val="0"/>
      <w:marRight w:val="0"/>
      <w:marTop w:val="0"/>
      <w:marBottom w:val="0"/>
      <w:divBdr>
        <w:top w:val="none" w:sz="0" w:space="0" w:color="auto"/>
        <w:left w:val="none" w:sz="0" w:space="0" w:color="auto"/>
        <w:bottom w:val="none" w:sz="0" w:space="0" w:color="auto"/>
        <w:right w:val="none" w:sz="0" w:space="0" w:color="auto"/>
      </w:divBdr>
    </w:div>
    <w:div w:id="1201626363">
      <w:marLeft w:val="0"/>
      <w:marRight w:val="0"/>
      <w:marTop w:val="0"/>
      <w:marBottom w:val="0"/>
      <w:divBdr>
        <w:top w:val="none" w:sz="0" w:space="0" w:color="auto"/>
        <w:left w:val="none" w:sz="0" w:space="0" w:color="auto"/>
        <w:bottom w:val="none" w:sz="0" w:space="0" w:color="auto"/>
        <w:right w:val="none" w:sz="0" w:space="0" w:color="auto"/>
      </w:divBdr>
      <w:divsChild>
        <w:div w:id="999499250">
          <w:marLeft w:val="0"/>
          <w:marRight w:val="0"/>
          <w:marTop w:val="0"/>
          <w:marBottom w:val="0"/>
          <w:divBdr>
            <w:top w:val="none" w:sz="0" w:space="0" w:color="auto"/>
            <w:left w:val="none" w:sz="0" w:space="0" w:color="auto"/>
            <w:bottom w:val="none" w:sz="0" w:space="0" w:color="auto"/>
            <w:right w:val="none" w:sz="0" w:space="0" w:color="auto"/>
          </w:divBdr>
        </w:div>
      </w:divsChild>
    </w:div>
    <w:div w:id="1246106968">
      <w:marLeft w:val="0"/>
      <w:marRight w:val="0"/>
      <w:marTop w:val="0"/>
      <w:marBottom w:val="0"/>
      <w:divBdr>
        <w:top w:val="none" w:sz="0" w:space="0" w:color="auto"/>
        <w:left w:val="none" w:sz="0" w:space="0" w:color="auto"/>
        <w:bottom w:val="none" w:sz="0" w:space="0" w:color="auto"/>
        <w:right w:val="none" w:sz="0" w:space="0" w:color="auto"/>
      </w:divBdr>
    </w:div>
    <w:div w:id="1427267314">
      <w:marLeft w:val="0"/>
      <w:marRight w:val="0"/>
      <w:marTop w:val="0"/>
      <w:marBottom w:val="0"/>
      <w:divBdr>
        <w:top w:val="none" w:sz="0" w:space="0" w:color="auto"/>
        <w:left w:val="none" w:sz="0" w:space="0" w:color="auto"/>
        <w:bottom w:val="none" w:sz="0" w:space="0" w:color="auto"/>
        <w:right w:val="none" w:sz="0" w:space="0" w:color="auto"/>
      </w:divBdr>
      <w:divsChild>
        <w:div w:id="777800946">
          <w:marLeft w:val="0"/>
          <w:marRight w:val="0"/>
          <w:marTop w:val="0"/>
          <w:marBottom w:val="0"/>
          <w:divBdr>
            <w:top w:val="none" w:sz="0" w:space="0" w:color="auto"/>
            <w:left w:val="none" w:sz="0" w:space="0" w:color="auto"/>
            <w:bottom w:val="none" w:sz="0" w:space="0" w:color="auto"/>
            <w:right w:val="none" w:sz="0" w:space="0" w:color="auto"/>
          </w:divBdr>
        </w:div>
        <w:div w:id="1462919310">
          <w:marLeft w:val="0"/>
          <w:marRight w:val="0"/>
          <w:marTop w:val="0"/>
          <w:marBottom w:val="0"/>
          <w:divBdr>
            <w:top w:val="none" w:sz="0" w:space="0" w:color="auto"/>
            <w:left w:val="none" w:sz="0" w:space="0" w:color="auto"/>
            <w:bottom w:val="none" w:sz="0" w:space="0" w:color="auto"/>
            <w:right w:val="none" w:sz="0" w:space="0" w:color="auto"/>
          </w:divBdr>
        </w:div>
      </w:divsChild>
    </w:div>
    <w:div w:id="1979802668">
      <w:marLeft w:val="0"/>
      <w:marRight w:val="0"/>
      <w:marTop w:val="0"/>
      <w:marBottom w:val="0"/>
      <w:divBdr>
        <w:top w:val="none" w:sz="0" w:space="0" w:color="auto"/>
        <w:left w:val="none" w:sz="0" w:space="0" w:color="auto"/>
        <w:bottom w:val="none" w:sz="0" w:space="0" w:color="auto"/>
        <w:right w:val="none" w:sz="0" w:space="0" w:color="auto"/>
      </w:divBdr>
    </w:div>
    <w:div w:id="213197307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1423</Words>
  <Characters>8114</Characters>
  <Application>Microsoft Office Word</Application>
  <DocSecurity>4</DocSecurity>
  <Lines>67</Lines>
  <Paragraphs>19</Paragraphs>
  <ScaleCrop>false</ScaleCrop>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2026-07-13T13:32:00Z</dcterms:created>
  <dcterms:modified xsi:type="dcterms:W3CDTF">2026-07-13T13:32:00Z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