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上投摩根香港精选港股通混合型证券投资基金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基金托管人：中国工商银行股份有限公司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报告送出日期：二〇二一年七月二十一日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基金托管人中国工商银行股份有限公司根据本基金合同规定，于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上投摩根香港精选港股通混合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005701</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005701</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2018</w:t>
            </w:r>
            <w:r w:rsidRPr="00FF6B9A">
              <w:rPr>
                <w:rFonts w:eastAsiaTheme="minorEastAsia"/>
                <w:color w:val="000000" w:themeColor="text1"/>
                <w:kern w:val="0"/>
              </w:rPr>
              <w:t>年</w:t>
            </w:r>
            <w:r w:rsidRPr="00FF6B9A">
              <w:rPr>
                <w:rFonts w:eastAsiaTheme="minorEastAsia"/>
                <w:color w:val="000000" w:themeColor="text1"/>
                <w:kern w:val="0"/>
              </w:rPr>
              <w:t>6</w:t>
            </w:r>
            <w:r w:rsidRPr="00FF6B9A">
              <w:rPr>
                <w:rFonts w:eastAsiaTheme="minorEastAsia"/>
                <w:color w:val="000000" w:themeColor="text1"/>
                <w:kern w:val="0"/>
              </w:rPr>
              <w:t>月</w:t>
            </w:r>
            <w:r w:rsidRPr="00FF6B9A">
              <w:rPr>
                <w:rFonts w:eastAsiaTheme="minorEastAsia"/>
                <w:color w:val="000000" w:themeColor="text1"/>
                <w:kern w:val="0"/>
              </w:rPr>
              <w:t>8</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48,051,526.71</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本基金采用定量及定性研究方法，自下而上优选在港股通范围内的上市公司，通过严格风险控制，力争实现基金资产的长期增值。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资产配置层面，本基金将综合分析和持续跟踪基本面、政策面、市场面等多方面因素，对宏观经济、国家政策、资金面和市场情绪等影响证券市场的重要因素进行深入分析，重点关注包括</w:t>
            </w:r>
            <w:r w:rsidRPr="00FF6B9A">
              <w:rPr>
                <w:rFonts w:eastAsiaTheme="minorEastAsia"/>
                <w:color w:val="000000" w:themeColor="text1"/>
                <w:kern w:val="0"/>
              </w:rPr>
              <w:t xml:space="preserve"> GDP </w:t>
            </w:r>
            <w:r w:rsidRPr="00FF6B9A">
              <w:rPr>
                <w:rFonts w:eastAsiaTheme="minorEastAsia"/>
                <w:color w:val="000000" w:themeColor="text1"/>
                <w:kern w:val="0"/>
              </w:rPr>
              <w:t>增速、固定资产投资增速、净出</w:t>
            </w:r>
            <w:r w:rsidRPr="00FF6B9A">
              <w:rPr>
                <w:rFonts w:eastAsiaTheme="minorEastAsia"/>
                <w:color w:val="000000" w:themeColor="text1"/>
                <w:kern w:val="0"/>
              </w:rPr>
              <w:lastRenderedPageBreak/>
              <w:t>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个股选择层面，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分析的手段，对公司基本面进行价值挖掘。</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中证港股通综合指数收益率</w:t>
            </w:r>
            <w:r w:rsidRPr="00FF6B9A">
              <w:rPr>
                <w:rFonts w:eastAsiaTheme="minorEastAsia"/>
                <w:color w:val="000000" w:themeColor="text1"/>
                <w:kern w:val="0"/>
              </w:rPr>
              <w:t>×70%+</w:t>
            </w:r>
            <w:r w:rsidRPr="00FF6B9A">
              <w:rPr>
                <w:rFonts w:eastAsiaTheme="minorEastAsia"/>
                <w:color w:val="000000" w:themeColor="text1"/>
                <w:kern w:val="0"/>
              </w:rPr>
              <w:t>中债总指数收益率</w:t>
            </w:r>
            <w:r w:rsidRPr="00FF6B9A">
              <w:rPr>
                <w:rFonts w:eastAsiaTheme="minorEastAsia"/>
                <w:color w:val="000000" w:themeColor="text1"/>
                <w:kern w:val="0"/>
              </w:rPr>
              <w:t>×30%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921362" w:rsidRDefault="00D44CC6">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本基金属于混合型基金产品，预期风险和收益水平高于债券型基金和货币市场基金，低于股票型基金，属于较高风险收益水平的基金产品。本基金将投资港股通标的股票，需承担汇率风险以及境外市场的风险。</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中国工商银行股份有限公司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D44CC6" w:rsidRPr="00FF6B9A" w:rsidTr="00D44CC6">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D44CC6" w:rsidRPr="00FF6B9A" w:rsidTr="00D44CC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701,605.56</w:t>
            </w:r>
          </w:p>
        </w:tc>
      </w:tr>
      <w:tr w:rsidR="00D44CC6" w:rsidRPr="00FF6B9A" w:rsidTr="00D44CC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7,019,038.55</w:t>
            </w:r>
          </w:p>
        </w:tc>
      </w:tr>
      <w:tr w:rsidR="00D44CC6" w:rsidRPr="00FF6B9A" w:rsidTr="00D44CC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0.0904</w:t>
            </w:r>
          </w:p>
        </w:tc>
      </w:tr>
      <w:tr w:rsidR="00D44CC6" w:rsidRPr="00FF6B9A" w:rsidTr="00D44CC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68,733,044.54</w:t>
            </w:r>
          </w:p>
        </w:tc>
      </w:tr>
      <w:tr w:rsidR="00D44CC6" w:rsidRPr="00FF6B9A" w:rsidTr="00D44CC6">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1.4304</w:t>
            </w:r>
          </w:p>
        </w:tc>
      </w:tr>
    </w:tbl>
    <w:p w:rsidR="00921362" w:rsidRDefault="00D44CC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921362">
        <w:tc>
          <w:tcPr>
            <w:tcW w:w="1395" w:type="dxa"/>
            <w:vAlign w:val="center"/>
          </w:tcPr>
          <w:p w:rsidR="00921362" w:rsidRDefault="00D44CC6">
            <w:pPr>
              <w:jc w:val="left"/>
            </w:pPr>
            <w:r>
              <w:rPr>
                <w:rFonts w:eastAsiaTheme="minorEastAsia"/>
                <w:color w:val="000000" w:themeColor="text1"/>
                <w:kern w:val="0"/>
              </w:rPr>
              <w:t>过去三个月</w:t>
            </w:r>
          </w:p>
        </w:tc>
        <w:tc>
          <w:tcPr>
            <w:tcW w:w="1092" w:type="dxa"/>
            <w:vAlign w:val="center"/>
          </w:tcPr>
          <w:p w:rsidR="00921362" w:rsidRDefault="00D44CC6">
            <w:pPr>
              <w:jc w:val="center"/>
            </w:pPr>
            <w:r>
              <w:rPr>
                <w:rFonts w:eastAsiaTheme="minorEastAsia"/>
                <w:color w:val="000000" w:themeColor="text1"/>
                <w:kern w:val="0"/>
              </w:rPr>
              <w:t>8.85%</w:t>
            </w:r>
          </w:p>
        </w:tc>
        <w:tc>
          <w:tcPr>
            <w:tcW w:w="1161" w:type="dxa"/>
            <w:vAlign w:val="center"/>
          </w:tcPr>
          <w:p w:rsidR="00921362" w:rsidRDefault="00D44CC6">
            <w:pPr>
              <w:jc w:val="center"/>
            </w:pPr>
            <w:r>
              <w:rPr>
                <w:rFonts w:eastAsiaTheme="minorEastAsia"/>
                <w:color w:val="000000" w:themeColor="text1"/>
                <w:kern w:val="0"/>
              </w:rPr>
              <w:t>1.33%</w:t>
            </w:r>
          </w:p>
        </w:tc>
        <w:tc>
          <w:tcPr>
            <w:tcW w:w="1181" w:type="dxa"/>
            <w:vAlign w:val="center"/>
          </w:tcPr>
          <w:p w:rsidR="00921362" w:rsidRDefault="00D44CC6">
            <w:pPr>
              <w:jc w:val="center"/>
            </w:pPr>
            <w:r>
              <w:rPr>
                <w:rFonts w:eastAsiaTheme="minorEastAsia"/>
                <w:color w:val="000000" w:themeColor="text1"/>
                <w:kern w:val="0"/>
              </w:rPr>
              <w:t>1.56%</w:t>
            </w:r>
          </w:p>
        </w:tc>
        <w:tc>
          <w:tcPr>
            <w:tcW w:w="1188" w:type="dxa"/>
            <w:vAlign w:val="center"/>
          </w:tcPr>
          <w:p w:rsidR="00921362" w:rsidRDefault="00D44CC6">
            <w:pPr>
              <w:jc w:val="center"/>
            </w:pPr>
            <w:r>
              <w:rPr>
                <w:rFonts w:eastAsiaTheme="minorEastAsia"/>
                <w:color w:val="000000" w:themeColor="text1"/>
                <w:kern w:val="0"/>
              </w:rPr>
              <w:t>0.66%</w:t>
            </w:r>
          </w:p>
        </w:tc>
        <w:tc>
          <w:tcPr>
            <w:tcW w:w="1199" w:type="dxa"/>
            <w:vAlign w:val="center"/>
          </w:tcPr>
          <w:p w:rsidR="00921362" w:rsidRDefault="00D44CC6">
            <w:pPr>
              <w:jc w:val="center"/>
            </w:pPr>
            <w:r>
              <w:rPr>
                <w:rFonts w:eastAsiaTheme="minorEastAsia"/>
                <w:color w:val="000000" w:themeColor="text1"/>
                <w:kern w:val="0"/>
              </w:rPr>
              <w:t>7.29%</w:t>
            </w:r>
          </w:p>
        </w:tc>
        <w:tc>
          <w:tcPr>
            <w:tcW w:w="1204" w:type="dxa"/>
            <w:vAlign w:val="center"/>
          </w:tcPr>
          <w:p w:rsidR="00921362" w:rsidRDefault="00D44CC6">
            <w:pPr>
              <w:jc w:val="center"/>
            </w:pPr>
            <w:r>
              <w:rPr>
                <w:rFonts w:eastAsiaTheme="minorEastAsia"/>
                <w:color w:val="000000" w:themeColor="text1"/>
                <w:kern w:val="0"/>
              </w:rPr>
              <w:t>0.67%</w:t>
            </w:r>
          </w:p>
        </w:tc>
      </w:tr>
      <w:tr w:rsidR="00921362">
        <w:tc>
          <w:tcPr>
            <w:tcW w:w="1395" w:type="dxa"/>
            <w:vAlign w:val="center"/>
          </w:tcPr>
          <w:p w:rsidR="00921362" w:rsidRDefault="00D44CC6">
            <w:pPr>
              <w:jc w:val="left"/>
            </w:pPr>
            <w:r>
              <w:rPr>
                <w:rFonts w:eastAsiaTheme="minorEastAsia"/>
                <w:color w:val="000000" w:themeColor="text1"/>
                <w:kern w:val="0"/>
              </w:rPr>
              <w:t>过去六个月</w:t>
            </w:r>
          </w:p>
        </w:tc>
        <w:tc>
          <w:tcPr>
            <w:tcW w:w="1092" w:type="dxa"/>
            <w:vAlign w:val="center"/>
          </w:tcPr>
          <w:p w:rsidR="00921362" w:rsidRDefault="00D44CC6">
            <w:pPr>
              <w:jc w:val="center"/>
            </w:pPr>
            <w:r>
              <w:rPr>
                <w:rFonts w:eastAsiaTheme="minorEastAsia"/>
                <w:color w:val="000000" w:themeColor="text1"/>
                <w:kern w:val="0"/>
              </w:rPr>
              <w:t>0.26%</w:t>
            </w:r>
          </w:p>
        </w:tc>
        <w:tc>
          <w:tcPr>
            <w:tcW w:w="1161" w:type="dxa"/>
            <w:vAlign w:val="center"/>
          </w:tcPr>
          <w:p w:rsidR="00921362" w:rsidRDefault="00D44CC6">
            <w:pPr>
              <w:jc w:val="center"/>
            </w:pPr>
            <w:r>
              <w:rPr>
                <w:rFonts w:eastAsiaTheme="minorEastAsia"/>
                <w:color w:val="000000" w:themeColor="text1"/>
                <w:kern w:val="0"/>
              </w:rPr>
              <w:t>1.87%</w:t>
            </w:r>
          </w:p>
        </w:tc>
        <w:tc>
          <w:tcPr>
            <w:tcW w:w="1181" w:type="dxa"/>
            <w:vAlign w:val="center"/>
          </w:tcPr>
          <w:p w:rsidR="00921362" w:rsidRDefault="00D44CC6">
            <w:pPr>
              <w:jc w:val="center"/>
            </w:pPr>
            <w:r>
              <w:rPr>
                <w:rFonts w:eastAsiaTheme="minorEastAsia"/>
                <w:color w:val="000000" w:themeColor="text1"/>
                <w:kern w:val="0"/>
              </w:rPr>
              <w:t>4.85%</w:t>
            </w:r>
          </w:p>
        </w:tc>
        <w:tc>
          <w:tcPr>
            <w:tcW w:w="1188" w:type="dxa"/>
            <w:vAlign w:val="center"/>
          </w:tcPr>
          <w:p w:rsidR="00921362" w:rsidRDefault="00D44CC6">
            <w:pPr>
              <w:jc w:val="center"/>
            </w:pPr>
            <w:r>
              <w:rPr>
                <w:rFonts w:eastAsiaTheme="minorEastAsia"/>
                <w:color w:val="000000" w:themeColor="text1"/>
                <w:kern w:val="0"/>
              </w:rPr>
              <w:t>0.94%</w:t>
            </w:r>
          </w:p>
        </w:tc>
        <w:tc>
          <w:tcPr>
            <w:tcW w:w="1199" w:type="dxa"/>
            <w:vAlign w:val="center"/>
          </w:tcPr>
          <w:p w:rsidR="00921362" w:rsidRDefault="00D44CC6">
            <w:pPr>
              <w:jc w:val="center"/>
            </w:pPr>
            <w:r>
              <w:rPr>
                <w:rFonts w:eastAsiaTheme="minorEastAsia"/>
                <w:color w:val="000000" w:themeColor="text1"/>
                <w:kern w:val="0"/>
              </w:rPr>
              <w:t>-4.59%</w:t>
            </w:r>
          </w:p>
        </w:tc>
        <w:tc>
          <w:tcPr>
            <w:tcW w:w="1204" w:type="dxa"/>
            <w:vAlign w:val="center"/>
          </w:tcPr>
          <w:p w:rsidR="00921362" w:rsidRDefault="00D44CC6">
            <w:pPr>
              <w:jc w:val="center"/>
            </w:pPr>
            <w:r>
              <w:rPr>
                <w:rFonts w:eastAsiaTheme="minorEastAsia"/>
                <w:color w:val="000000" w:themeColor="text1"/>
                <w:kern w:val="0"/>
              </w:rPr>
              <w:t>0.93%</w:t>
            </w:r>
          </w:p>
        </w:tc>
      </w:tr>
      <w:tr w:rsidR="00921362">
        <w:tc>
          <w:tcPr>
            <w:tcW w:w="1395" w:type="dxa"/>
            <w:vAlign w:val="center"/>
          </w:tcPr>
          <w:p w:rsidR="00921362" w:rsidRDefault="00D44CC6">
            <w:pPr>
              <w:jc w:val="left"/>
            </w:pPr>
            <w:r>
              <w:rPr>
                <w:rFonts w:eastAsiaTheme="minorEastAsia"/>
                <w:color w:val="000000" w:themeColor="text1"/>
                <w:kern w:val="0"/>
              </w:rPr>
              <w:t>过去一年</w:t>
            </w:r>
          </w:p>
        </w:tc>
        <w:tc>
          <w:tcPr>
            <w:tcW w:w="1092" w:type="dxa"/>
            <w:vAlign w:val="center"/>
          </w:tcPr>
          <w:p w:rsidR="00921362" w:rsidRDefault="00D44CC6">
            <w:pPr>
              <w:jc w:val="center"/>
            </w:pPr>
            <w:r>
              <w:rPr>
                <w:rFonts w:eastAsiaTheme="minorEastAsia"/>
                <w:color w:val="000000" w:themeColor="text1"/>
                <w:kern w:val="0"/>
              </w:rPr>
              <w:t>23.92%</w:t>
            </w:r>
          </w:p>
        </w:tc>
        <w:tc>
          <w:tcPr>
            <w:tcW w:w="1161" w:type="dxa"/>
            <w:vAlign w:val="center"/>
          </w:tcPr>
          <w:p w:rsidR="00921362" w:rsidRDefault="00D44CC6">
            <w:pPr>
              <w:jc w:val="center"/>
            </w:pPr>
            <w:r>
              <w:rPr>
                <w:rFonts w:eastAsiaTheme="minorEastAsia"/>
                <w:color w:val="000000" w:themeColor="text1"/>
                <w:kern w:val="0"/>
              </w:rPr>
              <w:t>1.73%</w:t>
            </w:r>
          </w:p>
        </w:tc>
        <w:tc>
          <w:tcPr>
            <w:tcW w:w="1181" w:type="dxa"/>
            <w:vAlign w:val="center"/>
          </w:tcPr>
          <w:p w:rsidR="00921362" w:rsidRDefault="00D44CC6">
            <w:pPr>
              <w:jc w:val="center"/>
            </w:pPr>
            <w:r>
              <w:rPr>
                <w:rFonts w:eastAsiaTheme="minorEastAsia"/>
                <w:color w:val="000000" w:themeColor="text1"/>
                <w:kern w:val="0"/>
              </w:rPr>
              <w:t>20.11%</w:t>
            </w:r>
          </w:p>
        </w:tc>
        <w:tc>
          <w:tcPr>
            <w:tcW w:w="1188" w:type="dxa"/>
            <w:vAlign w:val="center"/>
          </w:tcPr>
          <w:p w:rsidR="00921362" w:rsidRDefault="00D44CC6">
            <w:pPr>
              <w:jc w:val="center"/>
            </w:pPr>
            <w:r>
              <w:rPr>
                <w:rFonts w:eastAsiaTheme="minorEastAsia"/>
                <w:color w:val="000000" w:themeColor="text1"/>
                <w:kern w:val="0"/>
              </w:rPr>
              <w:t>0.90%</w:t>
            </w:r>
          </w:p>
        </w:tc>
        <w:tc>
          <w:tcPr>
            <w:tcW w:w="1199" w:type="dxa"/>
            <w:vAlign w:val="center"/>
          </w:tcPr>
          <w:p w:rsidR="00921362" w:rsidRDefault="00D44CC6">
            <w:pPr>
              <w:jc w:val="center"/>
            </w:pPr>
            <w:r>
              <w:rPr>
                <w:rFonts w:eastAsiaTheme="minorEastAsia"/>
                <w:color w:val="000000" w:themeColor="text1"/>
                <w:kern w:val="0"/>
              </w:rPr>
              <w:t>3.81%</w:t>
            </w:r>
          </w:p>
        </w:tc>
        <w:tc>
          <w:tcPr>
            <w:tcW w:w="1204" w:type="dxa"/>
            <w:vAlign w:val="center"/>
          </w:tcPr>
          <w:p w:rsidR="00921362" w:rsidRDefault="00D44CC6">
            <w:pPr>
              <w:jc w:val="center"/>
            </w:pPr>
            <w:r>
              <w:rPr>
                <w:rFonts w:eastAsiaTheme="minorEastAsia"/>
                <w:color w:val="000000" w:themeColor="text1"/>
                <w:kern w:val="0"/>
              </w:rPr>
              <w:t>0.83%</w:t>
            </w:r>
          </w:p>
        </w:tc>
      </w:tr>
      <w:tr w:rsidR="00921362">
        <w:tc>
          <w:tcPr>
            <w:tcW w:w="1395" w:type="dxa"/>
            <w:vAlign w:val="center"/>
          </w:tcPr>
          <w:p w:rsidR="00921362" w:rsidRDefault="00D44CC6">
            <w:pPr>
              <w:jc w:val="left"/>
            </w:pPr>
            <w:r>
              <w:rPr>
                <w:rFonts w:eastAsiaTheme="minorEastAsia"/>
                <w:color w:val="000000" w:themeColor="text1"/>
                <w:kern w:val="0"/>
              </w:rPr>
              <w:t>过去三年</w:t>
            </w:r>
          </w:p>
        </w:tc>
        <w:tc>
          <w:tcPr>
            <w:tcW w:w="1092" w:type="dxa"/>
            <w:vAlign w:val="center"/>
          </w:tcPr>
          <w:p w:rsidR="00921362" w:rsidRDefault="00D44CC6">
            <w:pPr>
              <w:jc w:val="center"/>
            </w:pPr>
            <w:r>
              <w:rPr>
                <w:rFonts w:eastAsiaTheme="minorEastAsia"/>
                <w:color w:val="000000" w:themeColor="text1"/>
                <w:kern w:val="0"/>
              </w:rPr>
              <w:t>43.54%</w:t>
            </w:r>
          </w:p>
        </w:tc>
        <w:tc>
          <w:tcPr>
            <w:tcW w:w="1161" w:type="dxa"/>
            <w:vAlign w:val="center"/>
          </w:tcPr>
          <w:p w:rsidR="00921362" w:rsidRDefault="00D44CC6">
            <w:pPr>
              <w:jc w:val="center"/>
            </w:pPr>
            <w:r>
              <w:rPr>
                <w:rFonts w:eastAsiaTheme="minorEastAsia"/>
                <w:color w:val="000000" w:themeColor="text1"/>
                <w:kern w:val="0"/>
              </w:rPr>
              <w:t>1.44%</w:t>
            </w:r>
          </w:p>
        </w:tc>
        <w:tc>
          <w:tcPr>
            <w:tcW w:w="1181" w:type="dxa"/>
            <w:vAlign w:val="center"/>
          </w:tcPr>
          <w:p w:rsidR="00921362" w:rsidRDefault="00D44CC6">
            <w:pPr>
              <w:jc w:val="center"/>
            </w:pPr>
            <w:r>
              <w:rPr>
                <w:rFonts w:eastAsiaTheme="minorEastAsia"/>
                <w:color w:val="000000" w:themeColor="text1"/>
                <w:kern w:val="0"/>
              </w:rPr>
              <w:t>12.62%</w:t>
            </w:r>
          </w:p>
        </w:tc>
        <w:tc>
          <w:tcPr>
            <w:tcW w:w="1188" w:type="dxa"/>
            <w:vAlign w:val="center"/>
          </w:tcPr>
          <w:p w:rsidR="00921362" w:rsidRDefault="00D44CC6">
            <w:pPr>
              <w:jc w:val="center"/>
            </w:pPr>
            <w:r>
              <w:rPr>
                <w:rFonts w:eastAsiaTheme="minorEastAsia"/>
                <w:color w:val="000000" w:themeColor="text1"/>
                <w:kern w:val="0"/>
              </w:rPr>
              <w:t>0.92%</w:t>
            </w:r>
          </w:p>
        </w:tc>
        <w:tc>
          <w:tcPr>
            <w:tcW w:w="1199" w:type="dxa"/>
            <w:vAlign w:val="center"/>
          </w:tcPr>
          <w:p w:rsidR="00921362" w:rsidRDefault="00D44CC6">
            <w:pPr>
              <w:jc w:val="center"/>
            </w:pPr>
            <w:r>
              <w:rPr>
                <w:rFonts w:eastAsiaTheme="minorEastAsia"/>
                <w:color w:val="000000" w:themeColor="text1"/>
                <w:kern w:val="0"/>
              </w:rPr>
              <w:t>30.92%</w:t>
            </w:r>
          </w:p>
        </w:tc>
        <w:tc>
          <w:tcPr>
            <w:tcW w:w="1204" w:type="dxa"/>
            <w:vAlign w:val="center"/>
          </w:tcPr>
          <w:p w:rsidR="00921362" w:rsidRDefault="00D44CC6">
            <w:pPr>
              <w:jc w:val="center"/>
            </w:pPr>
            <w:r>
              <w:rPr>
                <w:rFonts w:eastAsiaTheme="minorEastAsia"/>
                <w:color w:val="000000" w:themeColor="text1"/>
                <w:kern w:val="0"/>
              </w:rPr>
              <w:t>0.52%</w:t>
            </w:r>
          </w:p>
        </w:tc>
      </w:tr>
      <w:tr w:rsidR="00921362">
        <w:tc>
          <w:tcPr>
            <w:tcW w:w="1395" w:type="dxa"/>
            <w:vAlign w:val="center"/>
          </w:tcPr>
          <w:p w:rsidR="00921362" w:rsidRDefault="00D44CC6">
            <w:pPr>
              <w:jc w:val="left"/>
            </w:pPr>
            <w:r>
              <w:rPr>
                <w:rFonts w:eastAsiaTheme="minorEastAsia"/>
                <w:color w:val="000000" w:themeColor="text1"/>
                <w:kern w:val="0"/>
              </w:rPr>
              <w:t>过去五年</w:t>
            </w:r>
          </w:p>
        </w:tc>
        <w:tc>
          <w:tcPr>
            <w:tcW w:w="1092" w:type="dxa"/>
            <w:vAlign w:val="center"/>
          </w:tcPr>
          <w:p w:rsidR="00921362" w:rsidRDefault="00D44CC6">
            <w:pPr>
              <w:jc w:val="center"/>
            </w:pPr>
            <w:r>
              <w:rPr>
                <w:rFonts w:eastAsiaTheme="minorEastAsia"/>
                <w:color w:val="000000" w:themeColor="text1"/>
                <w:kern w:val="0"/>
              </w:rPr>
              <w:t>-</w:t>
            </w:r>
          </w:p>
        </w:tc>
        <w:tc>
          <w:tcPr>
            <w:tcW w:w="1161" w:type="dxa"/>
            <w:vAlign w:val="center"/>
          </w:tcPr>
          <w:p w:rsidR="00921362" w:rsidRDefault="00D44CC6">
            <w:pPr>
              <w:jc w:val="center"/>
            </w:pPr>
            <w:r>
              <w:rPr>
                <w:rFonts w:eastAsiaTheme="minorEastAsia"/>
                <w:color w:val="000000" w:themeColor="text1"/>
                <w:kern w:val="0"/>
              </w:rPr>
              <w:t>-</w:t>
            </w:r>
          </w:p>
        </w:tc>
        <w:tc>
          <w:tcPr>
            <w:tcW w:w="1181" w:type="dxa"/>
            <w:vAlign w:val="center"/>
          </w:tcPr>
          <w:p w:rsidR="00921362" w:rsidRDefault="00D44CC6">
            <w:pPr>
              <w:jc w:val="center"/>
            </w:pPr>
            <w:r>
              <w:rPr>
                <w:rFonts w:eastAsiaTheme="minorEastAsia"/>
                <w:color w:val="000000" w:themeColor="text1"/>
                <w:kern w:val="0"/>
              </w:rPr>
              <w:t>-</w:t>
            </w:r>
          </w:p>
        </w:tc>
        <w:tc>
          <w:tcPr>
            <w:tcW w:w="1188" w:type="dxa"/>
            <w:vAlign w:val="center"/>
          </w:tcPr>
          <w:p w:rsidR="00921362" w:rsidRDefault="00D44CC6">
            <w:pPr>
              <w:jc w:val="center"/>
            </w:pPr>
            <w:r>
              <w:rPr>
                <w:rFonts w:eastAsiaTheme="minorEastAsia"/>
                <w:color w:val="000000" w:themeColor="text1"/>
                <w:kern w:val="0"/>
              </w:rPr>
              <w:t>-</w:t>
            </w:r>
          </w:p>
        </w:tc>
        <w:tc>
          <w:tcPr>
            <w:tcW w:w="1199" w:type="dxa"/>
            <w:vAlign w:val="center"/>
          </w:tcPr>
          <w:p w:rsidR="00921362" w:rsidRDefault="00D44CC6">
            <w:pPr>
              <w:jc w:val="center"/>
            </w:pPr>
            <w:r>
              <w:rPr>
                <w:rFonts w:eastAsiaTheme="minorEastAsia"/>
                <w:color w:val="000000" w:themeColor="text1"/>
                <w:kern w:val="0"/>
              </w:rPr>
              <w:t>-</w:t>
            </w:r>
          </w:p>
        </w:tc>
        <w:tc>
          <w:tcPr>
            <w:tcW w:w="1204" w:type="dxa"/>
            <w:vAlign w:val="center"/>
          </w:tcPr>
          <w:p w:rsidR="00921362" w:rsidRDefault="00D44CC6">
            <w:pPr>
              <w:jc w:val="center"/>
            </w:pPr>
            <w:r>
              <w:rPr>
                <w:rFonts w:eastAsiaTheme="minorEastAsia"/>
                <w:color w:val="000000" w:themeColor="text1"/>
                <w:kern w:val="0"/>
              </w:rPr>
              <w:t>-</w:t>
            </w:r>
          </w:p>
        </w:tc>
      </w:tr>
      <w:tr w:rsidR="00921362">
        <w:tc>
          <w:tcPr>
            <w:tcW w:w="1395" w:type="dxa"/>
            <w:vAlign w:val="center"/>
          </w:tcPr>
          <w:p w:rsidR="00921362" w:rsidRDefault="00D44CC6">
            <w:pPr>
              <w:jc w:val="left"/>
            </w:pPr>
            <w:r>
              <w:rPr>
                <w:rFonts w:eastAsiaTheme="minorEastAsia"/>
                <w:color w:val="000000" w:themeColor="text1"/>
                <w:kern w:val="0"/>
              </w:rPr>
              <w:t>自基金合同生效起至今</w:t>
            </w:r>
          </w:p>
        </w:tc>
        <w:tc>
          <w:tcPr>
            <w:tcW w:w="1092" w:type="dxa"/>
            <w:vAlign w:val="center"/>
          </w:tcPr>
          <w:p w:rsidR="00921362" w:rsidRDefault="00D44CC6">
            <w:pPr>
              <w:jc w:val="center"/>
            </w:pPr>
            <w:r>
              <w:rPr>
                <w:rFonts w:eastAsiaTheme="minorEastAsia"/>
                <w:color w:val="000000" w:themeColor="text1"/>
                <w:kern w:val="0"/>
              </w:rPr>
              <w:t>43.04%</w:t>
            </w:r>
          </w:p>
        </w:tc>
        <w:tc>
          <w:tcPr>
            <w:tcW w:w="1161" w:type="dxa"/>
            <w:vAlign w:val="center"/>
          </w:tcPr>
          <w:p w:rsidR="00921362" w:rsidRDefault="00D44CC6">
            <w:pPr>
              <w:jc w:val="center"/>
            </w:pPr>
            <w:r>
              <w:rPr>
                <w:rFonts w:eastAsiaTheme="minorEastAsia"/>
                <w:color w:val="000000" w:themeColor="text1"/>
                <w:kern w:val="0"/>
              </w:rPr>
              <w:t>1.42%</w:t>
            </w:r>
          </w:p>
        </w:tc>
        <w:tc>
          <w:tcPr>
            <w:tcW w:w="1181" w:type="dxa"/>
            <w:vAlign w:val="center"/>
          </w:tcPr>
          <w:p w:rsidR="00921362" w:rsidRDefault="00D44CC6">
            <w:pPr>
              <w:jc w:val="center"/>
            </w:pPr>
            <w:r>
              <w:rPr>
                <w:rFonts w:eastAsiaTheme="minorEastAsia"/>
                <w:color w:val="000000" w:themeColor="text1"/>
                <w:kern w:val="0"/>
              </w:rPr>
              <w:t>5.73%</w:t>
            </w:r>
          </w:p>
        </w:tc>
        <w:tc>
          <w:tcPr>
            <w:tcW w:w="1188" w:type="dxa"/>
            <w:vAlign w:val="center"/>
          </w:tcPr>
          <w:p w:rsidR="00921362" w:rsidRDefault="00D44CC6">
            <w:pPr>
              <w:jc w:val="center"/>
            </w:pPr>
            <w:r>
              <w:rPr>
                <w:rFonts w:eastAsiaTheme="minorEastAsia"/>
                <w:color w:val="000000" w:themeColor="text1"/>
                <w:kern w:val="0"/>
              </w:rPr>
              <w:t>0.92%</w:t>
            </w:r>
          </w:p>
        </w:tc>
        <w:tc>
          <w:tcPr>
            <w:tcW w:w="1199" w:type="dxa"/>
            <w:vAlign w:val="center"/>
          </w:tcPr>
          <w:p w:rsidR="00921362" w:rsidRDefault="00D44CC6">
            <w:pPr>
              <w:jc w:val="center"/>
            </w:pPr>
            <w:r>
              <w:rPr>
                <w:rFonts w:eastAsiaTheme="minorEastAsia"/>
                <w:color w:val="000000" w:themeColor="text1"/>
                <w:kern w:val="0"/>
              </w:rPr>
              <w:t>37.31%</w:t>
            </w:r>
          </w:p>
        </w:tc>
        <w:tc>
          <w:tcPr>
            <w:tcW w:w="1204" w:type="dxa"/>
            <w:vAlign w:val="center"/>
          </w:tcPr>
          <w:p w:rsidR="00921362" w:rsidRDefault="00D44CC6">
            <w:pPr>
              <w:jc w:val="center"/>
            </w:pPr>
            <w:r>
              <w:rPr>
                <w:rFonts w:eastAsiaTheme="minorEastAsia"/>
                <w:color w:val="000000" w:themeColor="text1"/>
                <w:kern w:val="0"/>
              </w:rPr>
              <w:t>0.50%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上投摩根香港精选港股通混合型证券投资基金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(2018</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8</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921362" w:rsidRDefault="00D44CC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w:t>
      </w:r>
      <w:r>
        <w:rPr>
          <w:rFonts w:eastAsiaTheme="minorEastAsia"/>
          <w:color w:val="000000" w:themeColor="text1"/>
        </w:rPr>
        <w:t>8</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921362">
        <w:tc>
          <w:tcPr>
            <w:tcW w:w="851" w:type="dxa"/>
            <w:vAlign w:val="center"/>
          </w:tcPr>
          <w:p w:rsidR="00921362" w:rsidRDefault="00D44CC6">
            <w:pPr>
              <w:jc w:val="center"/>
            </w:pPr>
            <w:r>
              <w:rPr>
                <w:rFonts w:eastAsiaTheme="minorEastAsia"/>
                <w:color w:val="000000" w:themeColor="text1"/>
              </w:rPr>
              <w:t>王丽军</w:t>
            </w:r>
          </w:p>
        </w:tc>
        <w:tc>
          <w:tcPr>
            <w:tcW w:w="850" w:type="dxa"/>
            <w:vAlign w:val="center"/>
          </w:tcPr>
          <w:p w:rsidR="00921362" w:rsidRDefault="00D44CC6">
            <w:pPr>
              <w:jc w:val="center"/>
            </w:pPr>
            <w:r>
              <w:rPr>
                <w:rFonts w:eastAsiaTheme="minorEastAsia"/>
                <w:color w:val="000000" w:themeColor="text1"/>
              </w:rPr>
              <w:t>本基金基金经理</w:t>
            </w:r>
          </w:p>
        </w:tc>
        <w:tc>
          <w:tcPr>
            <w:tcW w:w="1560" w:type="dxa"/>
            <w:vAlign w:val="center"/>
          </w:tcPr>
          <w:p w:rsidR="00921362" w:rsidRDefault="00D44CC6">
            <w:pPr>
              <w:jc w:val="center"/>
            </w:pPr>
            <w:r>
              <w:rPr>
                <w:rFonts w:eastAsiaTheme="minorEastAsia"/>
                <w:color w:val="000000" w:themeColor="text1"/>
              </w:rPr>
              <w:t>2021-06-08</w:t>
            </w:r>
          </w:p>
        </w:tc>
        <w:tc>
          <w:tcPr>
            <w:tcW w:w="1559" w:type="dxa"/>
            <w:vAlign w:val="center"/>
          </w:tcPr>
          <w:p w:rsidR="00921362" w:rsidRDefault="00D44CC6">
            <w:pPr>
              <w:jc w:val="center"/>
            </w:pPr>
            <w:r>
              <w:rPr>
                <w:rFonts w:eastAsiaTheme="minorEastAsia"/>
                <w:color w:val="000000" w:themeColor="text1"/>
              </w:rPr>
              <w:t>-</w:t>
            </w:r>
          </w:p>
        </w:tc>
        <w:tc>
          <w:tcPr>
            <w:tcW w:w="1417" w:type="dxa"/>
            <w:vAlign w:val="center"/>
          </w:tcPr>
          <w:p w:rsidR="00921362" w:rsidRDefault="00D44CC6">
            <w:pPr>
              <w:jc w:val="center"/>
            </w:pPr>
            <w:r>
              <w:rPr>
                <w:rFonts w:eastAsiaTheme="minorEastAsia"/>
                <w:color w:val="000000" w:themeColor="text1"/>
              </w:rPr>
              <w:t>14</w:t>
            </w:r>
            <w:r>
              <w:rPr>
                <w:rFonts w:eastAsiaTheme="minorEastAsia"/>
                <w:color w:val="000000" w:themeColor="text1"/>
              </w:rPr>
              <w:t>年</w:t>
            </w:r>
          </w:p>
        </w:tc>
        <w:tc>
          <w:tcPr>
            <w:tcW w:w="2694" w:type="dxa"/>
            <w:vAlign w:val="center"/>
          </w:tcPr>
          <w:p w:rsidR="00921362" w:rsidRDefault="00D44CC6">
            <w:r>
              <w:rPr>
                <w:rFonts w:eastAsiaTheme="minorEastAsia"/>
                <w:color w:val="000000" w:themeColor="text1"/>
              </w:rPr>
              <w:t>基金经理王丽军女士，硕士研究生，</w:t>
            </w:r>
            <w:r>
              <w:rPr>
                <w:rFonts w:eastAsiaTheme="minorEastAsia"/>
                <w:color w:val="000000" w:themeColor="text1"/>
              </w:rPr>
              <w:t>2000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2003</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月在深圳永泰软件公司任项目实施专员；</w:t>
            </w:r>
            <w:r>
              <w:rPr>
                <w:rFonts w:eastAsiaTheme="minorEastAsia"/>
                <w:color w:val="000000" w:themeColor="text1"/>
              </w:rPr>
              <w:t>2006</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月至</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月在大公国际资信评估公司任行业评级部经理；</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月至</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月在东吴基金管理公司任行业研究员；</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月至</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月在申万巴黎基金管理公司任行业研究员；</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月起加入上投摩根基金管理有</w:t>
            </w:r>
            <w:r>
              <w:rPr>
                <w:rFonts w:eastAsiaTheme="minorEastAsia"/>
                <w:color w:val="000000" w:themeColor="text1"/>
              </w:rPr>
              <w:lastRenderedPageBreak/>
              <w:t>限公司，任我公司基金经理助理</w:t>
            </w:r>
            <w:r>
              <w:rPr>
                <w:rFonts w:eastAsiaTheme="minorEastAsia"/>
                <w:color w:val="000000" w:themeColor="text1"/>
              </w:rPr>
              <w:t>/</w:t>
            </w:r>
            <w:r>
              <w:rPr>
                <w:rFonts w:eastAsiaTheme="minorEastAsia"/>
                <w:color w:val="000000" w:themeColor="text1"/>
              </w:rPr>
              <w:t>行业专家、基金经理，自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月起担任上投摩根中国世纪灵活配置混合型证券投资基金基金经理，自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月起同时担任上投摩根领先优选混合型证券</w:t>
            </w:r>
            <w:r>
              <w:rPr>
                <w:rFonts w:eastAsiaTheme="minorEastAsia"/>
                <w:color w:val="000000" w:themeColor="text1"/>
              </w:rPr>
              <w:t>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月起同时担任上投摩根香港精选港股通混合型证券投资基金基金经理。</w:t>
            </w:r>
          </w:p>
        </w:tc>
      </w:tr>
      <w:tr w:rsidR="00921362">
        <w:tc>
          <w:tcPr>
            <w:tcW w:w="851" w:type="dxa"/>
            <w:vAlign w:val="center"/>
          </w:tcPr>
          <w:p w:rsidR="00921362" w:rsidRDefault="00D44CC6">
            <w:pPr>
              <w:jc w:val="center"/>
            </w:pPr>
            <w:r>
              <w:rPr>
                <w:rFonts w:eastAsiaTheme="minorEastAsia"/>
                <w:color w:val="000000" w:themeColor="text1"/>
              </w:rPr>
              <w:lastRenderedPageBreak/>
              <w:t>张淑婉</w:t>
            </w:r>
          </w:p>
        </w:tc>
        <w:tc>
          <w:tcPr>
            <w:tcW w:w="850" w:type="dxa"/>
            <w:vAlign w:val="center"/>
          </w:tcPr>
          <w:p w:rsidR="00921362" w:rsidRDefault="00D44CC6">
            <w:pPr>
              <w:jc w:val="center"/>
            </w:pPr>
            <w:r>
              <w:rPr>
                <w:rFonts w:eastAsiaTheme="minorEastAsia"/>
                <w:color w:val="000000" w:themeColor="text1"/>
              </w:rPr>
              <w:t>本基金基金经理</w:t>
            </w:r>
          </w:p>
        </w:tc>
        <w:tc>
          <w:tcPr>
            <w:tcW w:w="1560" w:type="dxa"/>
            <w:vAlign w:val="center"/>
          </w:tcPr>
          <w:p w:rsidR="00921362" w:rsidRDefault="00D44CC6">
            <w:pPr>
              <w:jc w:val="center"/>
            </w:pPr>
            <w:r>
              <w:rPr>
                <w:rFonts w:eastAsiaTheme="minorEastAsia"/>
                <w:color w:val="000000" w:themeColor="text1"/>
              </w:rPr>
              <w:t>2018-06-08</w:t>
            </w:r>
          </w:p>
        </w:tc>
        <w:tc>
          <w:tcPr>
            <w:tcW w:w="1559" w:type="dxa"/>
            <w:vAlign w:val="center"/>
          </w:tcPr>
          <w:p w:rsidR="00921362" w:rsidRDefault="00D44CC6">
            <w:pPr>
              <w:jc w:val="center"/>
            </w:pPr>
            <w:r>
              <w:rPr>
                <w:rFonts w:eastAsiaTheme="minorEastAsia"/>
                <w:color w:val="000000" w:themeColor="text1"/>
              </w:rPr>
              <w:t>2021-07-01</w:t>
            </w:r>
          </w:p>
        </w:tc>
        <w:tc>
          <w:tcPr>
            <w:tcW w:w="1417" w:type="dxa"/>
            <w:vAlign w:val="center"/>
          </w:tcPr>
          <w:p w:rsidR="00921362" w:rsidRDefault="00D44CC6">
            <w:pPr>
              <w:jc w:val="center"/>
            </w:pPr>
            <w:r>
              <w:rPr>
                <w:rFonts w:eastAsiaTheme="minorEastAsia"/>
                <w:color w:val="000000" w:themeColor="text1"/>
              </w:rPr>
              <w:t>30</w:t>
            </w:r>
            <w:r>
              <w:rPr>
                <w:rFonts w:eastAsiaTheme="minorEastAsia"/>
                <w:color w:val="000000" w:themeColor="text1"/>
              </w:rPr>
              <w:t>年</w:t>
            </w:r>
          </w:p>
        </w:tc>
        <w:tc>
          <w:tcPr>
            <w:tcW w:w="2694" w:type="dxa"/>
            <w:vAlign w:val="center"/>
          </w:tcPr>
          <w:p w:rsidR="00921362" w:rsidRDefault="00D44CC6">
            <w:r>
              <w:rPr>
                <w:rFonts w:eastAsiaTheme="minorEastAsia"/>
                <w:color w:val="000000" w:themeColor="text1"/>
              </w:rPr>
              <w:t>张淑婉女士，台湾大学财务金融研究所</w:t>
            </w:r>
            <w:r>
              <w:rPr>
                <w:rFonts w:eastAsiaTheme="minorEastAsia"/>
                <w:color w:val="000000" w:themeColor="text1"/>
              </w:rPr>
              <w:t>MBA</w:t>
            </w:r>
            <w:r>
              <w:rPr>
                <w:rFonts w:eastAsiaTheme="minorEastAsia"/>
                <w:color w:val="000000" w:themeColor="text1"/>
              </w:rPr>
              <w:t>，自</w:t>
            </w:r>
            <w:r>
              <w:rPr>
                <w:rFonts w:eastAsiaTheme="minorEastAsia"/>
                <w:color w:val="000000" w:themeColor="text1"/>
              </w:rPr>
              <w:t>1987</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月至</w:t>
            </w:r>
            <w:r>
              <w:rPr>
                <w:rFonts w:eastAsiaTheme="minorEastAsia"/>
                <w:color w:val="000000" w:themeColor="text1"/>
              </w:rPr>
              <w:t>1989</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月，在东盟成衣股份有限公司担任研究部专员；自</w:t>
            </w:r>
            <w:r>
              <w:rPr>
                <w:rFonts w:eastAsiaTheme="minorEastAsia"/>
                <w:color w:val="000000" w:themeColor="text1"/>
              </w:rPr>
              <w:t>1989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1991</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月，在富隆证券股份有限公司担任投行部专员；自</w:t>
            </w:r>
            <w:r>
              <w:rPr>
                <w:rFonts w:eastAsiaTheme="minorEastAsia"/>
                <w:color w:val="000000" w:themeColor="text1"/>
              </w:rPr>
              <w:t>1993</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1998</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月，在光华证券投资信托股份有限公司担任研究部副理；自</w:t>
            </w:r>
            <w:r>
              <w:rPr>
                <w:rFonts w:eastAsiaTheme="minorEastAsia"/>
                <w:color w:val="000000" w:themeColor="text1"/>
              </w:rPr>
              <w:t>1998</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月至</w:t>
            </w:r>
            <w:r>
              <w:rPr>
                <w:rFonts w:eastAsiaTheme="minorEastAsia"/>
                <w:color w:val="000000" w:themeColor="text1"/>
              </w:rPr>
              <w:t>2006</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月，在摩根富林明证券信托股份有限公司担任副总经理；自</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月至</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月，在德意志亚洲资产管理公司担任副总经理；自</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月，在嘉实国际资产管理公司担任副总经理；自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w:t>
            </w:r>
            <w:r>
              <w:rPr>
                <w:rFonts w:eastAsiaTheme="minorEastAsia"/>
                <w:color w:val="000000" w:themeColor="text1"/>
              </w:rPr>
              <w:t>16</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月，在上投摩根资产管理（香港）有限公司担任投资总监。自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月起加入上投摩根基金管理有限公司，自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月至</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月同时担任上投摩根亚太优势混合型证券投资基金基金经理及上投摩根全球新兴市场混合型证券投资基金基金经理，自</w:t>
            </w:r>
            <w:r>
              <w:rPr>
                <w:rFonts w:eastAsiaTheme="minorEastAsia"/>
                <w:color w:val="000000" w:themeColor="text1"/>
              </w:rPr>
              <w:t>2017</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月至</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月同时担任上投</w:t>
            </w:r>
            <w:r>
              <w:rPr>
                <w:rFonts w:eastAsiaTheme="minorEastAsia"/>
                <w:color w:val="000000" w:themeColor="text1"/>
              </w:rPr>
              <w:lastRenderedPageBreak/>
              <w:t>摩根标普港股通低波红利指数型证券投资基金基金经理，自</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月至</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月同时担任上投摩根香港精选港股通混合型证券投资基金基金经理。</w:t>
            </w:r>
          </w:p>
        </w:tc>
      </w:tr>
      <w:tr w:rsidR="00921362">
        <w:tc>
          <w:tcPr>
            <w:tcW w:w="851" w:type="dxa"/>
            <w:vAlign w:val="center"/>
          </w:tcPr>
          <w:p w:rsidR="00921362" w:rsidRDefault="00D44CC6">
            <w:pPr>
              <w:jc w:val="center"/>
            </w:pPr>
            <w:r>
              <w:rPr>
                <w:rFonts w:eastAsiaTheme="minorEastAsia"/>
                <w:color w:val="000000" w:themeColor="text1"/>
              </w:rPr>
              <w:lastRenderedPageBreak/>
              <w:t>赵隆隆</w:t>
            </w:r>
          </w:p>
        </w:tc>
        <w:tc>
          <w:tcPr>
            <w:tcW w:w="850" w:type="dxa"/>
            <w:vAlign w:val="center"/>
          </w:tcPr>
          <w:p w:rsidR="00921362" w:rsidRDefault="00D44CC6">
            <w:pPr>
              <w:jc w:val="center"/>
            </w:pPr>
            <w:r>
              <w:rPr>
                <w:rFonts w:eastAsiaTheme="minorEastAsia"/>
                <w:color w:val="000000" w:themeColor="text1"/>
              </w:rPr>
              <w:t>本基金基金经理</w:t>
            </w:r>
          </w:p>
        </w:tc>
        <w:tc>
          <w:tcPr>
            <w:tcW w:w="1560" w:type="dxa"/>
            <w:vAlign w:val="center"/>
          </w:tcPr>
          <w:p w:rsidR="00921362" w:rsidRDefault="00D44CC6">
            <w:pPr>
              <w:jc w:val="center"/>
            </w:pPr>
            <w:r>
              <w:rPr>
                <w:rFonts w:eastAsiaTheme="minorEastAsia"/>
                <w:color w:val="000000" w:themeColor="text1"/>
              </w:rPr>
              <w:t>2021-06-08</w:t>
            </w:r>
          </w:p>
        </w:tc>
        <w:tc>
          <w:tcPr>
            <w:tcW w:w="1559" w:type="dxa"/>
            <w:vAlign w:val="center"/>
          </w:tcPr>
          <w:p w:rsidR="00921362" w:rsidRDefault="00D44CC6">
            <w:pPr>
              <w:jc w:val="center"/>
            </w:pPr>
            <w:r>
              <w:rPr>
                <w:rFonts w:eastAsiaTheme="minorEastAsia"/>
                <w:color w:val="000000" w:themeColor="text1"/>
              </w:rPr>
              <w:t>-</w:t>
            </w:r>
          </w:p>
        </w:tc>
        <w:tc>
          <w:tcPr>
            <w:tcW w:w="1417" w:type="dxa"/>
            <w:vAlign w:val="center"/>
          </w:tcPr>
          <w:p w:rsidR="00921362" w:rsidRDefault="00D44CC6">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rsidR="00921362" w:rsidRDefault="00D44CC6">
            <w:r>
              <w:rPr>
                <w:rFonts w:eastAsiaTheme="minorEastAsia"/>
                <w:color w:val="000000" w:themeColor="text1"/>
              </w:rPr>
              <w:t>赵隆隆先生</w:t>
            </w:r>
            <w:r>
              <w:rPr>
                <w:rFonts w:eastAsiaTheme="minorEastAsia"/>
                <w:color w:val="000000" w:themeColor="text1"/>
              </w:rPr>
              <w:t>,</w:t>
            </w:r>
            <w:r>
              <w:rPr>
                <w:rFonts w:eastAsiaTheme="minorEastAsia"/>
                <w:color w:val="000000" w:themeColor="text1"/>
              </w:rPr>
              <w:t>上海财经大</w:t>
            </w:r>
            <w:r>
              <w:rPr>
                <w:rFonts w:eastAsiaTheme="minorEastAsia"/>
                <w:color w:val="000000" w:themeColor="text1"/>
              </w:rPr>
              <w:t>学产业经济学硕士，现任基金经理。赵隆隆先生自</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月，在上海申银万国证券研究所有限公司担任制造业研究部资深高级分析师；自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月起加入上投摩根基金管理有限公司，历任行业专家、行业专家兼研究组长、基金经理助理，现任基金经理。自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月起担任上投摩根核心精选股票型券投资基金基金经理，自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月起同时担任上投摩根香港精选港股通混合型证券投资基金基金经理。</w:t>
            </w:r>
          </w:p>
        </w:tc>
      </w:tr>
    </w:tbl>
    <w:p w:rsidR="00921362" w:rsidRDefault="00D44CC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921362" w:rsidRDefault="00D44CC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张淑婉女士为本基金首任基金经理，其任职日期指本基金基金合同生效之日。</w:t>
      </w:r>
    </w:p>
    <w:p w:rsidR="00921362" w:rsidRDefault="00D44CC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3.</w:t>
      </w:r>
      <w:r>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4.</w:t>
      </w:r>
      <w:r w:rsidRPr="00FF6B9A">
        <w:rPr>
          <w:rFonts w:eastAsiaTheme="minorEastAsia"/>
          <w:color w:val="000000" w:themeColor="text1"/>
        </w:rPr>
        <w:t>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日起，张淑婉女士不再担任本基金基金经理。</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香港精选港股通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 xml:space="preserve">4.3.1 </w:t>
      </w:r>
      <w:r w:rsidRPr="00FF6B9A">
        <w:rPr>
          <w:rFonts w:eastAsiaTheme="minorEastAsia"/>
          <w:color w:val="000000" w:themeColor="text1"/>
          <w:sz w:val="24"/>
          <w:szCs w:val="24"/>
        </w:rPr>
        <w:t>公平交易制度的执行情况</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报告期内，本</w:t>
      </w:r>
      <w:r>
        <w:rPr>
          <w:rFonts w:eastAsiaTheme="minorEastAsia"/>
          <w:color w:val="000000" w:themeColor="text1"/>
        </w:rPr>
        <w:t>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w:t>
      </w:r>
      <w:r>
        <w:rPr>
          <w:rFonts w:eastAsiaTheme="minorEastAsia"/>
          <w:color w:val="000000" w:themeColor="text1"/>
        </w:rPr>
        <w:t>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上半年美国经济修复预期导致美债收益率快速上升，投资者对货币收紧的预期导致市场下行，后期拜登政府税制改革导致纳指进一步下跌。但近期随着美债收益率下行，科技股表现转为强势，成长板块再度跑赢大盘。沪深</w:t>
      </w:r>
      <w:r>
        <w:rPr>
          <w:rFonts w:eastAsiaTheme="minorEastAsia"/>
          <w:color w:val="000000" w:themeColor="text1"/>
        </w:rPr>
        <w:t xml:space="preserve"> 300 </w:t>
      </w:r>
      <w:r>
        <w:rPr>
          <w:rFonts w:eastAsiaTheme="minorEastAsia"/>
          <w:color w:val="000000" w:themeColor="text1"/>
        </w:rPr>
        <w:t>也受到资金抱团瓦解的影响，市场估值明显回调。但四月政治局会议定调流动性短期内不会再收紧</w:t>
      </w:r>
      <w:r>
        <w:rPr>
          <w:rFonts w:eastAsiaTheme="minorEastAsia"/>
          <w:color w:val="000000" w:themeColor="text1"/>
        </w:rPr>
        <w:t xml:space="preserve"> , </w:t>
      </w:r>
      <w:r>
        <w:rPr>
          <w:rFonts w:eastAsiaTheme="minorEastAsia"/>
          <w:color w:val="000000" w:themeColor="text1"/>
        </w:rPr>
        <w:t>五一后指数再次上行，以能源、原材料、工业等周期行业为主要成分的中证</w:t>
      </w:r>
      <w:r>
        <w:rPr>
          <w:rFonts w:eastAsiaTheme="minorEastAsia"/>
          <w:color w:val="000000" w:themeColor="text1"/>
        </w:rPr>
        <w:t>500</w:t>
      </w:r>
      <w:r>
        <w:rPr>
          <w:rFonts w:eastAsiaTheme="minorEastAsia"/>
          <w:color w:val="000000" w:themeColor="text1"/>
        </w:rPr>
        <w:t>逐渐走出</w:t>
      </w:r>
      <w:r>
        <w:rPr>
          <w:rFonts w:eastAsiaTheme="minorEastAsia"/>
          <w:color w:val="000000" w:themeColor="text1"/>
        </w:rPr>
        <w:t>抱团股股价大跌的影响。</w:t>
      </w:r>
      <w:r>
        <w:rPr>
          <w:rFonts w:eastAsiaTheme="minorEastAsia"/>
          <w:color w:val="000000" w:themeColor="text1"/>
        </w:rPr>
        <w:t>4</w:t>
      </w:r>
      <w:r>
        <w:rPr>
          <w:rFonts w:eastAsiaTheme="minorEastAsia"/>
          <w:color w:val="000000" w:themeColor="text1"/>
        </w:rPr>
        <w:t>月以来，港股在</w:t>
      </w:r>
      <w:r>
        <w:rPr>
          <w:rFonts w:eastAsiaTheme="minorEastAsia"/>
          <w:color w:val="000000" w:themeColor="text1"/>
        </w:rPr>
        <w:t>2020</w:t>
      </w:r>
      <w:r>
        <w:rPr>
          <w:rFonts w:eastAsiaTheme="minorEastAsia"/>
          <w:color w:val="000000" w:themeColor="text1"/>
        </w:rPr>
        <w:t>年报和</w:t>
      </w:r>
      <w:r>
        <w:rPr>
          <w:rFonts w:eastAsiaTheme="minorEastAsia"/>
          <w:color w:val="000000" w:themeColor="text1"/>
        </w:rPr>
        <w:t>2021</w:t>
      </w:r>
      <w:r>
        <w:rPr>
          <w:rFonts w:eastAsiaTheme="minorEastAsia"/>
          <w:color w:val="000000" w:themeColor="text1"/>
        </w:rPr>
        <w:t>年一季报的支撑下止跌反弹，</w:t>
      </w:r>
      <w:r>
        <w:rPr>
          <w:rFonts w:eastAsiaTheme="minorEastAsia"/>
          <w:color w:val="000000" w:themeColor="text1"/>
        </w:rPr>
        <w:t>6</w:t>
      </w:r>
      <w:r>
        <w:rPr>
          <w:rFonts w:eastAsiaTheme="minorEastAsia"/>
          <w:color w:val="000000" w:themeColor="text1"/>
        </w:rPr>
        <w:t>月以来，指数受到国内预期改变等不确定因素再度走弱，但受到纳指走强，且疫情因变种病毒而反复，医药及成长板块再度走强，香港本地股则表现平平。</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本基金在二季度的业绩表现跑赢业绩基准，主要因为我们超配在内地的新经济板块反弹，</w:t>
      </w:r>
      <w:r>
        <w:rPr>
          <w:rFonts w:eastAsiaTheme="minorEastAsia"/>
          <w:color w:val="000000" w:themeColor="text1"/>
        </w:rPr>
        <w:lastRenderedPageBreak/>
        <w:t>尤其超配的医药个股在一季度业绩超预期并给出良好业绩指引后股价大幅回升，而运动及汽车板块亦有正贡献，使得基金的业绩表现较好。</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人口普查报告出来后，我们认为未来消费投资将顺应老龄化、少子化趋势，新的消费热点和产业升级动力就在其中。原先朝阳产业的需求萎缩沿着母婴消费、早教、幼教、在线教育的路径传导。中国将成为老龄化消费大国，</w:t>
      </w:r>
      <w:r w:rsidRPr="00FF6B9A">
        <w:rPr>
          <w:rFonts w:eastAsiaTheme="minorEastAsia"/>
          <w:color w:val="000000" w:themeColor="text1"/>
        </w:rPr>
        <w:t>60</w:t>
      </w:r>
      <w:r w:rsidRPr="00FF6B9A">
        <w:rPr>
          <w:rFonts w:eastAsiaTheme="minorEastAsia"/>
          <w:color w:val="000000" w:themeColor="text1"/>
        </w:rPr>
        <w:t>后</w:t>
      </w:r>
      <w:r w:rsidRPr="00FF6B9A">
        <w:rPr>
          <w:rFonts w:eastAsiaTheme="minorEastAsia"/>
          <w:color w:val="000000" w:themeColor="text1"/>
        </w:rPr>
        <w:t>“</w:t>
      </w:r>
      <w:r w:rsidRPr="00FF6B9A">
        <w:rPr>
          <w:rFonts w:eastAsiaTheme="minorEastAsia"/>
          <w:color w:val="000000" w:themeColor="text1"/>
        </w:rPr>
        <w:t>新</w:t>
      </w:r>
      <w:r w:rsidRPr="00FF6B9A">
        <w:rPr>
          <w:rFonts w:eastAsiaTheme="minorEastAsia"/>
          <w:color w:val="000000" w:themeColor="text1"/>
        </w:rPr>
        <w:t>”</w:t>
      </w:r>
      <w:r w:rsidRPr="00FF6B9A">
        <w:rPr>
          <w:rFonts w:eastAsiaTheme="minorEastAsia"/>
          <w:color w:val="000000" w:themeColor="text1"/>
        </w:rPr>
        <w:t>老年财富积累强，拥抱互联网，利于形成新消费热点，医美、智能设备、机器人、宠物等。展望未来，我们将持续调整持仓，优化投资组合，我们还是相对看好未来新经济板块，尤其在新能源板块，同时也布局部分新经济动能的修复板块，我们还是看好整个半导体及互联网的板块，另外我们也关注一些顺周期的板块。</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本报告期上投摩根香港精选港股通混合份额净值增长率为</w:t>
      </w:r>
      <w:r w:rsidRPr="00FF6B9A">
        <w:rPr>
          <w:rFonts w:eastAsiaTheme="minorEastAsia"/>
          <w:color w:val="000000" w:themeColor="text1"/>
        </w:rPr>
        <w:t>:8.85%</w:t>
      </w:r>
      <w:r w:rsidRPr="00FF6B9A">
        <w:rPr>
          <w:rFonts w:eastAsiaTheme="minorEastAsia"/>
          <w:color w:val="000000" w:themeColor="text1"/>
        </w:rPr>
        <w:t>，同期业绩比较基准收益率为</w:t>
      </w:r>
      <w:r w:rsidRPr="00FF6B9A">
        <w:rPr>
          <w:rFonts w:eastAsiaTheme="minorEastAsia"/>
          <w:color w:val="000000" w:themeColor="text1"/>
        </w:rPr>
        <w:t>:1.56%</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61,104,724.00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85.43</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61,104,724.00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85.43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7,561,428.37</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10.57</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2,857,880.33</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4.00</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71,524,032.70</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8,694,855.10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12.65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1,033,108.54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342,722.00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0.50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10,070,685.64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14.65</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921362">
        <w:trPr>
          <w:jc w:val="center"/>
        </w:trPr>
        <w:tc>
          <w:tcPr>
            <w:tcW w:w="2397" w:type="dxa"/>
            <w:vAlign w:val="center"/>
          </w:tcPr>
          <w:p w:rsidR="00921362" w:rsidRDefault="00D44CC6">
            <w:pPr>
              <w:jc w:val="center"/>
            </w:pPr>
            <w:r>
              <w:rPr>
                <w:rFonts w:eastAsiaTheme="minorEastAsia"/>
                <w:color w:val="000000" w:themeColor="text1"/>
                <w:kern w:val="0"/>
              </w:rPr>
              <w:t xml:space="preserve">A </w:t>
            </w:r>
            <w:r>
              <w:rPr>
                <w:rFonts w:eastAsiaTheme="minorEastAsia"/>
                <w:color w:val="000000" w:themeColor="text1"/>
                <w:kern w:val="0"/>
              </w:rPr>
              <w:t>基础材料</w:t>
            </w:r>
          </w:p>
        </w:tc>
        <w:tc>
          <w:tcPr>
            <w:tcW w:w="3119" w:type="dxa"/>
            <w:vAlign w:val="center"/>
          </w:tcPr>
          <w:p w:rsidR="00921362" w:rsidRDefault="00D44CC6">
            <w:pPr>
              <w:jc w:val="center"/>
            </w:pPr>
            <w:r>
              <w:rPr>
                <w:rFonts w:eastAsiaTheme="minorEastAsia"/>
                <w:color w:val="000000" w:themeColor="text1"/>
                <w:kern w:val="0"/>
              </w:rPr>
              <w:t>-</w:t>
            </w:r>
          </w:p>
        </w:tc>
        <w:tc>
          <w:tcPr>
            <w:tcW w:w="3118" w:type="dxa"/>
            <w:vAlign w:val="center"/>
          </w:tcPr>
          <w:p w:rsidR="00921362" w:rsidRDefault="00D44CC6">
            <w:pPr>
              <w:jc w:val="center"/>
            </w:pPr>
            <w:r>
              <w:rPr>
                <w:rFonts w:eastAsiaTheme="minorEastAsia"/>
                <w:color w:val="000000" w:themeColor="text1"/>
                <w:kern w:val="0"/>
              </w:rPr>
              <w:t>-</w:t>
            </w:r>
          </w:p>
        </w:tc>
      </w:tr>
      <w:tr w:rsidR="00921362">
        <w:trPr>
          <w:jc w:val="center"/>
        </w:trPr>
        <w:tc>
          <w:tcPr>
            <w:tcW w:w="2397" w:type="dxa"/>
            <w:vAlign w:val="center"/>
          </w:tcPr>
          <w:p w:rsidR="00921362" w:rsidRDefault="00D44CC6">
            <w:pPr>
              <w:jc w:val="center"/>
            </w:pPr>
            <w:r>
              <w:rPr>
                <w:rFonts w:eastAsiaTheme="minorEastAsia"/>
                <w:color w:val="000000" w:themeColor="text1"/>
                <w:kern w:val="0"/>
              </w:rPr>
              <w:t xml:space="preserve">B </w:t>
            </w:r>
            <w:r>
              <w:rPr>
                <w:rFonts w:eastAsiaTheme="minorEastAsia"/>
                <w:color w:val="000000" w:themeColor="text1"/>
                <w:kern w:val="0"/>
              </w:rPr>
              <w:t>消费者非必需品</w:t>
            </w:r>
          </w:p>
        </w:tc>
        <w:tc>
          <w:tcPr>
            <w:tcW w:w="3119" w:type="dxa"/>
            <w:vAlign w:val="center"/>
          </w:tcPr>
          <w:p w:rsidR="00921362" w:rsidRDefault="00D44CC6">
            <w:pPr>
              <w:jc w:val="center"/>
            </w:pPr>
            <w:r>
              <w:rPr>
                <w:rFonts w:eastAsiaTheme="minorEastAsia"/>
                <w:color w:val="000000" w:themeColor="text1"/>
                <w:kern w:val="0"/>
              </w:rPr>
              <w:t>15,338,995.39</w:t>
            </w:r>
          </w:p>
        </w:tc>
        <w:tc>
          <w:tcPr>
            <w:tcW w:w="3118" w:type="dxa"/>
            <w:vAlign w:val="center"/>
          </w:tcPr>
          <w:p w:rsidR="00921362" w:rsidRDefault="00D44CC6">
            <w:pPr>
              <w:jc w:val="center"/>
            </w:pPr>
            <w:r>
              <w:rPr>
                <w:rFonts w:eastAsiaTheme="minorEastAsia"/>
                <w:color w:val="000000" w:themeColor="text1"/>
                <w:kern w:val="0"/>
              </w:rPr>
              <w:t>22.32</w:t>
            </w:r>
          </w:p>
        </w:tc>
      </w:tr>
      <w:tr w:rsidR="00921362">
        <w:trPr>
          <w:jc w:val="center"/>
        </w:trPr>
        <w:tc>
          <w:tcPr>
            <w:tcW w:w="2397" w:type="dxa"/>
            <w:vAlign w:val="center"/>
          </w:tcPr>
          <w:p w:rsidR="00921362" w:rsidRDefault="00D44CC6">
            <w:pPr>
              <w:jc w:val="center"/>
            </w:pPr>
            <w:r>
              <w:rPr>
                <w:rFonts w:eastAsiaTheme="minorEastAsia"/>
                <w:color w:val="000000" w:themeColor="text1"/>
                <w:kern w:val="0"/>
              </w:rPr>
              <w:t xml:space="preserve">C </w:t>
            </w:r>
            <w:r>
              <w:rPr>
                <w:rFonts w:eastAsiaTheme="minorEastAsia"/>
                <w:color w:val="000000" w:themeColor="text1"/>
                <w:kern w:val="0"/>
              </w:rPr>
              <w:t>消费者常用品</w:t>
            </w:r>
          </w:p>
        </w:tc>
        <w:tc>
          <w:tcPr>
            <w:tcW w:w="3119" w:type="dxa"/>
            <w:vAlign w:val="center"/>
          </w:tcPr>
          <w:p w:rsidR="00921362" w:rsidRDefault="00D44CC6">
            <w:pPr>
              <w:jc w:val="center"/>
            </w:pPr>
            <w:r>
              <w:rPr>
                <w:rFonts w:eastAsiaTheme="minorEastAsia"/>
                <w:color w:val="000000" w:themeColor="text1"/>
                <w:kern w:val="0"/>
              </w:rPr>
              <w:t>4,854,063.49</w:t>
            </w:r>
          </w:p>
        </w:tc>
        <w:tc>
          <w:tcPr>
            <w:tcW w:w="3118" w:type="dxa"/>
            <w:vAlign w:val="center"/>
          </w:tcPr>
          <w:p w:rsidR="00921362" w:rsidRDefault="00D44CC6">
            <w:pPr>
              <w:jc w:val="center"/>
            </w:pPr>
            <w:r>
              <w:rPr>
                <w:rFonts w:eastAsiaTheme="minorEastAsia"/>
                <w:color w:val="000000" w:themeColor="text1"/>
                <w:kern w:val="0"/>
              </w:rPr>
              <w:t>7.06</w:t>
            </w:r>
          </w:p>
        </w:tc>
      </w:tr>
      <w:tr w:rsidR="00921362">
        <w:trPr>
          <w:jc w:val="center"/>
        </w:trPr>
        <w:tc>
          <w:tcPr>
            <w:tcW w:w="2397" w:type="dxa"/>
            <w:vAlign w:val="center"/>
          </w:tcPr>
          <w:p w:rsidR="00921362" w:rsidRDefault="00D44CC6">
            <w:pPr>
              <w:jc w:val="center"/>
            </w:pPr>
            <w:r>
              <w:rPr>
                <w:rFonts w:eastAsiaTheme="minorEastAsia"/>
                <w:color w:val="000000" w:themeColor="text1"/>
                <w:kern w:val="0"/>
              </w:rPr>
              <w:t xml:space="preserve">D </w:t>
            </w:r>
            <w:r>
              <w:rPr>
                <w:rFonts w:eastAsiaTheme="minorEastAsia"/>
                <w:color w:val="000000" w:themeColor="text1"/>
                <w:kern w:val="0"/>
              </w:rPr>
              <w:t>能源</w:t>
            </w:r>
          </w:p>
        </w:tc>
        <w:tc>
          <w:tcPr>
            <w:tcW w:w="3119" w:type="dxa"/>
            <w:vAlign w:val="center"/>
          </w:tcPr>
          <w:p w:rsidR="00921362" w:rsidRDefault="00D44CC6">
            <w:pPr>
              <w:jc w:val="center"/>
            </w:pPr>
            <w:r>
              <w:rPr>
                <w:rFonts w:eastAsiaTheme="minorEastAsia"/>
                <w:color w:val="000000" w:themeColor="text1"/>
                <w:kern w:val="0"/>
              </w:rPr>
              <w:t>-</w:t>
            </w:r>
          </w:p>
        </w:tc>
        <w:tc>
          <w:tcPr>
            <w:tcW w:w="3118" w:type="dxa"/>
            <w:vAlign w:val="center"/>
          </w:tcPr>
          <w:p w:rsidR="00921362" w:rsidRDefault="00D44CC6">
            <w:pPr>
              <w:jc w:val="center"/>
            </w:pPr>
            <w:r>
              <w:rPr>
                <w:rFonts w:eastAsiaTheme="minorEastAsia"/>
                <w:color w:val="000000" w:themeColor="text1"/>
                <w:kern w:val="0"/>
              </w:rPr>
              <w:t>-</w:t>
            </w:r>
          </w:p>
        </w:tc>
      </w:tr>
      <w:tr w:rsidR="00921362">
        <w:trPr>
          <w:jc w:val="center"/>
        </w:trPr>
        <w:tc>
          <w:tcPr>
            <w:tcW w:w="2397" w:type="dxa"/>
            <w:vAlign w:val="center"/>
          </w:tcPr>
          <w:p w:rsidR="00921362" w:rsidRDefault="00D44CC6">
            <w:pPr>
              <w:jc w:val="center"/>
            </w:pPr>
            <w:r>
              <w:rPr>
                <w:rFonts w:eastAsiaTheme="minorEastAsia"/>
                <w:color w:val="000000" w:themeColor="text1"/>
                <w:kern w:val="0"/>
              </w:rPr>
              <w:t xml:space="preserve">E </w:t>
            </w:r>
            <w:r>
              <w:rPr>
                <w:rFonts w:eastAsiaTheme="minorEastAsia"/>
                <w:color w:val="000000" w:themeColor="text1"/>
                <w:kern w:val="0"/>
              </w:rPr>
              <w:t>金融</w:t>
            </w:r>
          </w:p>
        </w:tc>
        <w:tc>
          <w:tcPr>
            <w:tcW w:w="3119" w:type="dxa"/>
            <w:vAlign w:val="center"/>
          </w:tcPr>
          <w:p w:rsidR="00921362" w:rsidRDefault="00D44CC6">
            <w:pPr>
              <w:jc w:val="center"/>
            </w:pPr>
            <w:r>
              <w:rPr>
                <w:rFonts w:eastAsiaTheme="minorEastAsia"/>
                <w:color w:val="000000" w:themeColor="text1"/>
                <w:kern w:val="0"/>
              </w:rPr>
              <w:t>1,681,321.65</w:t>
            </w:r>
          </w:p>
        </w:tc>
        <w:tc>
          <w:tcPr>
            <w:tcW w:w="3118" w:type="dxa"/>
            <w:vAlign w:val="center"/>
          </w:tcPr>
          <w:p w:rsidR="00921362" w:rsidRDefault="00D44CC6">
            <w:pPr>
              <w:jc w:val="center"/>
            </w:pPr>
            <w:r>
              <w:rPr>
                <w:rFonts w:eastAsiaTheme="minorEastAsia"/>
                <w:color w:val="000000" w:themeColor="text1"/>
                <w:kern w:val="0"/>
              </w:rPr>
              <w:t>2.45</w:t>
            </w:r>
          </w:p>
        </w:tc>
      </w:tr>
      <w:tr w:rsidR="00921362">
        <w:trPr>
          <w:jc w:val="center"/>
        </w:trPr>
        <w:tc>
          <w:tcPr>
            <w:tcW w:w="2397" w:type="dxa"/>
            <w:vAlign w:val="center"/>
          </w:tcPr>
          <w:p w:rsidR="00921362" w:rsidRDefault="00D44CC6">
            <w:pPr>
              <w:jc w:val="center"/>
            </w:pPr>
            <w:r>
              <w:rPr>
                <w:rFonts w:eastAsiaTheme="minorEastAsia"/>
                <w:color w:val="000000" w:themeColor="text1"/>
                <w:kern w:val="0"/>
              </w:rPr>
              <w:t xml:space="preserve">F </w:t>
            </w:r>
            <w:r>
              <w:rPr>
                <w:rFonts w:eastAsiaTheme="minorEastAsia"/>
                <w:color w:val="000000" w:themeColor="text1"/>
                <w:kern w:val="0"/>
              </w:rPr>
              <w:t>医疗保健</w:t>
            </w:r>
          </w:p>
        </w:tc>
        <w:tc>
          <w:tcPr>
            <w:tcW w:w="3119" w:type="dxa"/>
            <w:vAlign w:val="center"/>
          </w:tcPr>
          <w:p w:rsidR="00921362" w:rsidRDefault="00D44CC6">
            <w:pPr>
              <w:jc w:val="center"/>
            </w:pPr>
            <w:r>
              <w:rPr>
                <w:rFonts w:eastAsiaTheme="minorEastAsia"/>
                <w:color w:val="000000" w:themeColor="text1"/>
                <w:kern w:val="0"/>
              </w:rPr>
              <w:t>18,867,027.92</w:t>
            </w:r>
          </w:p>
        </w:tc>
        <w:tc>
          <w:tcPr>
            <w:tcW w:w="3118" w:type="dxa"/>
            <w:vAlign w:val="center"/>
          </w:tcPr>
          <w:p w:rsidR="00921362" w:rsidRDefault="00D44CC6">
            <w:pPr>
              <w:jc w:val="center"/>
            </w:pPr>
            <w:r>
              <w:rPr>
                <w:rFonts w:eastAsiaTheme="minorEastAsia"/>
                <w:color w:val="000000" w:themeColor="text1"/>
                <w:kern w:val="0"/>
              </w:rPr>
              <w:t>27.45</w:t>
            </w:r>
          </w:p>
        </w:tc>
      </w:tr>
      <w:tr w:rsidR="00921362">
        <w:trPr>
          <w:jc w:val="center"/>
        </w:trPr>
        <w:tc>
          <w:tcPr>
            <w:tcW w:w="2397" w:type="dxa"/>
            <w:vAlign w:val="center"/>
          </w:tcPr>
          <w:p w:rsidR="00921362" w:rsidRDefault="00D44CC6">
            <w:pPr>
              <w:jc w:val="center"/>
            </w:pPr>
            <w:r>
              <w:rPr>
                <w:rFonts w:eastAsiaTheme="minorEastAsia"/>
                <w:color w:val="000000" w:themeColor="text1"/>
                <w:kern w:val="0"/>
              </w:rPr>
              <w:t xml:space="preserve">G </w:t>
            </w:r>
            <w:r>
              <w:rPr>
                <w:rFonts w:eastAsiaTheme="minorEastAsia"/>
                <w:color w:val="000000" w:themeColor="text1"/>
                <w:kern w:val="0"/>
              </w:rPr>
              <w:t>工业</w:t>
            </w:r>
          </w:p>
        </w:tc>
        <w:tc>
          <w:tcPr>
            <w:tcW w:w="3119" w:type="dxa"/>
            <w:vAlign w:val="center"/>
          </w:tcPr>
          <w:p w:rsidR="00921362" w:rsidRDefault="00D44CC6">
            <w:pPr>
              <w:jc w:val="center"/>
            </w:pPr>
            <w:r>
              <w:rPr>
                <w:rFonts w:eastAsiaTheme="minorEastAsia"/>
                <w:color w:val="000000" w:themeColor="text1"/>
                <w:kern w:val="0"/>
              </w:rPr>
              <w:t>-</w:t>
            </w:r>
          </w:p>
        </w:tc>
        <w:tc>
          <w:tcPr>
            <w:tcW w:w="3118" w:type="dxa"/>
            <w:vAlign w:val="center"/>
          </w:tcPr>
          <w:p w:rsidR="00921362" w:rsidRDefault="00D44CC6">
            <w:pPr>
              <w:jc w:val="center"/>
            </w:pPr>
            <w:r>
              <w:rPr>
                <w:rFonts w:eastAsiaTheme="minorEastAsia"/>
                <w:color w:val="000000" w:themeColor="text1"/>
                <w:kern w:val="0"/>
              </w:rPr>
              <w:t>-</w:t>
            </w:r>
          </w:p>
        </w:tc>
      </w:tr>
      <w:tr w:rsidR="00921362">
        <w:trPr>
          <w:jc w:val="center"/>
        </w:trPr>
        <w:tc>
          <w:tcPr>
            <w:tcW w:w="2397" w:type="dxa"/>
            <w:vAlign w:val="center"/>
          </w:tcPr>
          <w:p w:rsidR="00921362" w:rsidRDefault="00D44CC6">
            <w:pPr>
              <w:jc w:val="center"/>
            </w:pPr>
            <w:r>
              <w:rPr>
                <w:rFonts w:eastAsiaTheme="minorEastAsia"/>
                <w:color w:val="000000" w:themeColor="text1"/>
                <w:kern w:val="0"/>
              </w:rPr>
              <w:t xml:space="preserve">H </w:t>
            </w:r>
            <w:r>
              <w:rPr>
                <w:rFonts w:eastAsiaTheme="minorEastAsia"/>
                <w:color w:val="000000" w:themeColor="text1"/>
                <w:kern w:val="0"/>
              </w:rPr>
              <w:t>信息技术</w:t>
            </w:r>
          </w:p>
        </w:tc>
        <w:tc>
          <w:tcPr>
            <w:tcW w:w="3119" w:type="dxa"/>
            <w:vAlign w:val="center"/>
          </w:tcPr>
          <w:p w:rsidR="00921362" w:rsidRDefault="00D44CC6">
            <w:pPr>
              <w:jc w:val="center"/>
            </w:pPr>
            <w:r>
              <w:rPr>
                <w:rFonts w:eastAsiaTheme="minorEastAsia"/>
                <w:color w:val="000000" w:themeColor="text1"/>
                <w:kern w:val="0"/>
              </w:rPr>
              <w:t>4,315,632.85</w:t>
            </w:r>
          </w:p>
        </w:tc>
        <w:tc>
          <w:tcPr>
            <w:tcW w:w="3118" w:type="dxa"/>
            <w:vAlign w:val="center"/>
          </w:tcPr>
          <w:p w:rsidR="00921362" w:rsidRDefault="00D44CC6">
            <w:pPr>
              <w:jc w:val="center"/>
            </w:pPr>
            <w:r>
              <w:rPr>
                <w:rFonts w:eastAsiaTheme="minorEastAsia"/>
                <w:color w:val="000000" w:themeColor="text1"/>
                <w:kern w:val="0"/>
              </w:rPr>
              <w:t>6.28</w:t>
            </w:r>
          </w:p>
        </w:tc>
      </w:tr>
      <w:tr w:rsidR="00921362">
        <w:trPr>
          <w:jc w:val="center"/>
        </w:trPr>
        <w:tc>
          <w:tcPr>
            <w:tcW w:w="2397" w:type="dxa"/>
            <w:vAlign w:val="center"/>
          </w:tcPr>
          <w:p w:rsidR="00921362" w:rsidRDefault="00D44CC6">
            <w:pPr>
              <w:jc w:val="center"/>
            </w:pPr>
            <w:r>
              <w:rPr>
                <w:rFonts w:eastAsiaTheme="minorEastAsia"/>
                <w:color w:val="000000" w:themeColor="text1"/>
                <w:kern w:val="0"/>
              </w:rPr>
              <w:t xml:space="preserve">I </w:t>
            </w:r>
            <w:r>
              <w:rPr>
                <w:rFonts w:eastAsiaTheme="minorEastAsia"/>
                <w:color w:val="000000" w:themeColor="text1"/>
                <w:kern w:val="0"/>
              </w:rPr>
              <w:t>电信服务</w:t>
            </w:r>
          </w:p>
        </w:tc>
        <w:tc>
          <w:tcPr>
            <w:tcW w:w="3119" w:type="dxa"/>
            <w:vAlign w:val="center"/>
          </w:tcPr>
          <w:p w:rsidR="00921362" w:rsidRDefault="00D44CC6">
            <w:pPr>
              <w:jc w:val="center"/>
            </w:pPr>
            <w:r>
              <w:rPr>
                <w:rFonts w:eastAsiaTheme="minorEastAsia"/>
                <w:color w:val="000000" w:themeColor="text1"/>
                <w:kern w:val="0"/>
              </w:rPr>
              <w:t>5,976,997.06</w:t>
            </w:r>
          </w:p>
        </w:tc>
        <w:tc>
          <w:tcPr>
            <w:tcW w:w="3118" w:type="dxa"/>
            <w:vAlign w:val="center"/>
          </w:tcPr>
          <w:p w:rsidR="00921362" w:rsidRDefault="00D44CC6">
            <w:pPr>
              <w:jc w:val="center"/>
            </w:pPr>
            <w:r>
              <w:rPr>
                <w:rFonts w:eastAsiaTheme="minorEastAsia"/>
                <w:color w:val="000000" w:themeColor="text1"/>
                <w:kern w:val="0"/>
              </w:rPr>
              <w:t>8.70</w:t>
            </w:r>
          </w:p>
        </w:tc>
      </w:tr>
      <w:tr w:rsidR="00921362">
        <w:trPr>
          <w:jc w:val="center"/>
        </w:trPr>
        <w:tc>
          <w:tcPr>
            <w:tcW w:w="2397" w:type="dxa"/>
            <w:vAlign w:val="center"/>
          </w:tcPr>
          <w:p w:rsidR="00921362" w:rsidRDefault="00D44CC6">
            <w:pPr>
              <w:jc w:val="center"/>
            </w:pPr>
            <w:r>
              <w:rPr>
                <w:rFonts w:eastAsiaTheme="minorEastAsia"/>
                <w:color w:val="000000" w:themeColor="text1"/>
                <w:kern w:val="0"/>
              </w:rPr>
              <w:t xml:space="preserve">J </w:t>
            </w:r>
            <w:r>
              <w:rPr>
                <w:rFonts w:eastAsiaTheme="minorEastAsia"/>
                <w:color w:val="000000" w:themeColor="text1"/>
                <w:kern w:val="0"/>
              </w:rPr>
              <w:t>公用事业</w:t>
            </w:r>
          </w:p>
        </w:tc>
        <w:tc>
          <w:tcPr>
            <w:tcW w:w="3119" w:type="dxa"/>
            <w:vAlign w:val="center"/>
          </w:tcPr>
          <w:p w:rsidR="00921362" w:rsidRDefault="00D44CC6">
            <w:pPr>
              <w:jc w:val="center"/>
            </w:pPr>
            <w:r>
              <w:rPr>
                <w:rFonts w:eastAsiaTheme="minorEastAsia"/>
                <w:color w:val="000000" w:themeColor="text1"/>
                <w:kern w:val="0"/>
              </w:rPr>
              <w:t>-</w:t>
            </w:r>
          </w:p>
        </w:tc>
        <w:tc>
          <w:tcPr>
            <w:tcW w:w="3118" w:type="dxa"/>
            <w:vAlign w:val="center"/>
          </w:tcPr>
          <w:p w:rsidR="00921362" w:rsidRDefault="00D44CC6">
            <w:pPr>
              <w:jc w:val="center"/>
            </w:pPr>
            <w:r>
              <w:rPr>
                <w:rFonts w:eastAsiaTheme="minorEastAsia"/>
                <w:color w:val="000000" w:themeColor="text1"/>
                <w:kern w:val="0"/>
              </w:rPr>
              <w:t>-</w:t>
            </w:r>
          </w:p>
        </w:tc>
      </w:tr>
      <w:tr w:rsidR="00921362">
        <w:trPr>
          <w:jc w:val="center"/>
        </w:trPr>
        <w:tc>
          <w:tcPr>
            <w:tcW w:w="2397" w:type="dxa"/>
            <w:vAlign w:val="center"/>
          </w:tcPr>
          <w:p w:rsidR="00921362" w:rsidRDefault="00D44CC6">
            <w:pPr>
              <w:jc w:val="center"/>
            </w:pPr>
            <w:r>
              <w:rPr>
                <w:rFonts w:eastAsiaTheme="minorEastAsia"/>
                <w:color w:val="000000" w:themeColor="text1"/>
                <w:kern w:val="0"/>
              </w:rPr>
              <w:t xml:space="preserve">K </w:t>
            </w:r>
            <w:r>
              <w:rPr>
                <w:rFonts w:eastAsiaTheme="minorEastAsia"/>
                <w:color w:val="000000" w:themeColor="text1"/>
                <w:kern w:val="0"/>
              </w:rPr>
              <w:t>房地产</w:t>
            </w:r>
          </w:p>
        </w:tc>
        <w:tc>
          <w:tcPr>
            <w:tcW w:w="3119" w:type="dxa"/>
            <w:vAlign w:val="center"/>
          </w:tcPr>
          <w:p w:rsidR="00921362" w:rsidRDefault="00D44CC6">
            <w:pPr>
              <w:jc w:val="center"/>
            </w:pPr>
            <w:r>
              <w:rPr>
                <w:rFonts w:eastAsiaTheme="minorEastAsia"/>
                <w:color w:val="000000" w:themeColor="text1"/>
                <w:kern w:val="0"/>
              </w:rPr>
              <w:t>-</w:t>
            </w:r>
          </w:p>
        </w:tc>
        <w:tc>
          <w:tcPr>
            <w:tcW w:w="3118" w:type="dxa"/>
            <w:vAlign w:val="center"/>
          </w:tcPr>
          <w:p w:rsidR="00921362" w:rsidRDefault="00D44CC6">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51,034,038.36</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74.25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921362">
        <w:tc>
          <w:tcPr>
            <w:tcW w:w="817" w:type="dxa"/>
            <w:vAlign w:val="center"/>
          </w:tcPr>
          <w:p w:rsidR="00921362" w:rsidRDefault="00D44CC6">
            <w:pPr>
              <w:jc w:val="center"/>
            </w:pPr>
            <w:r>
              <w:rPr>
                <w:rFonts w:eastAsiaTheme="minorEastAsia"/>
                <w:kern w:val="0"/>
                <w:sz w:val="24"/>
                <w:szCs w:val="24"/>
              </w:rPr>
              <w:t>1</w:t>
            </w:r>
          </w:p>
        </w:tc>
        <w:tc>
          <w:tcPr>
            <w:tcW w:w="1276" w:type="dxa"/>
            <w:vAlign w:val="center"/>
          </w:tcPr>
          <w:p w:rsidR="00921362" w:rsidRDefault="00D44CC6">
            <w:pPr>
              <w:jc w:val="center"/>
            </w:pPr>
            <w:r>
              <w:rPr>
                <w:rFonts w:eastAsiaTheme="minorEastAsia"/>
                <w:kern w:val="0"/>
                <w:sz w:val="24"/>
                <w:szCs w:val="24"/>
              </w:rPr>
              <w:t>00700</w:t>
            </w:r>
          </w:p>
        </w:tc>
        <w:tc>
          <w:tcPr>
            <w:tcW w:w="1701" w:type="dxa"/>
            <w:vAlign w:val="center"/>
          </w:tcPr>
          <w:p w:rsidR="00921362" w:rsidRDefault="00D44CC6">
            <w:pPr>
              <w:jc w:val="center"/>
            </w:pPr>
            <w:r>
              <w:rPr>
                <w:rFonts w:eastAsiaTheme="minorEastAsia"/>
                <w:kern w:val="0"/>
                <w:sz w:val="24"/>
                <w:szCs w:val="24"/>
              </w:rPr>
              <w:t>腾讯控股</w:t>
            </w:r>
          </w:p>
        </w:tc>
        <w:tc>
          <w:tcPr>
            <w:tcW w:w="1276" w:type="dxa"/>
            <w:vAlign w:val="center"/>
          </w:tcPr>
          <w:p w:rsidR="00921362" w:rsidRDefault="00D44CC6">
            <w:pPr>
              <w:jc w:val="right"/>
            </w:pPr>
            <w:r>
              <w:rPr>
                <w:rFonts w:eastAsiaTheme="minorEastAsia"/>
                <w:kern w:val="0"/>
                <w:sz w:val="24"/>
                <w:szCs w:val="24"/>
              </w:rPr>
              <w:t>12,300.00</w:t>
            </w:r>
          </w:p>
        </w:tc>
        <w:tc>
          <w:tcPr>
            <w:tcW w:w="1842" w:type="dxa"/>
            <w:vAlign w:val="center"/>
          </w:tcPr>
          <w:p w:rsidR="00921362" w:rsidRDefault="00D44CC6">
            <w:pPr>
              <w:jc w:val="right"/>
            </w:pPr>
            <w:r>
              <w:rPr>
                <w:rFonts w:eastAsiaTheme="minorEastAsia"/>
                <w:kern w:val="0"/>
                <w:sz w:val="24"/>
                <w:szCs w:val="24"/>
              </w:rPr>
              <w:t>5,976,997.06</w:t>
            </w:r>
          </w:p>
        </w:tc>
        <w:tc>
          <w:tcPr>
            <w:tcW w:w="1616" w:type="dxa"/>
            <w:vAlign w:val="center"/>
          </w:tcPr>
          <w:p w:rsidR="00921362" w:rsidRDefault="00D44CC6">
            <w:pPr>
              <w:jc w:val="right"/>
            </w:pPr>
            <w:r>
              <w:rPr>
                <w:rFonts w:eastAsiaTheme="minorEastAsia"/>
                <w:kern w:val="0"/>
                <w:sz w:val="24"/>
                <w:szCs w:val="24"/>
              </w:rPr>
              <w:t>8.70</w:t>
            </w:r>
          </w:p>
        </w:tc>
      </w:tr>
      <w:tr w:rsidR="00921362">
        <w:tc>
          <w:tcPr>
            <w:tcW w:w="817" w:type="dxa"/>
            <w:vAlign w:val="center"/>
          </w:tcPr>
          <w:p w:rsidR="00921362" w:rsidRDefault="00D44CC6">
            <w:pPr>
              <w:jc w:val="center"/>
            </w:pPr>
            <w:r>
              <w:rPr>
                <w:rFonts w:eastAsiaTheme="minorEastAsia"/>
                <w:kern w:val="0"/>
                <w:sz w:val="24"/>
                <w:szCs w:val="24"/>
              </w:rPr>
              <w:t>2</w:t>
            </w:r>
          </w:p>
        </w:tc>
        <w:tc>
          <w:tcPr>
            <w:tcW w:w="1276" w:type="dxa"/>
            <w:vAlign w:val="center"/>
          </w:tcPr>
          <w:p w:rsidR="00921362" w:rsidRDefault="00D44CC6">
            <w:pPr>
              <w:jc w:val="center"/>
            </w:pPr>
            <w:r>
              <w:rPr>
                <w:rFonts w:eastAsiaTheme="minorEastAsia"/>
                <w:kern w:val="0"/>
                <w:sz w:val="24"/>
                <w:szCs w:val="24"/>
              </w:rPr>
              <w:t>03690</w:t>
            </w:r>
          </w:p>
        </w:tc>
        <w:tc>
          <w:tcPr>
            <w:tcW w:w="1701" w:type="dxa"/>
            <w:vAlign w:val="center"/>
          </w:tcPr>
          <w:p w:rsidR="00921362" w:rsidRDefault="00D44CC6">
            <w:pPr>
              <w:jc w:val="center"/>
            </w:pPr>
            <w:r>
              <w:rPr>
                <w:rFonts w:eastAsiaTheme="minorEastAsia"/>
                <w:kern w:val="0"/>
                <w:sz w:val="24"/>
                <w:szCs w:val="24"/>
              </w:rPr>
              <w:t>美团－Ｗ</w:t>
            </w:r>
          </w:p>
        </w:tc>
        <w:tc>
          <w:tcPr>
            <w:tcW w:w="1276" w:type="dxa"/>
            <w:vAlign w:val="center"/>
          </w:tcPr>
          <w:p w:rsidR="00921362" w:rsidRDefault="00D44CC6">
            <w:pPr>
              <w:jc w:val="right"/>
            </w:pPr>
            <w:r>
              <w:rPr>
                <w:rFonts w:eastAsiaTheme="minorEastAsia"/>
                <w:kern w:val="0"/>
                <w:sz w:val="24"/>
                <w:szCs w:val="24"/>
              </w:rPr>
              <w:t>20,700.00</w:t>
            </w:r>
          </w:p>
        </w:tc>
        <w:tc>
          <w:tcPr>
            <w:tcW w:w="1842" w:type="dxa"/>
            <w:vAlign w:val="center"/>
          </w:tcPr>
          <w:p w:rsidR="00921362" w:rsidRDefault="00D44CC6">
            <w:pPr>
              <w:jc w:val="right"/>
            </w:pPr>
            <w:r>
              <w:rPr>
                <w:rFonts w:eastAsiaTheme="minorEastAsia"/>
                <w:kern w:val="0"/>
                <w:sz w:val="24"/>
                <w:szCs w:val="24"/>
              </w:rPr>
              <w:t>5,518,587.54</w:t>
            </w:r>
          </w:p>
        </w:tc>
        <w:tc>
          <w:tcPr>
            <w:tcW w:w="1616" w:type="dxa"/>
            <w:vAlign w:val="center"/>
          </w:tcPr>
          <w:p w:rsidR="00921362" w:rsidRDefault="00D44CC6">
            <w:pPr>
              <w:jc w:val="right"/>
            </w:pPr>
            <w:r>
              <w:rPr>
                <w:rFonts w:eastAsiaTheme="minorEastAsia"/>
                <w:kern w:val="0"/>
                <w:sz w:val="24"/>
                <w:szCs w:val="24"/>
              </w:rPr>
              <w:t>8.03</w:t>
            </w:r>
          </w:p>
        </w:tc>
      </w:tr>
      <w:tr w:rsidR="00921362">
        <w:tc>
          <w:tcPr>
            <w:tcW w:w="817" w:type="dxa"/>
            <w:vAlign w:val="center"/>
          </w:tcPr>
          <w:p w:rsidR="00921362" w:rsidRDefault="00D44CC6">
            <w:pPr>
              <w:jc w:val="center"/>
            </w:pPr>
            <w:r>
              <w:rPr>
                <w:rFonts w:eastAsiaTheme="minorEastAsia"/>
                <w:kern w:val="0"/>
                <w:sz w:val="24"/>
                <w:szCs w:val="24"/>
              </w:rPr>
              <w:t>3</w:t>
            </w:r>
          </w:p>
        </w:tc>
        <w:tc>
          <w:tcPr>
            <w:tcW w:w="1276" w:type="dxa"/>
            <w:vAlign w:val="center"/>
          </w:tcPr>
          <w:p w:rsidR="00921362" w:rsidRDefault="00D44CC6">
            <w:pPr>
              <w:jc w:val="center"/>
            </w:pPr>
            <w:r>
              <w:rPr>
                <w:rFonts w:eastAsiaTheme="minorEastAsia"/>
                <w:kern w:val="0"/>
                <w:sz w:val="24"/>
                <w:szCs w:val="24"/>
              </w:rPr>
              <w:t>02269</w:t>
            </w:r>
          </w:p>
        </w:tc>
        <w:tc>
          <w:tcPr>
            <w:tcW w:w="1701" w:type="dxa"/>
            <w:vAlign w:val="center"/>
          </w:tcPr>
          <w:p w:rsidR="00921362" w:rsidRDefault="00D44CC6">
            <w:pPr>
              <w:jc w:val="center"/>
            </w:pPr>
            <w:r>
              <w:rPr>
                <w:rFonts w:eastAsiaTheme="minorEastAsia"/>
                <w:kern w:val="0"/>
                <w:sz w:val="24"/>
                <w:szCs w:val="24"/>
              </w:rPr>
              <w:t>药明生物</w:t>
            </w:r>
          </w:p>
        </w:tc>
        <w:tc>
          <w:tcPr>
            <w:tcW w:w="1276" w:type="dxa"/>
            <w:vAlign w:val="center"/>
          </w:tcPr>
          <w:p w:rsidR="00921362" w:rsidRDefault="00D44CC6">
            <w:pPr>
              <w:jc w:val="right"/>
            </w:pPr>
            <w:r>
              <w:rPr>
                <w:rFonts w:eastAsiaTheme="minorEastAsia"/>
                <w:kern w:val="0"/>
                <w:sz w:val="24"/>
                <w:szCs w:val="24"/>
              </w:rPr>
              <w:t>35,000.00</w:t>
            </w:r>
          </w:p>
        </w:tc>
        <w:tc>
          <w:tcPr>
            <w:tcW w:w="1842" w:type="dxa"/>
            <w:vAlign w:val="center"/>
          </w:tcPr>
          <w:p w:rsidR="00921362" w:rsidRDefault="00D44CC6">
            <w:pPr>
              <w:jc w:val="right"/>
            </w:pPr>
            <w:r>
              <w:rPr>
                <w:rFonts w:eastAsiaTheme="minorEastAsia"/>
                <w:kern w:val="0"/>
                <w:sz w:val="24"/>
                <w:szCs w:val="24"/>
              </w:rPr>
              <w:t>4,144,174.44</w:t>
            </w:r>
          </w:p>
        </w:tc>
        <w:tc>
          <w:tcPr>
            <w:tcW w:w="1616" w:type="dxa"/>
            <w:vAlign w:val="center"/>
          </w:tcPr>
          <w:p w:rsidR="00921362" w:rsidRDefault="00D44CC6">
            <w:pPr>
              <w:jc w:val="right"/>
            </w:pPr>
            <w:r>
              <w:rPr>
                <w:rFonts w:eastAsiaTheme="minorEastAsia"/>
                <w:kern w:val="0"/>
                <w:sz w:val="24"/>
                <w:szCs w:val="24"/>
              </w:rPr>
              <w:t>6.03</w:t>
            </w:r>
          </w:p>
        </w:tc>
      </w:tr>
      <w:tr w:rsidR="00921362">
        <w:tc>
          <w:tcPr>
            <w:tcW w:w="817" w:type="dxa"/>
            <w:vAlign w:val="center"/>
          </w:tcPr>
          <w:p w:rsidR="00921362" w:rsidRDefault="00D44CC6">
            <w:pPr>
              <w:jc w:val="center"/>
            </w:pPr>
            <w:r>
              <w:rPr>
                <w:rFonts w:eastAsiaTheme="minorEastAsia"/>
                <w:kern w:val="0"/>
                <w:sz w:val="24"/>
                <w:szCs w:val="24"/>
              </w:rPr>
              <w:t>4</w:t>
            </w:r>
          </w:p>
        </w:tc>
        <w:tc>
          <w:tcPr>
            <w:tcW w:w="1276" w:type="dxa"/>
            <w:vAlign w:val="center"/>
          </w:tcPr>
          <w:p w:rsidR="00921362" w:rsidRDefault="00D44CC6">
            <w:pPr>
              <w:jc w:val="center"/>
            </w:pPr>
            <w:r>
              <w:rPr>
                <w:rFonts w:eastAsiaTheme="minorEastAsia"/>
                <w:kern w:val="0"/>
                <w:sz w:val="24"/>
                <w:szCs w:val="24"/>
              </w:rPr>
              <w:t>02020</w:t>
            </w:r>
          </w:p>
        </w:tc>
        <w:tc>
          <w:tcPr>
            <w:tcW w:w="1701" w:type="dxa"/>
            <w:vAlign w:val="center"/>
          </w:tcPr>
          <w:p w:rsidR="00921362" w:rsidRDefault="00D44CC6">
            <w:pPr>
              <w:jc w:val="center"/>
            </w:pPr>
            <w:r>
              <w:rPr>
                <w:rFonts w:eastAsiaTheme="minorEastAsia"/>
                <w:kern w:val="0"/>
                <w:sz w:val="24"/>
                <w:szCs w:val="24"/>
              </w:rPr>
              <w:t>安踏体育</w:t>
            </w:r>
          </w:p>
        </w:tc>
        <w:tc>
          <w:tcPr>
            <w:tcW w:w="1276" w:type="dxa"/>
            <w:vAlign w:val="center"/>
          </w:tcPr>
          <w:p w:rsidR="00921362" w:rsidRDefault="00D44CC6">
            <w:pPr>
              <w:jc w:val="right"/>
            </w:pPr>
            <w:r>
              <w:rPr>
                <w:rFonts w:eastAsiaTheme="minorEastAsia"/>
                <w:kern w:val="0"/>
                <w:sz w:val="24"/>
                <w:szCs w:val="24"/>
              </w:rPr>
              <w:t>26,000.00</w:t>
            </w:r>
          </w:p>
        </w:tc>
        <w:tc>
          <w:tcPr>
            <w:tcW w:w="1842" w:type="dxa"/>
            <w:vAlign w:val="center"/>
          </w:tcPr>
          <w:p w:rsidR="00921362" w:rsidRDefault="00D44CC6">
            <w:pPr>
              <w:jc w:val="right"/>
            </w:pPr>
            <w:r>
              <w:rPr>
                <w:rFonts w:eastAsiaTheme="minorEastAsia"/>
                <w:kern w:val="0"/>
                <w:sz w:val="24"/>
                <w:szCs w:val="24"/>
              </w:rPr>
              <w:t>3,954,709.82</w:t>
            </w:r>
          </w:p>
        </w:tc>
        <w:tc>
          <w:tcPr>
            <w:tcW w:w="1616" w:type="dxa"/>
            <w:vAlign w:val="center"/>
          </w:tcPr>
          <w:p w:rsidR="00921362" w:rsidRDefault="00D44CC6">
            <w:pPr>
              <w:jc w:val="right"/>
            </w:pPr>
            <w:r>
              <w:rPr>
                <w:rFonts w:eastAsiaTheme="minorEastAsia"/>
                <w:kern w:val="0"/>
                <w:sz w:val="24"/>
                <w:szCs w:val="24"/>
              </w:rPr>
              <w:t>5.75</w:t>
            </w:r>
          </w:p>
        </w:tc>
      </w:tr>
      <w:tr w:rsidR="00921362">
        <w:tc>
          <w:tcPr>
            <w:tcW w:w="817" w:type="dxa"/>
            <w:vAlign w:val="center"/>
          </w:tcPr>
          <w:p w:rsidR="00921362" w:rsidRDefault="00D44CC6">
            <w:pPr>
              <w:jc w:val="center"/>
            </w:pPr>
            <w:r>
              <w:rPr>
                <w:rFonts w:eastAsiaTheme="minorEastAsia"/>
                <w:kern w:val="0"/>
                <w:sz w:val="24"/>
                <w:szCs w:val="24"/>
              </w:rPr>
              <w:t>5</w:t>
            </w:r>
          </w:p>
        </w:tc>
        <w:tc>
          <w:tcPr>
            <w:tcW w:w="1276" w:type="dxa"/>
            <w:vAlign w:val="center"/>
          </w:tcPr>
          <w:p w:rsidR="00921362" w:rsidRDefault="00D44CC6">
            <w:pPr>
              <w:jc w:val="center"/>
            </w:pPr>
            <w:r>
              <w:rPr>
                <w:rFonts w:eastAsiaTheme="minorEastAsia"/>
                <w:kern w:val="0"/>
                <w:sz w:val="24"/>
                <w:szCs w:val="24"/>
              </w:rPr>
              <w:t>00291</w:t>
            </w:r>
          </w:p>
        </w:tc>
        <w:tc>
          <w:tcPr>
            <w:tcW w:w="1701" w:type="dxa"/>
            <w:vAlign w:val="center"/>
          </w:tcPr>
          <w:p w:rsidR="00921362" w:rsidRDefault="00D44CC6">
            <w:pPr>
              <w:jc w:val="center"/>
            </w:pPr>
            <w:r>
              <w:rPr>
                <w:rFonts w:eastAsiaTheme="minorEastAsia"/>
                <w:kern w:val="0"/>
                <w:sz w:val="24"/>
                <w:szCs w:val="24"/>
              </w:rPr>
              <w:t>华润啤酒</w:t>
            </w:r>
          </w:p>
        </w:tc>
        <w:tc>
          <w:tcPr>
            <w:tcW w:w="1276" w:type="dxa"/>
            <w:vAlign w:val="center"/>
          </w:tcPr>
          <w:p w:rsidR="00921362" w:rsidRDefault="00D44CC6">
            <w:pPr>
              <w:jc w:val="right"/>
            </w:pPr>
            <w:r>
              <w:rPr>
                <w:rFonts w:eastAsiaTheme="minorEastAsia"/>
                <w:kern w:val="0"/>
                <w:sz w:val="24"/>
                <w:szCs w:val="24"/>
              </w:rPr>
              <w:t>52,000.00</w:t>
            </w:r>
          </w:p>
        </w:tc>
        <w:tc>
          <w:tcPr>
            <w:tcW w:w="1842" w:type="dxa"/>
            <w:vAlign w:val="center"/>
          </w:tcPr>
          <w:p w:rsidR="00921362" w:rsidRDefault="00D44CC6">
            <w:pPr>
              <w:jc w:val="right"/>
            </w:pPr>
            <w:r>
              <w:rPr>
                <w:rFonts w:eastAsiaTheme="minorEastAsia"/>
                <w:kern w:val="0"/>
                <w:sz w:val="24"/>
                <w:szCs w:val="24"/>
              </w:rPr>
              <w:t>3,017,954.16</w:t>
            </w:r>
          </w:p>
        </w:tc>
        <w:tc>
          <w:tcPr>
            <w:tcW w:w="1616" w:type="dxa"/>
            <w:vAlign w:val="center"/>
          </w:tcPr>
          <w:p w:rsidR="00921362" w:rsidRDefault="00D44CC6">
            <w:pPr>
              <w:jc w:val="right"/>
            </w:pPr>
            <w:r>
              <w:rPr>
                <w:rFonts w:eastAsiaTheme="minorEastAsia"/>
                <w:kern w:val="0"/>
                <w:sz w:val="24"/>
                <w:szCs w:val="24"/>
              </w:rPr>
              <w:t>4.39</w:t>
            </w:r>
          </w:p>
        </w:tc>
      </w:tr>
      <w:tr w:rsidR="00921362">
        <w:tc>
          <w:tcPr>
            <w:tcW w:w="817" w:type="dxa"/>
            <w:vAlign w:val="center"/>
          </w:tcPr>
          <w:p w:rsidR="00921362" w:rsidRDefault="00D44CC6">
            <w:pPr>
              <w:jc w:val="center"/>
            </w:pPr>
            <w:r>
              <w:rPr>
                <w:rFonts w:eastAsiaTheme="minorEastAsia"/>
                <w:kern w:val="0"/>
                <w:sz w:val="24"/>
                <w:szCs w:val="24"/>
              </w:rPr>
              <w:t>6</w:t>
            </w:r>
          </w:p>
        </w:tc>
        <w:tc>
          <w:tcPr>
            <w:tcW w:w="1276" w:type="dxa"/>
            <w:vAlign w:val="center"/>
          </w:tcPr>
          <w:p w:rsidR="00921362" w:rsidRDefault="00D44CC6">
            <w:pPr>
              <w:jc w:val="center"/>
            </w:pPr>
            <w:r>
              <w:rPr>
                <w:rFonts w:eastAsiaTheme="minorEastAsia"/>
                <w:kern w:val="0"/>
                <w:sz w:val="24"/>
                <w:szCs w:val="24"/>
              </w:rPr>
              <w:t>01801</w:t>
            </w:r>
          </w:p>
        </w:tc>
        <w:tc>
          <w:tcPr>
            <w:tcW w:w="1701" w:type="dxa"/>
            <w:vAlign w:val="center"/>
          </w:tcPr>
          <w:p w:rsidR="00921362" w:rsidRDefault="00D44CC6">
            <w:pPr>
              <w:jc w:val="center"/>
            </w:pPr>
            <w:r>
              <w:rPr>
                <w:rFonts w:eastAsiaTheme="minorEastAsia"/>
                <w:kern w:val="0"/>
                <w:sz w:val="24"/>
                <w:szCs w:val="24"/>
              </w:rPr>
              <w:t>信达生物</w:t>
            </w:r>
          </w:p>
        </w:tc>
        <w:tc>
          <w:tcPr>
            <w:tcW w:w="1276" w:type="dxa"/>
            <w:vAlign w:val="center"/>
          </w:tcPr>
          <w:p w:rsidR="00921362" w:rsidRDefault="00D44CC6">
            <w:pPr>
              <w:jc w:val="right"/>
            </w:pPr>
            <w:r>
              <w:rPr>
                <w:rFonts w:eastAsiaTheme="minorEastAsia"/>
                <w:kern w:val="0"/>
                <w:sz w:val="24"/>
                <w:szCs w:val="24"/>
              </w:rPr>
              <w:t>36,000.00</w:t>
            </w:r>
          </w:p>
        </w:tc>
        <w:tc>
          <w:tcPr>
            <w:tcW w:w="1842" w:type="dxa"/>
            <w:vAlign w:val="center"/>
          </w:tcPr>
          <w:p w:rsidR="00921362" w:rsidRDefault="00D44CC6">
            <w:pPr>
              <w:jc w:val="right"/>
            </w:pPr>
            <w:r>
              <w:rPr>
                <w:rFonts w:eastAsiaTheme="minorEastAsia"/>
                <w:kern w:val="0"/>
                <w:sz w:val="24"/>
                <w:szCs w:val="24"/>
              </w:rPr>
              <w:t>2,712,414.38</w:t>
            </w:r>
          </w:p>
        </w:tc>
        <w:tc>
          <w:tcPr>
            <w:tcW w:w="1616" w:type="dxa"/>
            <w:vAlign w:val="center"/>
          </w:tcPr>
          <w:p w:rsidR="00921362" w:rsidRDefault="00D44CC6">
            <w:pPr>
              <w:jc w:val="right"/>
            </w:pPr>
            <w:r>
              <w:rPr>
                <w:rFonts w:eastAsiaTheme="minorEastAsia"/>
                <w:kern w:val="0"/>
                <w:sz w:val="24"/>
                <w:szCs w:val="24"/>
              </w:rPr>
              <w:t>3.95</w:t>
            </w:r>
          </w:p>
        </w:tc>
      </w:tr>
      <w:tr w:rsidR="00921362">
        <w:tc>
          <w:tcPr>
            <w:tcW w:w="817" w:type="dxa"/>
            <w:vAlign w:val="center"/>
          </w:tcPr>
          <w:p w:rsidR="00921362" w:rsidRDefault="00D44CC6">
            <w:pPr>
              <w:jc w:val="center"/>
            </w:pPr>
            <w:r>
              <w:rPr>
                <w:rFonts w:eastAsiaTheme="minorEastAsia"/>
                <w:kern w:val="0"/>
                <w:sz w:val="24"/>
                <w:szCs w:val="24"/>
              </w:rPr>
              <w:t>7</w:t>
            </w:r>
          </w:p>
        </w:tc>
        <w:tc>
          <w:tcPr>
            <w:tcW w:w="1276" w:type="dxa"/>
            <w:vAlign w:val="center"/>
          </w:tcPr>
          <w:p w:rsidR="00921362" w:rsidRDefault="00D44CC6">
            <w:pPr>
              <w:jc w:val="center"/>
            </w:pPr>
            <w:r>
              <w:rPr>
                <w:rFonts w:eastAsiaTheme="minorEastAsia"/>
                <w:kern w:val="0"/>
                <w:sz w:val="24"/>
                <w:szCs w:val="24"/>
              </w:rPr>
              <w:t>603986</w:t>
            </w:r>
          </w:p>
        </w:tc>
        <w:tc>
          <w:tcPr>
            <w:tcW w:w="1701" w:type="dxa"/>
            <w:vAlign w:val="center"/>
          </w:tcPr>
          <w:p w:rsidR="00921362" w:rsidRDefault="00D44CC6">
            <w:pPr>
              <w:jc w:val="center"/>
            </w:pPr>
            <w:r>
              <w:rPr>
                <w:rFonts w:eastAsiaTheme="minorEastAsia"/>
                <w:kern w:val="0"/>
                <w:sz w:val="24"/>
                <w:szCs w:val="24"/>
              </w:rPr>
              <w:t>兆易创新</w:t>
            </w:r>
          </w:p>
        </w:tc>
        <w:tc>
          <w:tcPr>
            <w:tcW w:w="1276" w:type="dxa"/>
            <w:vAlign w:val="center"/>
          </w:tcPr>
          <w:p w:rsidR="00921362" w:rsidRDefault="00D44CC6">
            <w:pPr>
              <w:jc w:val="right"/>
            </w:pPr>
            <w:r>
              <w:rPr>
                <w:rFonts w:eastAsiaTheme="minorEastAsia"/>
                <w:kern w:val="0"/>
                <w:sz w:val="24"/>
                <w:szCs w:val="24"/>
              </w:rPr>
              <w:t>13,900.00</w:t>
            </w:r>
          </w:p>
        </w:tc>
        <w:tc>
          <w:tcPr>
            <w:tcW w:w="1842" w:type="dxa"/>
            <w:vAlign w:val="center"/>
          </w:tcPr>
          <w:p w:rsidR="00921362" w:rsidRDefault="00D44CC6">
            <w:pPr>
              <w:jc w:val="right"/>
            </w:pPr>
            <w:r>
              <w:rPr>
                <w:rFonts w:eastAsiaTheme="minorEastAsia"/>
                <w:kern w:val="0"/>
                <w:sz w:val="24"/>
                <w:szCs w:val="24"/>
              </w:rPr>
              <w:t>2,611,810.00</w:t>
            </w:r>
          </w:p>
        </w:tc>
        <w:tc>
          <w:tcPr>
            <w:tcW w:w="1616" w:type="dxa"/>
            <w:vAlign w:val="center"/>
          </w:tcPr>
          <w:p w:rsidR="00921362" w:rsidRDefault="00D44CC6">
            <w:pPr>
              <w:jc w:val="right"/>
            </w:pPr>
            <w:r>
              <w:rPr>
                <w:rFonts w:eastAsiaTheme="minorEastAsia"/>
                <w:kern w:val="0"/>
                <w:sz w:val="24"/>
                <w:szCs w:val="24"/>
              </w:rPr>
              <w:t>3.80</w:t>
            </w:r>
          </w:p>
        </w:tc>
      </w:tr>
      <w:tr w:rsidR="00921362">
        <w:tc>
          <w:tcPr>
            <w:tcW w:w="817" w:type="dxa"/>
            <w:vAlign w:val="center"/>
          </w:tcPr>
          <w:p w:rsidR="00921362" w:rsidRDefault="00D44CC6">
            <w:pPr>
              <w:jc w:val="center"/>
            </w:pPr>
            <w:r>
              <w:rPr>
                <w:rFonts w:eastAsiaTheme="minorEastAsia"/>
                <w:kern w:val="0"/>
                <w:sz w:val="24"/>
                <w:szCs w:val="24"/>
              </w:rPr>
              <w:t>8</w:t>
            </w:r>
          </w:p>
        </w:tc>
        <w:tc>
          <w:tcPr>
            <w:tcW w:w="1276" w:type="dxa"/>
            <w:vAlign w:val="center"/>
          </w:tcPr>
          <w:p w:rsidR="00921362" w:rsidRDefault="00D44CC6">
            <w:pPr>
              <w:jc w:val="center"/>
            </w:pPr>
            <w:r>
              <w:rPr>
                <w:rFonts w:eastAsiaTheme="minorEastAsia"/>
                <w:kern w:val="0"/>
                <w:sz w:val="24"/>
                <w:szCs w:val="24"/>
              </w:rPr>
              <w:t>06110</w:t>
            </w:r>
          </w:p>
        </w:tc>
        <w:tc>
          <w:tcPr>
            <w:tcW w:w="1701" w:type="dxa"/>
            <w:vAlign w:val="center"/>
          </w:tcPr>
          <w:p w:rsidR="00921362" w:rsidRDefault="00D44CC6">
            <w:pPr>
              <w:jc w:val="center"/>
            </w:pPr>
            <w:r>
              <w:rPr>
                <w:rFonts w:eastAsiaTheme="minorEastAsia"/>
                <w:kern w:val="0"/>
                <w:sz w:val="24"/>
                <w:szCs w:val="24"/>
              </w:rPr>
              <w:t>滔搏</w:t>
            </w:r>
          </w:p>
        </w:tc>
        <w:tc>
          <w:tcPr>
            <w:tcW w:w="1276" w:type="dxa"/>
            <w:vAlign w:val="center"/>
          </w:tcPr>
          <w:p w:rsidR="00921362" w:rsidRDefault="00D44CC6">
            <w:pPr>
              <w:jc w:val="right"/>
            </w:pPr>
            <w:r>
              <w:rPr>
                <w:rFonts w:eastAsiaTheme="minorEastAsia"/>
                <w:kern w:val="0"/>
                <w:sz w:val="24"/>
                <w:szCs w:val="24"/>
              </w:rPr>
              <w:t>236,000.00</w:t>
            </w:r>
          </w:p>
        </w:tc>
        <w:tc>
          <w:tcPr>
            <w:tcW w:w="1842" w:type="dxa"/>
            <w:vAlign w:val="center"/>
          </w:tcPr>
          <w:p w:rsidR="00921362" w:rsidRDefault="00D44CC6">
            <w:pPr>
              <w:jc w:val="right"/>
            </w:pPr>
            <w:r>
              <w:rPr>
                <w:rFonts w:eastAsiaTheme="minorEastAsia"/>
                <w:kern w:val="0"/>
                <w:sz w:val="24"/>
                <w:szCs w:val="24"/>
              </w:rPr>
              <w:t>2,497,837.59</w:t>
            </w:r>
          </w:p>
        </w:tc>
        <w:tc>
          <w:tcPr>
            <w:tcW w:w="1616" w:type="dxa"/>
            <w:vAlign w:val="center"/>
          </w:tcPr>
          <w:p w:rsidR="00921362" w:rsidRDefault="00D44CC6">
            <w:pPr>
              <w:jc w:val="right"/>
            </w:pPr>
            <w:r>
              <w:rPr>
                <w:rFonts w:eastAsiaTheme="minorEastAsia"/>
                <w:kern w:val="0"/>
                <w:sz w:val="24"/>
                <w:szCs w:val="24"/>
              </w:rPr>
              <w:t>3.63</w:t>
            </w:r>
          </w:p>
        </w:tc>
      </w:tr>
      <w:tr w:rsidR="00921362">
        <w:tc>
          <w:tcPr>
            <w:tcW w:w="817" w:type="dxa"/>
            <w:vAlign w:val="center"/>
          </w:tcPr>
          <w:p w:rsidR="00921362" w:rsidRDefault="00D44CC6">
            <w:pPr>
              <w:jc w:val="center"/>
            </w:pPr>
            <w:r>
              <w:rPr>
                <w:rFonts w:eastAsiaTheme="minorEastAsia"/>
                <w:kern w:val="0"/>
                <w:sz w:val="24"/>
                <w:szCs w:val="24"/>
              </w:rPr>
              <w:t>9</w:t>
            </w:r>
          </w:p>
        </w:tc>
        <w:tc>
          <w:tcPr>
            <w:tcW w:w="1276" w:type="dxa"/>
            <w:vAlign w:val="center"/>
          </w:tcPr>
          <w:p w:rsidR="00921362" w:rsidRDefault="00D44CC6">
            <w:pPr>
              <w:jc w:val="center"/>
            </w:pPr>
            <w:r>
              <w:rPr>
                <w:rFonts w:eastAsiaTheme="minorEastAsia"/>
                <w:kern w:val="0"/>
                <w:sz w:val="24"/>
                <w:szCs w:val="24"/>
              </w:rPr>
              <w:t>06826</w:t>
            </w:r>
          </w:p>
        </w:tc>
        <w:tc>
          <w:tcPr>
            <w:tcW w:w="1701" w:type="dxa"/>
            <w:vAlign w:val="center"/>
          </w:tcPr>
          <w:p w:rsidR="00921362" w:rsidRDefault="00D44CC6">
            <w:pPr>
              <w:jc w:val="center"/>
            </w:pPr>
            <w:r>
              <w:rPr>
                <w:rFonts w:eastAsiaTheme="minorEastAsia"/>
                <w:kern w:val="0"/>
                <w:sz w:val="24"/>
                <w:szCs w:val="24"/>
              </w:rPr>
              <w:t>昊海生物科技</w:t>
            </w:r>
          </w:p>
        </w:tc>
        <w:tc>
          <w:tcPr>
            <w:tcW w:w="1276" w:type="dxa"/>
            <w:vAlign w:val="center"/>
          </w:tcPr>
          <w:p w:rsidR="00921362" w:rsidRDefault="00D44CC6">
            <w:pPr>
              <w:jc w:val="right"/>
            </w:pPr>
            <w:r>
              <w:rPr>
                <w:rFonts w:eastAsiaTheme="minorEastAsia"/>
                <w:kern w:val="0"/>
                <w:sz w:val="24"/>
                <w:szCs w:val="24"/>
              </w:rPr>
              <w:t>26,800.00</w:t>
            </w:r>
          </w:p>
        </w:tc>
        <w:tc>
          <w:tcPr>
            <w:tcW w:w="1842" w:type="dxa"/>
            <w:vAlign w:val="center"/>
          </w:tcPr>
          <w:p w:rsidR="00921362" w:rsidRDefault="00D44CC6">
            <w:pPr>
              <w:jc w:val="right"/>
            </w:pPr>
            <w:r>
              <w:rPr>
                <w:rFonts w:eastAsiaTheme="minorEastAsia"/>
                <w:kern w:val="0"/>
                <w:sz w:val="24"/>
                <w:szCs w:val="24"/>
              </w:rPr>
              <w:t>2,125,165.60</w:t>
            </w:r>
          </w:p>
        </w:tc>
        <w:tc>
          <w:tcPr>
            <w:tcW w:w="1616" w:type="dxa"/>
            <w:vAlign w:val="center"/>
          </w:tcPr>
          <w:p w:rsidR="00921362" w:rsidRDefault="00D44CC6">
            <w:pPr>
              <w:jc w:val="right"/>
            </w:pPr>
            <w:r>
              <w:rPr>
                <w:rFonts w:eastAsiaTheme="minorEastAsia"/>
                <w:kern w:val="0"/>
                <w:sz w:val="24"/>
                <w:szCs w:val="24"/>
              </w:rPr>
              <w:t>3.09</w:t>
            </w:r>
          </w:p>
        </w:tc>
      </w:tr>
      <w:tr w:rsidR="00921362">
        <w:tc>
          <w:tcPr>
            <w:tcW w:w="817" w:type="dxa"/>
            <w:vAlign w:val="center"/>
          </w:tcPr>
          <w:p w:rsidR="00921362" w:rsidRDefault="00D44CC6">
            <w:pPr>
              <w:jc w:val="center"/>
            </w:pPr>
            <w:r>
              <w:rPr>
                <w:rFonts w:eastAsiaTheme="minorEastAsia"/>
                <w:kern w:val="0"/>
                <w:sz w:val="24"/>
                <w:szCs w:val="24"/>
              </w:rPr>
              <w:t>10</w:t>
            </w:r>
          </w:p>
        </w:tc>
        <w:tc>
          <w:tcPr>
            <w:tcW w:w="1276" w:type="dxa"/>
            <w:vAlign w:val="center"/>
          </w:tcPr>
          <w:p w:rsidR="00921362" w:rsidRDefault="00D44CC6">
            <w:pPr>
              <w:jc w:val="center"/>
            </w:pPr>
            <w:r>
              <w:rPr>
                <w:rFonts w:eastAsiaTheme="minorEastAsia"/>
                <w:kern w:val="0"/>
                <w:sz w:val="24"/>
                <w:szCs w:val="24"/>
              </w:rPr>
              <w:t>09969</w:t>
            </w:r>
          </w:p>
        </w:tc>
        <w:tc>
          <w:tcPr>
            <w:tcW w:w="1701" w:type="dxa"/>
            <w:vAlign w:val="center"/>
          </w:tcPr>
          <w:p w:rsidR="00921362" w:rsidRDefault="00D44CC6">
            <w:pPr>
              <w:jc w:val="center"/>
            </w:pPr>
            <w:r>
              <w:rPr>
                <w:rFonts w:eastAsiaTheme="minorEastAsia"/>
                <w:kern w:val="0"/>
                <w:sz w:val="24"/>
                <w:szCs w:val="24"/>
              </w:rPr>
              <w:t>诺诚健华－Ｂ</w:t>
            </w:r>
          </w:p>
        </w:tc>
        <w:tc>
          <w:tcPr>
            <w:tcW w:w="1276" w:type="dxa"/>
            <w:vAlign w:val="center"/>
          </w:tcPr>
          <w:p w:rsidR="00921362" w:rsidRDefault="00D44CC6">
            <w:pPr>
              <w:jc w:val="right"/>
            </w:pPr>
            <w:r>
              <w:rPr>
                <w:rFonts w:eastAsiaTheme="minorEastAsia"/>
                <w:kern w:val="0"/>
                <w:sz w:val="24"/>
                <w:szCs w:val="24"/>
              </w:rPr>
              <w:t>89,000.00</w:t>
            </w:r>
          </w:p>
        </w:tc>
        <w:tc>
          <w:tcPr>
            <w:tcW w:w="1842" w:type="dxa"/>
            <w:vAlign w:val="center"/>
          </w:tcPr>
          <w:p w:rsidR="00921362" w:rsidRDefault="00D44CC6">
            <w:pPr>
              <w:jc w:val="right"/>
            </w:pPr>
            <w:r>
              <w:rPr>
                <w:rFonts w:eastAsiaTheme="minorEastAsia"/>
                <w:kern w:val="0"/>
                <w:sz w:val="24"/>
                <w:szCs w:val="24"/>
              </w:rPr>
              <w:t>2,114,273.68</w:t>
            </w:r>
          </w:p>
        </w:tc>
        <w:tc>
          <w:tcPr>
            <w:tcW w:w="1616" w:type="dxa"/>
            <w:vAlign w:val="center"/>
          </w:tcPr>
          <w:p w:rsidR="00921362" w:rsidRDefault="00D44CC6">
            <w:pPr>
              <w:jc w:val="right"/>
            </w:pPr>
            <w:r>
              <w:rPr>
                <w:rFonts w:eastAsiaTheme="minorEastAsia"/>
                <w:kern w:val="0"/>
                <w:sz w:val="24"/>
                <w:szCs w:val="24"/>
              </w:rPr>
              <w:t>3.08</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25,259.39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2,631,910.79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95,663.84</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1,303.56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103,742.75</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2,857,880.33</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因四舍五入的原因，投资组合报告中分项之和与合计数可能存在尾差。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87,855,069.10</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21,958,705.73</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61,762,248.12</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48,051,526.71</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lastRenderedPageBreak/>
        <w:t>1.</w:t>
      </w:r>
      <w:r>
        <w:rPr>
          <w:rFonts w:eastAsiaTheme="minorEastAsia"/>
          <w:color w:val="000000" w:themeColor="text1"/>
        </w:rPr>
        <w:t>中国证监会准予上投摩根香港精选港股通混合型证券投资基金募集注册的文件</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《上投摩根香港精选港股通混合型证券投资基金基金合同》</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3.</w:t>
      </w:r>
      <w:r>
        <w:rPr>
          <w:rFonts w:eastAsiaTheme="minorEastAsia"/>
          <w:color w:val="000000" w:themeColor="text1"/>
        </w:rPr>
        <w:t>《上投摩根香港精选港股通混合型证券投资基金托管协议》</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法律意见书</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基金管理人业务资格批件、营业执照</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6.</w:t>
      </w:r>
      <w:r>
        <w:rPr>
          <w:rFonts w:eastAsiaTheme="minorEastAsia"/>
          <w:color w:val="000000" w:themeColor="text1"/>
        </w:rPr>
        <w:t>基金托管人业务资格批件、营业执照</w:t>
      </w:r>
    </w:p>
    <w:p w:rsidR="00921362" w:rsidRDefault="00D44CC6">
      <w:pPr>
        <w:spacing w:line="360" w:lineRule="auto"/>
        <w:ind w:firstLineChars="200" w:firstLine="420"/>
        <w:rPr>
          <w:rFonts w:eastAsiaTheme="minorEastAsia"/>
          <w:color w:val="000000" w:themeColor="text1"/>
        </w:rPr>
      </w:pPr>
      <w:r>
        <w:rPr>
          <w:rFonts w:eastAsiaTheme="minorEastAsia"/>
          <w:color w:val="000000" w:themeColor="text1"/>
        </w:rPr>
        <w:t>7.</w:t>
      </w:r>
      <w:r>
        <w:rPr>
          <w:rFonts w:eastAsiaTheme="minorEastAsia"/>
          <w:color w:val="000000" w:themeColor="text1"/>
        </w:rPr>
        <w:t>《上投摩根基金管理有限公司开放式基金业务规则》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8.</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二〇二一年七月二十一日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D44CC6" w:rsidRPr="00D44CC6">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D44CC6">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上投摩根香港精选港股通混合型证券投资基金</w:t>
    </w:r>
    <w:r>
      <w:rPr>
        <w:rFonts w:hint="eastAsia"/>
      </w:rPr>
      <w:t>2021</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362"/>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44CC6"/>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404FB-2D91-427A-8020-18696003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Wentian.Zhou@FA</cp:lastModifiedBy>
  <cp:revision>268</cp:revision>
  <dcterms:created xsi:type="dcterms:W3CDTF">2012-10-16T06:07:00Z</dcterms:created>
  <dcterms:modified xsi:type="dcterms:W3CDTF">2021-07-20T08:05:00Z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