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上投摩根香港精选港股通混合型证券投资基金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2021年第1季度报告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2021年3月31日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二〇二一年四月二十二日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基金托管人中国工商银行股份有限公司根据本基金合同规定，于</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本报告期自2021年1月1日起至3月31日止。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上投摩根香港精选港股通混合</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005701</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005701</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2018年6月8日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87,855,069.10</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本基金采用定量及定性研究方法，自下而上优选在港股通范围内的上市公司，通过严格风险控制，力争实现基金资产的长期增值。</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资产配置层面，本基金将综合分析和持续跟踪基本面、政策面、市场面等多方面因素，对宏观经济、国家政策、资金面和市场情绪等影响证券市场的重要因素进行深入分析，重点关注包括 GDP 增速、固定资产投资增速、净出</w:t>
            </w:r>
            <w:r>
              <w:rPr>
                <w:rFonts w:asciiTheme="minorEastAsia" w:eastAsiaTheme="minorEastAsia" w:hAnsiTheme="minorEastAsia"/>
                <w:color w:val="000000" w:themeColor="text1"/>
                <w:kern w:val="0"/>
              </w:rPr>
              <w:lastRenderedPageBreak/>
              <w:t>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个股选择层面，本基金在分析宏观经济形势和行业发展基础上，精选港股市场中的优质上市企业，有针对性地根据不同指标选取具有成长性和投资价值的上市公司构建股票池。在具体操作上，基金将采用自下而上的个股精选策略，综合运用定量分析与定性分析的手段，对公司基本面进行价值挖掘。</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中证港股通综合指数收益率×70%+中债总指数收益率×30%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E33D57" w:rsidRDefault="00487CB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本基金属于混合型基金产品，预期风险和收益水平高于债券型基金和货币市场基金，低于股票型基金，属于较</w:t>
            </w:r>
            <w:r>
              <w:rPr>
                <w:rFonts w:asciiTheme="minorEastAsia" w:eastAsiaTheme="minorEastAsia" w:hAnsiTheme="minorEastAsia"/>
                <w:color w:val="000000" w:themeColor="text1"/>
                <w:kern w:val="0"/>
              </w:rPr>
              <w:t>高风险收益水平的基金产品。本基金将投资港股通标的股票，需承担汇率风险以及境外市场的风险。</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487CB1" w:rsidTr="00487CB1">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2021年1月1日-2021年3月31日</w:t>
            </w:r>
            <w:r>
              <w:rPr>
                <w:rFonts w:asciiTheme="minorEastAsia" w:eastAsiaTheme="minorEastAsia" w:hAnsiTheme="minorEastAsia" w:cs="宋体" w:hint="eastAsia"/>
                <w:color w:val="000000" w:themeColor="text1"/>
              </w:rPr>
              <w:t>)</w:t>
            </w:r>
          </w:p>
        </w:tc>
      </w:tr>
      <w:tr w:rsidR="00487CB1" w:rsidTr="00487CB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-799,425.03</w:t>
            </w:r>
          </w:p>
        </w:tc>
      </w:tr>
      <w:tr w:rsidR="00487CB1" w:rsidTr="00487CB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-10,545,758.99</w:t>
            </w:r>
          </w:p>
        </w:tc>
      </w:tr>
      <w:tr w:rsidR="00487CB1" w:rsidTr="00487CB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-0.1790</w:t>
            </w:r>
          </w:p>
        </w:tc>
      </w:tr>
      <w:tr w:rsidR="00487CB1" w:rsidTr="00487CB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115,451,768.20</w:t>
            </w:r>
          </w:p>
        </w:tc>
      </w:tr>
      <w:tr w:rsidR="00487CB1" w:rsidTr="00487CB1">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1.3141</w:t>
            </w:r>
          </w:p>
        </w:tc>
      </w:tr>
    </w:tbl>
    <w:p w:rsidR="00E33D57" w:rsidRDefault="00487CB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E33D57">
        <w:tc>
          <w:tcPr>
            <w:tcW w:w="1395" w:type="dxa"/>
            <w:vAlign w:val="center"/>
          </w:tcPr>
          <w:p w:rsidR="00E33D57" w:rsidRDefault="00487CB1">
            <w:pPr>
              <w:jc w:val="left"/>
            </w:pPr>
            <w:r>
              <w:rPr>
                <w:rFonts w:asciiTheme="minorEastAsia" w:eastAsiaTheme="minorEastAsia" w:hAnsiTheme="minorEastAsia"/>
                <w:color w:val="000000" w:themeColor="text1"/>
                <w:kern w:val="0"/>
              </w:rPr>
              <w:t>过去三个月</w:t>
            </w:r>
          </w:p>
        </w:tc>
        <w:tc>
          <w:tcPr>
            <w:tcW w:w="1092" w:type="dxa"/>
            <w:vAlign w:val="center"/>
          </w:tcPr>
          <w:p w:rsidR="00E33D57" w:rsidRDefault="00487CB1">
            <w:pPr>
              <w:jc w:val="center"/>
            </w:pPr>
            <w:r>
              <w:rPr>
                <w:rFonts w:asciiTheme="minorEastAsia" w:eastAsiaTheme="minorEastAsia" w:hAnsiTheme="minorEastAsia"/>
                <w:color w:val="000000" w:themeColor="text1"/>
                <w:kern w:val="0"/>
              </w:rPr>
              <w:t>-7.89%</w:t>
            </w:r>
          </w:p>
        </w:tc>
        <w:tc>
          <w:tcPr>
            <w:tcW w:w="1161" w:type="dxa"/>
            <w:vAlign w:val="center"/>
          </w:tcPr>
          <w:p w:rsidR="00E33D57" w:rsidRDefault="00487CB1">
            <w:pPr>
              <w:jc w:val="center"/>
            </w:pPr>
            <w:r>
              <w:rPr>
                <w:rFonts w:asciiTheme="minorEastAsia" w:eastAsiaTheme="minorEastAsia" w:hAnsiTheme="minorEastAsia"/>
                <w:color w:val="000000" w:themeColor="text1"/>
                <w:kern w:val="0"/>
              </w:rPr>
              <w:t>2.30%</w:t>
            </w:r>
          </w:p>
        </w:tc>
        <w:tc>
          <w:tcPr>
            <w:tcW w:w="1181" w:type="dxa"/>
            <w:vAlign w:val="center"/>
          </w:tcPr>
          <w:p w:rsidR="00E33D57" w:rsidRDefault="00487CB1">
            <w:pPr>
              <w:jc w:val="center"/>
            </w:pPr>
            <w:r>
              <w:rPr>
                <w:rFonts w:asciiTheme="minorEastAsia" w:eastAsiaTheme="minorEastAsia" w:hAnsiTheme="minorEastAsia"/>
                <w:color w:val="000000" w:themeColor="text1"/>
                <w:kern w:val="0"/>
              </w:rPr>
              <w:t>3.23%</w:t>
            </w:r>
          </w:p>
        </w:tc>
        <w:tc>
          <w:tcPr>
            <w:tcW w:w="1188" w:type="dxa"/>
            <w:vAlign w:val="center"/>
          </w:tcPr>
          <w:p w:rsidR="00E33D57" w:rsidRDefault="00487CB1">
            <w:pPr>
              <w:jc w:val="center"/>
            </w:pPr>
            <w:r>
              <w:rPr>
                <w:rFonts w:asciiTheme="minorEastAsia" w:eastAsiaTheme="minorEastAsia" w:hAnsiTheme="minorEastAsia"/>
                <w:color w:val="000000" w:themeColor="text1"/>
                <w:kern w:val="0"/>
              </w:rPr>
              <w:t>1.17%</w:t>
            </w:r>
          </w:p>
        </w:tc>
        <w:tc>
          <w:tcPr>
            <w:tcW w:w="1199" w:type="dxa"/>
            <w:vAlign w:val="center"/>
          </w:tcPr>
          <w:p w:rsidR="00E33D57" w:rsidRDefault="00487CB1">
            <w:pPr>
              <w:jc w:val="center"/>
            </w:pPr>
            <w:r>
              <w:rPr>
                <w:rFonts w:asciiTheme="minorEastAsia" w:eastAsiaTheme="minorEastAsia" w:hAnsiTheme="minorEastAsia"/>
                <w:color w:val="000000" w:themeColor="text1"/>
                <w:kern w:val="0"/>
              </w:rPr>
              <w:t>-11.12%</w:t>
            </w:r>
          </w:p>
        </w:tc>
        <w:tc>
          <w:tcPr>
            <w:tcW w:w="1204" w:type="dxa"/>
            <w:vAlign w:val="center"/>
          </w:tcPr>
          <w:p w:rsidR="00E33D57" w:rsidRDefault="00487CB1">
            <w:pPr>
              <w:jc w:val="center"/>
            </w:pPr>
            <w:r>
              <w:rPr>
                <w:rFonts w:asciiTheme="minorEastAsia" w:eastAsiaTheme="minorEastAsia" w:hAnsiTheme="minorEastAsia"/>
                <w:color w:val="000000" w:themeColor="text1"/>
                <w:kern w:val="0"/>
              </w:rPr>
              <w:t>1.13%</w:t>
            </w:r>
          </w:p>
        </w:tc>
      </w:tr>
      <w:tr w:rsidR="00E33D57">
        <w:tc>
          <w:tcPr>
            <w:tcW w:w="1395" w:type="dxa"/>
            <w:vAlign w:val="center"/>
          </w:tcPr>
          <w:p w:rsidR="00E33D57" w:rsidRDefault="00487CB1">
            <w:pPr>
              <w:jc w:val="left"/>
            </w:pPr>
            <w:r>
              <w:rPr>
                <w:rFonts w:asciiTheme="minorEastAsia" w:eastAsiaTheme="minorEastAsia" w:hAnsiTheme="minorEastAsia"/>
                <w:color w:val="000000" w:themeColor="text1"/>
                <w:kern w:val="0"/>
              </w:rPr>
              <w:t>过去六个月</w:t>
            </w:r>
          </w:p>
        </w:tc>
        <w:tc>
          <w:tcPr>
            <w:tcW w:w="1092" w:type="dxa"/>
            <w:vAlign w:val="center"/>
          </w:tcPr>
          <w:p w:rsidR="00E33D57" w:rsidRDefault="00487CB1">
            <w:pPr>
              <w:jc w:val="center"/>
            </w:pPr>
            <w:r>
              <w:rPr>
                <w:rFonts w:asciiTheme="minorEastAsia" w:eastAsiaTheme="minorEastAsia" w:hAnsiTheme="minorEastAsia"/>
                <w:color w:val="000000" w:themeColor="text1"/>
                <w:kern w:val="0"/>
              </w:rPr>
              <w:t>7.48%</w:t>
            </w:r>
          </w:p>
        </w:tc>
        <w:tc>
          <w:tcPr>
            <w:tcW w:w="1161" w:type="dxa"/>
            <w:vAlign w:val="center"/>
          </w:tcPr>
          <w:p w:rsidR="00E33D57" w:rsidRDefault="00487CB1">
            <w:pPr>
              <w:jc w:val="center"/>
            </w:pPr>
            <w:r>
              <w:rPr>
                <w:rFonts w:asciiTheme="minorEastAsia" w:eastAsiaTheme="minorEastAsia" w:hAnsiTheme="minorEastAsia"/>
                <w:color w:val="000000" w:themeColor="text1"/>
                <w:kern w:val="0"/>
              </w:rPr>
              <w:t>1.89%</w:t>
            </w:r>
          </w:p>
        </w:tc>
        <w:tc>
          <w:tcPr>
            <w:tcW w:w="1181" w:type="dxa"/>
            <w:vAlign w:val="center"/>
          </w:tcPr>
          <w:p w:rsidR="00E33D57" w:rsidRDefault="00487CB1">
            <w:pPr>
              <w:jc w:val="center"/>
            </w:pPr>
            <w:r>
              <w:rPr>
                <w:rFonts w:asciiTheme="minorEastAsia" w:eastAsiaTheme="minorEastAsia" w:hAnsiTheme="minorEastAsia"/>
                <w:color w:val="000000" w:themeColor="text1"/>
                <w:kern w:val="0"/>
              </w:rPr>
              <w:t>16.32%</w:t>
            </w:r>
          </w:p>
        </w:tc>
        <w:tc>
          <w:tcPr>
            <w:tcW w:w="1188" w:type="dxa"/>
            <w:vAlign w:val="center"/>
          </w:tcPr>
          <w:p w:rsidR="00E33D57" w:rsidRDefault="00487CB1">
            <w:pPr>
              <w:jc w:val="center"/>
            </w:pPr>
            <w:r>
              <w:rPr>
                <w:rFonts w:asciiTheme="minorEastAsia" w:eastAsiaTheme="minorEastAsia" w:hAnsiTheme="minorEastAsia"/>
                <w:color w:val="000000" w:themeColor="text1"/>
                <w:kern w:val="0"/>
              </w:rPr>
              <w:t>0.98%</w:t>
            </w:r>
          </w:p>
        </w:tc>
        <w:tc>
          <w:tcPr>
            <w:tcW w:w="1199" w:type="dxa"/>
            <w:vAlign w:val="center"/>
          </w:tcPr>
          <w:p w:rsidR="00E33D57" w:rsidRDefault="00487CB1">
            <w:pPr>
              <w:jc w:val="center"/>
            </w:pPr>
            <w:r>
              <w:rPr>
                <w:rFonts w:asciiTheme="minorEastAsia" w:eastAsiaTheme="minorEastAsia" w:hAnsiTheme="minorEastAsia"/>
                <w:color w:val="000000" w:themeColor="text1"/>
                <w:kern w:val="0"/>
              </w:rPr>
              <w:t>-8.84%</w:t>
            </w:r>
          </w:p>
        </w:tc>
        <w:tc>
          <w:tcPr>
            <w:tcW w:w="1204" w:type="dxa"/>
            <w:vAlign w:val="center"/>
          </w:tcPr>
          <w:p w:rsidR="00E33D57" w:rsidRDefault="00487CB1">
            <w:pPr>
              <w:jc w:val="center"/>
            </w:pPr>
            <w:r>
              <w:rPr>
                <w:rFonts w:asciiTheme="minorEastAsia" w:eastAsiaTheme="minorEastAsia" w:hAnsiTheme="minorEastAsia"/>
                <w:color w:val="000000" w:themeColor="text1"/>
                <w:kern w:val="0"/>
              </w:rPr>
              <w:t>0.91%</w:t>
            </w:r>
          </w:p>
        </w:tc>
      </w:tr>
      <w:tr w:rsidR="00E33D57">
        <w:tc>
          <w:tcPr>
            <w:tcW w:w="1395" w:type="dxa"/>
            <w:vAlign w:val="center"/>
          </w:tcPr>
          <w:p w:rsidR="00E33D57" w:rsidRDefault="00487CB1">
            <w:pPr>
              <w:jc w:val="left"/>
            </w:pPr>
            <w:r>
              <w:rPr>
                <w:rFonts w:asciiTheme="minorEastAsia" w:eastAsiaTheme="minorEastAsia" w:hAnsiTheme="minorEastAsia"/>
                <w:color w:val="000000" w:themeColor="text1"/>
                <w:kern w:val="0"/>
              </w:rPr>
              <w:t>过去一年</w:t>
            </w:r>
          </w:p>
        </w:tc>
        <w:tc>
          <w:tcPr>
            <w:tcW w:w="1092" w:type="dxa"/>
            <w:vAlign w:val="center"/>
          </w:tcPr>
          <w:p w:rsidR="00E33D57" w:rsidRDefault="00487CB1">
            <w:pPr>
              <w:jc w:val="center"/>
            </w:pPr>
            <w:r>
              <w:rPr>
                <w:rFonts w:asciiTheme="minorEastAsia" w:eastAsiaTheme="minorEastAsia" w:hAnsiTheme="minorEastAsia"/>
                <w:color w:val="000000" w:themeColor="text1"/>
                <w:kern w:val="0"/>
              </w:rPr>
              <w:t>36.86%</w:t>
            </w:r>
          </w:p>
        </w:tc>
        <w:tc>
          <w:tcPr>
            <w:tcW w:w="1161" w:type="dxa"/>
            <w:vAlign w:val="center"/>
          </w:tcPr>
          <w:p w:rsidR="00E33D57" w:rsidRDefault="00487CB1">
            <w:pPr>
              <w:jc w:val="center"/>
            </w:pPr>
            <w:r>
              <w:rPr>
                <w:rFonts w:asciiTheme="minorEastAsia" w:eastAsiaTheme="minorEastAsia" w:hAnsiTheme="minorEastAsia"/>
                <w:color w:val="000000" w:themeColor="text1"/>
                <w:kern w:val="0"/>
              </w:rPr>
              <w:t>1.74%</w:t>
            </w:r>
          </w:p>
        </w:tc>
        <w:tc>
          <w:tcPr>
            <w:tcW w:w="1181" w:type="dxa"/>
            <w:vAlign w:val="center"/>
          </w:tcPr>
          <w:p w:rsidR="00E33D57" w:rsidRDefault="00487CB1">
            <w:pPr>
              <w:jc w:val="center"/>
            </w:pPr>
            <w:r>
              <w:rPr>
                <w:rFonts w:asciiTheme="minorEastAsia" w:eastAsiaTheme="minorEastAsia" w:hAnsiTheme="minorEastAsia"/>
                <w:color w:val="000000" w:themeColor="text1"/>
                <w:kern w:val="0"/>
              </w:rPr>
              <w:t>26.17%</w:t>
            </w:r>
          </w:p>
        </w:tc>
        <w:tc>
          <w:tcPr>
            <w:tcW w:w="1188" w:type="dxa"/>
            <w:vAlign w:val="center"/>
          </w:tcPr>
          <w:p w:rsidR="00E33D57" w:rsidRDefault="00487CB1">
            <w:pPr>
              <w:jc w:val="center"/>
            </w:pPr>
            <w:r>
              <w:rPr>
                <w:rFonts w:asciiTheme="minorEastAsia" w:eastAsiaTheme="minorEastAsia" w:hAnsiTheme="minorEastAsia"/>
                <w:color w:val="000000" w:themeColor="text1"/>
                <w:kern w:val="0"/>
              </w:rPr>
              <w:t>0.98%</w:t>
            </w:r>
          </w:p>
        </w:tc>
        <w:tc>
          <w:tcPr>
            <w:tcW w:w="1199" w:type="dxa"/>
            <w:vAlign w:val="center"/>
          </w:tcPr>
          <w:p w:rsidR="00E33D57" w:rsidRDefault="00487CB1">
            <w:pPr>
              <w:jc w:val="center"/>
            </w:pPr>
            <w:r>
              <w:rPr>
                <w:rFonts w:asciiTheme="minorEastAsia" w:eastAsiaTheme="minorEastAsia" w:hAnsiTheme="minorEastAsia"/>
                <w:color w:val="000000" w:themeColor="text1"/>
                <w:kern w:val="0"/>
              </w:rPr>
              <w:t>10.69%</w:t>
            </w:r>
          </w:p>
        </w:tc>
        <w:tc>
          <w:tcPr>
            <w:tcW w:w="1204" w:type="dxa"/>
            <w:vAlign w:val="center"/>
          </w:tcPr>
          <w:p w:rsidR="00E33D57" w:rsidRDefault="00487CB1">
            <w:pPr>
              <w:jc w:val="center"/>
            </w:pPr>
            <w:r>
              <w:rPr>
                <w:rFonts w:asciiTheme="minorEastAsia" w:eastAsiaTheme="minorEastAsia" w:hAnsiTheme="minorEastAsia"/>
                <w:color w:val="000000" w:themeColor="text1"/>
                <w:kern w:val="0"/>
              </w:rPr>
              <w:t>0.76%</w:t>
            </w:r>
          </w:p>
        </w:tc>
      </w:tr>
      <w:tr w:rsidR="00E33D57">
        <w:tc>
          <w:tcPr>
            <w:tcW w:w="1395" w:type="dxa"/>
            <w:vAlign w:val="center"/>
          </w:tcPr>
          <w:p w:rsidR="00E33D57" w:rsidRDefault="00487CB1">
            <w:pPr>
              <w:jc w:val="left"/>
            </w:pPr>
            <w:r>
              <w:rPr>
                <w:rFonts w:asciiTheme="minorEastAsia" w:eastAsiaTheme="minorEastAsia" w:hAnsiTheme="minorEastAsia"/>
                <w:color w:val="000000" w:themeColor="text1"/>
                <w:kern w:val="0"/>
              </w:rPr>
              <w:t>过去三年</w:t>
            </w:r>
          </w:p>
        </w:tc>
        <w:tc>
          <w:tcPr>
            <w:tcW w:w="1092" w:type="dxa"/>
            <w:vAlign w:val="center"/>
          </w:tcPr>
          <w:p w:rsidR="00E33D57" w:rsidRDefault="00487CB1">
            <w:pPr>
              <w:jc w:val="center"/>
            </w:pPr>
            <w:r>
              <w:rPr>
                <w:rFonts w:asciiTheme="minorEastAsia" w:eastAsiaTheme="minorEastAsia" w:hAnsiTheme="minorEastAsia"/>
                <w:color w:val="000000" w:themeColor="text1"/>
                <w:kern w:val="0"/>
              </w:rPr>
              <w:t>-</w:t>
            </w:r>
          </w:p>
        </w:tc>
        <w:tc>
          <w:tcPr>
            <w:tcW w:w="1161" w:type="dxa"/>
            <w:vAlign w:val="center"/>
          </w:tcPr>
          <w:p w:rsidR="00E33D57" w:rsidRDefault="00487CB1">
            <w:pPr>
              <w:jc w:val="center"/>
            </w:pPr>
            <w:r>
              <w:rPr>
                <w:rFonts w:asciiTheme="minorEastAsia" w:eastAsiaTheme="minorEastAsia" w:hAnsiTheme="minorEastAsia"/>
                <w:color w:val="000000" w:themeColor="text1"/>
                <w:kern w:val="0"/>
              </w:rPr>
              <w:t>-</w:t>
            </w:r>
          </w:p>
        </w:tc>
        <w:tc>
          <w:tcPr>
            <w:tcW w:w="1181" w:type="dxa"/>
            <w:vAlign w:val="center"/>
          </w:tcPr>
          <w:p w:rsidR="00E33D57" w:rsidRDefault="00487CB1">
            <w:pPr>
              <w:jc w:val="center"/>
            </w:pPr>
            <w:r>
              <w:rPr>
                <w:rFonts w:asciiTheme="minorEastAsia" w:eastAsiaTheme="minorEastAsia" w:hAnsiTheme="minorEastAsia"/>
                <w:color w:val="000000" w:themeColor="text1"/>
                <w:kern w:val="0"/>
              </w:rPr>
              <w:t>-</w:t>
            </w:r>
          </w:p>
        </w:tc>
        <w:tc>
          <w:tcPr>
            <w:tcW w:w="1188" w:type="dxa"/>
            <w:vAlign w:val="center"/>
          </w:tcPr>
          <w:p w:rsidR="00E33D57" w:rsidRDefault="00487CB1">
            <w:pPr>
              <w:jc w:val="center"/>
            </w:pPr>
            <w:r>
              <w:rPr>
                <w:rFonts w:asciiTheme="minorEastAsia" w:eastAsiaTheme="minorEastAsia" w:hAnsiTheme="minorEastAsia"/>
                <w:color w:val="000000" w:themeColor="text1"/>
                <w:kern w:val="0"/>
              </w:rPr>
              <w:t>-</w:t>
            </w:r>
          </w:p>
        </w:tc>
        <w:tc>
          <w:tcPr>
            <w:tcW w:w="1199" w:type="dxa"/>
            <w:vAlign w:val="center"/>
          </w:tcPr>
          <w:p w:rsidR="00E33D57" w:rsidRDefault="00487CB1">
            <w:pPr>
              <w:jc w:val="center"/>
            </w:pPr>
            <w:r>
              <w:rPr>
                <w:rFonts w:asciiTheme="minorEastAsia" w:eastAsiaTheme="minorEastAsia" w:hAnsiTheme="minorEastAsia"/>
                <w:color w:val="000000" w:themeColor="text1"/>
                <w:kern w:val="0"/>
              </w:rPr>
              <w:t>-</w:t>
            </w:r>
          </w:p>
        </w:tc>
        <w:tc>
          <w:tcPr>
            <w:tcW w:w="1204" w:type="dxa"/>
            <w:vAlign w:val="center"/>
          </w:tcPr>
          <w:p w:rsidR="00E33D57" w:rsidRDefault="00487CB1">
            <w:pPr>
              <w:jc w:val="center"/>
            </w:pPr>
            <w:r>
              <w:rPr>
                <w:rFonts w:asciiTheme="minorEastAsia" w:eastAsiaTheme="minorEastAsia" w:hAnsiTheme="minorEastAsia"/>
                <w:color w:val="000000" w:themeColor="text1"/>
                <w:kern w:val="0"/>
              </w:rPr>
              <w:t>-</w:t>
            </w:r>
          </w:p>
        </w:tc>
      </w:tr>
      <w:tr w:rsidR="00E33D57">
        <w:tc>
          <w:tcPr>
            <w:tcW w:w="1395" w:type="dxa"/>
            <w:vAlign w:val="center"/>
          </w:tcPr>
          <w:p w:rsidR="00E33D57" w:rsidRDefault="00487CB1">
            <w:pPr>
              <w:jc w:val="left"/>
            </w:pPr>
            <w:r>
              <w:rPr>
                <w:rFonts w:asciiTheme="minorEastAsia" w:eastAsiaTheme="minorEastAsia" w:hAnsiTheme="minorEastAsia"/>
                <w:color w:val="000000" w:themeColor="text1"/>
                <w:kern w:val="0"/>
              </w:rPr>
              <w:t>过去五年</w:t>
            </w:r>
          </w:p>
        </w:tc>
        <w:tc>
          <w:tcPr>
            <w:tcW w:w="1092" w:type="dxa"/>
            <w:vAlign w:val="center"/>
          </w:tcPr>
          <w:p w:rsidR="00E33D57" w:rsidRDefault="00487CB1">
            <w:pPr>
              <w:jc w:val="center"/>
            </w:pPr>
            <w:r>
              <w:rPr>
                <w:rFonts w:asciiTheme="minorEastAsia" w:eastAsiaTheme="minorEastAsia" w:hAnsiTheme="minorEastAsia"/>
                <w:color w:val="000000" w:themeColor="text1"/>
                <w:kern w:val="0"/>
              </w:rPr>
              <w:t>-</w:t>
            </w:r>
          </w:p>
        </w:tc>
        <w:tc>
          <w:tcPr>
            <w:tcW w:w="1161" w:type="dxa"/>
            <w:vAlign w:val="center"/>
          </w:tcPr>
          <w:p w:rsidR="00E33D57" w:rsidRDefault="00487CB1">
            <w:pPr>
              <w:jc w:val="center"/>
            </w:pPr>
            <w:r>
              <w:rPr>
                <w:rFonts w:asciiTheme="minorEastAsia" w:eastAsiaTheme="minorEastAsia" w:hAnsiTheme="minorEastAsia"/>
                <w:color w:val="000000" w:themeColor="text1"/>
                <w:kern w:val="0"/>
              </w:rPr>
              <w:t>-</w:t>
            </w:r>
          </w:p>
        </w:tc>
        <w:tc>
          <w:tcPr>
            <w:tcW w:w="1181" w:type="dxa"/>
            <w:vAlign w:val="center"/>
          </w:tcPr>
          <w:p w:rsidR="00E33D57" w:rsidRDefault="00487CB1">
            <w:pPr>
              <w:jc w:val="center"/>
            </w:pPr>
            <w:r>
              <w:rPr>
                <w:rFonts w:asciiTheme="minorEastAsia" w:eastAsiaTheme="minorEastAsia" w:hAnsiTheme="minorEastAsia"/>
                <w:color w:val="000000" w:themeColor="text1"/>
                <w:kern w:val="0"/>
              </w:rPr>
              <w:t>-</w:t>
            </w:r>
          </w:p>
        </w:tc>
        <w:tc>
          <w:tcPr>
            <w:tcW w:w="1188" w:type="dxa"/>
            <w:vAlign w:val="center"/>
          </w:tcPr>
          <w:p w:rsidR="00E33D57" w:rsidRDefault="00487CB1">
            <w:pPr>
              <w:jc w:val="center"/>
            </w:pPr>
            <w:r>
              <w:rPr>
                <w:rFonts w:asciiTheme="minorEastAsia" w:eastAsiaTheme="minorEastAsia" w:hAnsiTheme="minorEastAsia"/>
                <w:color w:val="000000" w:themeColor="text1"/>
                <w:kern w:val="0"/>
              </w:rPr>
              <w:t>-</w:t>
            </w:r>
          </w:p>
        </w:tc>
        <w:tc>
          <w:tcPr>
            <w:tcW w:w="1199" w:type="dxa"/>
            <w:vAlign w:val="center"/>
          </w:tcPr>
          <w:p w:rsidR="00E33D57" w:rsidRDefault="00487CB1">
            <w:pPr>
              <w:jc w:val="center"/>
            </w:pPr>
            <w:r>
              <w:rPr>
                <w:rFonts w:asciiTheme="minorEastAsia" w:eastAsiaTheme="minorEastAsia" w:hAnsiTheme="minorEastAsia"/>
                <w:color w:val="000000" w:themeColor="text1"/>
                <w:kern w:val="0"/>
              </w:rPr>
              <w:t>-</w:t>
            </w:r>
          </w:p>
        </w:tc>
        <w:tc>
          <w:tcPr>
            <w:tcW w:w="1204" w:type="dxa"/>
            <w:vAlign w:val="center"/>
          </w:tcPr>
          <w:p w:rsidR="00E33D57" w:rsidRDefault="00487CB1">
            <w:pPr>
              <w:jc w:val="center"/>
            </w:pPr>
            <w:r>
              <w:rPr>
                <w:rFonts w:asciiTheme="minorEastAsia" w:eastAsiaTheme="minorEastAsia" w:hAnsiTheme="minorEastAsia"/>
                <w:color w:val="000000" w:themeColor="text1"/>
                <w:kern w:val="0"/>
              </w:rPr>
              <w:t>-</w:t>
            </w:r>
          </w:p>
        </w:tc>
      </w:tr>
      <w:tr w:rsidR="00E33D57">
        <w:tc>
          <w:tcPr>
            <w:tcW w:w="1395" w:type="dxa"/>
            <w:vAlign w:val="center"/>
          </w:tcPr>
          <w:p w:rsidR="00E33D57" w:rsidRDefault="00487CB1">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E33D57" w:rsidRDefault="00487CB1">
            <w:pPr>
              <w:jc w:val="center"/>
            </w:pPr>
            <w:r>
              <w:rPr>
                <w:rFonts w:asciiTheme="minorEastAsia" w:eastAsiaTheme="minorEastAsia" w:hAnsiTheme="minorEastAsia"/>
                <w:color w:val="000000" w:themeColor="text1"/>
                <w:kern w:val="0"/>
              </w:rPr>
              <w:t>31.41%</w:t>
            </w:r>
          </w:p>
        </w:tc>
        <w:tc>
          <w:tcPr>
            <w:tcW w:w="1161" w:type="dxa"/>
            <w:vAlign w:val="center"/>
          </w:tcPr>
          <w:p w:rsidR="00E33D57" w:rsidRDefault="00487CB1">
            <w:pPr>
              <w:jc w:val="center"/>
            </w:pPr>
            <w:r>
              <w:rPr>
                <w:rFonts w:asciiTheme="minorEastAsia" w:eastAsiaTheme="minorEastAsia" w:hAnsiTheme="minorEastAsia"/>
                <w:color w:val="000000" w:themeColor="text1"/>
                <w:kern w:val="0"/>
              </w:rPr>
              <w:t>1.43%</w:t>
            </w:r>
          </w:p>
        </w:tc>
        <w:tc>
          <w:tcPr>
            <w:tcW w:w="1181" w:type="dxa"/>
            <w:vAlign w:val="center"/>
          </w:tcPr>
          <w:p w:rsidR="00E33D57" w:rsidRDefault="00487CB1">
            <w:pPr>
              <w:jc w:val="center"/>
            </w:pPr>
            <w:r>
              <w:rPr>
                <w:rFonts w:asciiTheme="minorEastAsia" w:eastAsiaTheme="minorEastAsia" w:hAnsiTheme="minorEastAsia"/>
                <w:color w:val="000000" w:themeColor="text1"/>
                <w:kern w:val="0"/>
              </w:rPr>
              <w:t>4.12%</w:t>
            </w:r>
          </w:p>
        </w:tc>
        <w:tc>
          <w:tcPr>
            <w:tcW w:w="1188" w:type="dxa"/>
            <w:vAlign w:val="center"/>
          </w:tcPr>
          <w:p w:rsidR="00E33D57" w:rsidRDefault="00487CB1">
            <w:pPr>
              <w:jc w:val="center"/>
            </w:pPr>
            <w:r>
              <w:rPr>
                <w:rFonts w:asciiTheme="minorEastAsia" w:eastAsiaTheme="minorEastAsia" w:hAnsiTheme="minorEastAsia"/>
                <w:color w:val="000000" w:themeColor="text1"/>
                <w:kern w:val="0"/>
              </w:rPr>
              <w:t>0.94%</w:t>
            </w:r>
          </w:p>
        </w:tc>
        <w:tc>
          <w:tcPr>
            <w:tcW w:w="1199" w:type="dxa"/>
            <w:vAlign w:val="center"/>
          </w:tcPr>
          <w:p w:rsidR="00E33D57" w:rsidRDefault="00487CB1">
            <w:pPr>
              <w:jc w:val="center"/>
            </w:pPr>
            <w:r>
              <w:rPr>
                <w:rFonts w:asciiTheme="minorEastAsia" w:eastAsiaTheme="minorEastAsia" w:hAnsiTheme="minorEastAsia"/>
                <w:color w:val="000000" w:themeColor="text1"/>
                <w:kern w:val="0"/>
              </w:rPr>
              <w:t>27.29%</w:t>
            </w:r>
          </w:p>
        </w:tc>
        <w:tc>
          <w:tcPr>
            <w:tcW w:w="1204" w:type="dxa"/>
            <w:vAlign w:val="center"/>
          </w:tcPr>
          <w:p w:rsidR="00E33D57" w:rsidRDefault="00487CB1">
            <w:pPr>
              <w:jc w:val="center"/>
            </w:pPr>
            <w:r>
              <w:rPr>
                <w:rFonts w:asciiTheme="minorEastAsia" w:eastAsiaTheme="minorEastAsia" w:hAnsiTheme="minorEastAsia"/>
                <w:color w:val="000000" w:themeColor="text1"/>
                <w:kern w:val="0"/>
              </w:rPr>
              <w:t>0.49%</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上投摩根香港精选港股通混合型证券投资基金</w:t>
      </w:r>
    </w:p>
    <w:p w:rsidR="00D06738" w:rsidRDefault="00454D20">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2018年6月8日</w:t>
      </w:r>
      <w:r>
        <w:rPr>
          <w:rFonts w:asciiTheme="minorEastAsia" w:eastAsiaTheme="minorEastAsia" w:hAnsiTheme="minorEastAsia" w:hint="eastAsia"/>
          <w:color w:val="000000" w:themeColor="text1"/>
        </w:rPr>
        <w:t>至2021年3月31日)</w:t>
      </w:r>
    </w:p>
    <w:p w:rsidR="00D06738" w:rsidRDefault="00454D20">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E33D57" w:rsidRDefault="00487CB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日，图示的时间段为合同生效日至本报告期末。</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本基金建仓期为本基金合同生效日起6个月，建仓期结束时资产配置比例符合本基金基金合同规定。</w:t>
      </w:r>
    </w:p>
    <w:p w:rsidR="00D06738"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E33D57">
        <w:tc>
          <w:tcPr>
            <w:tcW w:w="851" w:type="dxa"/>
            <w:vAlign w:val="center"/>
          </w:tcPr>
          <w:p w:rsidR="00E33D57" w:rsidRDefault="00487CB1">
            <w:pPr>
              <w:jc w:val="center"/>
            </w:pPr>
            <w:r>
              <w:rPr>
                <w:rFonts w:asciiTheme="minorEastAsia" w:eastAsiaTheme="minorEastAsia" w:hAnsiTheme="minorEastAsia"/>
                <w:color w:val="000000" w:themeColor="text1"/>
              </w:rPr>
              <w:t>张淑婉</w:t>
            </w:r>
          </w:p>
        </w:tc>
        <w:tc>
          <w:tcPr>
            <w:tcW w:w="850" w:type="dxa"/>
            <w:vAlign w:val="center"/>
          </w:tcPr>
          <w:p w:rsidR="00E33D57" w:rsidRDefault="00487CB1">
            <w:pPr>
              <w:jc w:val="center"/>
            </w:pPr>
            <w:r>
              <w:rPr>
                <w:rFonts w:asciiTheme="minorEastAsia" w:eastAsiaTheme="minorEastAsia" w:hAnsiTheme="minorEastAsia"/>
                <w:color w:val="000000" w:themeColor="text1"/>
              </w:rPr>
              <w:t>本基金基金经理</w:t>
            </w:r>
          </w:p>
        </w:tc>
        <w:tc>
          <w:tcPr>
            <w:tcW w:w="1560" w:type="dxa"/>
            <w:vAlign w:val="center"/>
          </w:tcPr>
          <w:p w:rsidR="00E33D57" w:rsidRDefault="00487CB1">
            <w:pPr>
              <w:jc w:val="center"/>
            </w:pPr>
            <w:r>
              <w:rPr>
                <w:rFonts w:asciiTheme="minorEastAsia" w:eastAsiaTheme="minorEastAsia" w:hAnsiTheme="minorEastAsia"/>
                <w:color w:val="000000" w:themeColor="text1"/>
              </w:rPr>
              <w:t>2018-06-08</w:t>
            </w:r>
          </w:p>
        </w:tc>
        <w:tc>
          <w:tcPr>
            <w:tcW w:w="1559" w:type="dxa"/>
            <w:vAlign w:val="center"/>
          </w:tcPr>
          <w:p w:rsidR="00E33D57" w:rsidRDefault="00487CB1">
            <w:pPr>
              <w:jc w:val="center"/>
            </w:pPr>
            <w:r>
              <w:rPr>
                <w:rFonts w:asciiTheme="minorEastAsia" w:eastAsiaTheme="minorEastAsia" w:hAnsiTheme="minorEastAsia"/>
                <w:color w:val="000000" w:themeColor="text1"/>
              </w:rPr>
              <w:t>-</w:t>
            </w:r>
          </w:p>
        </w:tc>
        <w:tc>
          <w:tcPr>
            <w:tcW w:w="1417" w:type="dxa"/>
            <w:vAlign w:val="center"/>
          </w:tcPr>
          <w:p w:rsidR="00E33D57" w:rsidRDefault="00487CB1">
            <w:pPr>
              <w:jc w:val="center"/>
            </w:pP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年</w:t>
            </w:r>
          </w:p>
        </w:tc>
        <w:tc>
          <w:tcPr>
            <w:tcW w:w="2694" w:type="dxa"/>
            <w:vAlign w:val="center"/>
          </w:tcPr>
          <w:p w:rsidR="00E33D57" w:rsidRDefault="00487CB1">
            <w:r>
              <w:rPr>
                <w:rFonts w:asciiTheme="minorEastAsia" w:eastAsiaTheme="minorEastAsia" w:hAnsiTheme="minorEastAsia"/>
                <w:color w:val="000000" w:themeColor="text1"/>
              </w:rPr>
              <w:t>张淑婉女士，台湾大学财务金融研究所</w:t>
            </w:r>
            <w:r>
              <w:rPr>
                <w:rFonts w:asciiTheme="minorEastAsia" w:eastAsiaTheme="minorEastAsia" w:hAnsiTheme="minorEastAsia"/>
                <w:color w:val="000000" w:themeColor="text1"/>
              </w:rPr>
              <w:t>MBA</w:t>
            </w:r>
            <w:r>
              <w:rPr>
                <w:rFonts w:asciiTheme="minorEastAsia" w:eastAsiaTheme="minorEastAsia" w:hAnsiTheme="minorEastAsia"/>
                <w:color w:val="000000" w:themeColor="text1"/>
              </w:rPr>
              <w:t>，自</w:t>
            </w:r>
            <w:r>
              <w:rPr>
                <w:rFonts w:asciiTheme="minorEastAsia" w:eastAsiaTheme="minorEastAsia" w:hAnsiTheme="minorEastAsia"/>
                <w:color w:val="000000" w:themeColor="text1"/>
              </w:rPr>
              <w:t>1987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1989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月，在东盟成衣股份有限公司担任研究部专员；自</w:t>
            </w:r>
            <w:r>
              <w:rPr>
                <w:rFonts w:asciiTheme="minorEastAsia" w:eastAsiaTheme="minorEastAsia" w:hAnsiTheme="minorEastAsia"/>
                <w:color w:val="000000" w:themeColor="text1"/>
              </w:rPr>
              <w:t>1989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1991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月，在富隆证券股份有限公司担任投行部专员；自</w:t>
            </w:r>
            <w:r>
              <w:rPr>
                <w:rFonts w:asciiTheme="minorEastAsia" w:eastAsiaTheme="minorEastAsia" w:hAnsiTheme="minorEastAsia"/>
                <w:color w:val="000000" w:themeColor="text1"/>
              </w:rPr>
              <w:t>1993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1998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月，在光华证券投资信托股份有限公司担任研究部副理；自</w:t>
            </w:r>
            <w:r>
              <w:rPr>
                <w:rFonts w:asciiTheme="minorEastAsia" w:eastAsiaTheme="minorEastAsia" w:hAnsiTheme="minorEastAsia"/>
                <w:color w:val="000000" w:themeColor="text1"/>
              </w:rPr>
              <w:t>1998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月，在摩根富林明证券信托股份</w:t>
            </w:r>
            <w:r>
              <w:rPr>
                <w:rFonts w:asciiTheme="minorEastAsia" w:eastAsiaTheme="minorEastAsia" w:hAnsiTheme="minorEastAsia"/>
                <w:color w:val="000000" w:themeColor="text1"/>
              </w:rPr>
              <w:lastRenderedPageBreak/>
              <w:t>有限公司担任副总经理；自</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月，在德意志亚洲资产管理公司担任副总经理；自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月，在嘉实国际资产管理公司担任副总经理；自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月，在上投摩根资产管理（香港）有限公司担任投资总监。自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月起加入上投摩根基金管理有限公司，自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月起同时担任上投摩根亚太优势混合型证券投资基金基金经理及上投摩根全球新兴市场混合型证券投资基金基金经理，自</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月起同时担任上投摩根标普港股通低波红利指数型证券投资基金基金经理，自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月起同时担任上投摩根香港精选港股通混合型证券投资基金基金经理。</w:t>
            </w:r>
          </w:p>
        </w:tc>
      </w:tr>
    </w:tbl>
    <w:p w:rsidR="00E33D57" w:rsidRDefault="00487CB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E33D57" w:rsidRDefault="00487CB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张淑婉女士为本基金首任基金经理，其任职日期指本基金基金合同生效之日。</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香港精选港股通混合型证券投资基金基金合同》的规定。基金经理对个股和投资组合的比例遵循了投资决策委员会的授权限制，基金投资比例符合基金合同和法律法规的要求。</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w:t>
      </w:r>
      <w:r>
        <w:rPr>
          <w:rFonts w:asciiTheme="minorEastAsia" w:eastAsiaTheme="minorEastAsia" w:hAnsiTheme="minorEastAsia"/>
          <w:color w:val="000000" w:themeColor="text1"/>
        </w:rPr>
        <w:t>上市股票、债券的一级市场</w:t>
      </w:r>
      <w:r>
        <w:rPr>
          <w:rFonts w:asciiTheme="minorEastAsia" w:eastAsiaTheme="minorEastAsia" w:hAnsiTheme="minorEastAsia"/>
          <w:color w:val="000000" w:themeColor="text1"/>
        </w:rPr>
        <w:lastRenderedPageBreak/>
        <w:t>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w:t>
      </w:r>
      <w:r>
        <w:rPr>
          <w:rFonts w:asciiTheme="minorEastAsia" w:eastAsiaTheme="minorEastAsia" w:hAnsiTheme="minorEastAsia"/>
          <w:color w:val="000000" w:themeColor="text1"/>
        </w:rPr>
        <w:t>事前独立申报的价格和数量对交易结果进行公平分配。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月以来，美国在拜登就任、市场预期民主党将有加大投资新能源的政策之下，所有绿能相关的板块都大涨；</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股由于新基金热卖，市场资金充沛，推动大盘各龙头上涨，茅指数表现亮眼，科技板块也在半导体的带领之下上涨。但农历年后美股出现连续较大的回撤，主要原因是美国</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年期国债收益率的上升，加上美元转强，全球转趋保守，价值股表现优于成长股，尤其是金融板块，由银行股领头上涨，而成长板块股价大幅回撤。</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月下旬更有对冲基金爆仓，券商卖出质押个股引发相关公司股价回调，也对市场信心造成冲击，而</w:t>
      </w:r>
      <w:r>
        <w:rPr>
          <w:rFonts w:asciiTheme="minorEastAsia" w:eastAsiaTheme="minorEastAsia" w:hAnsiTheme="minorEastAsia"/>
          <w:color w:val="000000" w:themeColor="text1"/>
        </w:rPr>
        <w:t>各国疫情的反复及疫苗的接种进度也对个别国家带来影响。</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本基金在一季度的业绩表现落后基准，主要因为我们低配香港的本地股，而超配在内地的新经济板块虽在农历新年前表现较佳，但在农历年后出现板块轮动，使得基金的业绩表现不如预期。</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从</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年盈利的预期调整，我们梳理了反弹的三条主线，分别是超跌的核心资产，预期一季报业绩将大放异彩的碳中和，以及持续改善的制造业。港股二季度有望创新高，但中</w:t>
      </w:r>
      <w:r>
        <w:rPr>
          <w:rFonts w:asciiTheme="minorEastAsia" w:eastAsiaTheme="minorEastAsia" w:hAnsiTheme="minorEastAsia"/>
          <w:color w:val="000000" w:themeColor="text1"/>
        </w:rPr>
        <w:lastRenderedPageBreak/>
        <w:t>间波动会加大，部分核心资产上行到前期高点附近会带来投资者对其价值的再评估。然而，恒生指数中的价值部分将有望徐徐上行。此外，由于国内的</w:t>
      </w:r>
      <w:r>
        <w:rPr>
          <w:rFonts w:asciiTheme="minorEastAsia" w:eastAsiaTheme="minorEastAsia" w:hAnsiTheme="minorEastAsia"/>
          <w:color w:val="000000" w:themeColor="text1"/>
        </w:rPr>
        <w:t>PPI</w:t>
      </w:r>
      <w:r>
        <w:rPr>
          <w:rFonts w:asciiTheme="minorEastAsia" w:eastAsiaTheme="minorEastAsia" w:hAnsiTheme="minorEastAsia"/>
          <w:color w:val="000000" w:themeColor="text1"/>
        </w:rPr>
        <w:t>正在快速的上行，</w:t>
      </w:r>
      <w:r>
        <w:rPr>
          <w:rFonts w:asciiTheme="minorEastAsia" w:eastAsiaTheme="minorEastAsia" w:hAnsiTheme="minorEastAsia"/>
          <w:color w:val="000000" w:themeColor="text1"/>
        </w:rPr>
        <w:t>CPI</w:t>
      </w:r>
      <w:r>
        <w:rPr>
          <w:rFonts w:asciiTheme="minorEastAsia" w:eastAsiaTheme="minorEastAsia" w:hAnsiTheme="minorEastAsia"/>
          <w:color w:val="000000" w:themeColor="text1"/>
        </w:rPr>
        <w:t>也随之上行，这几乎利好所有的行业。</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未来，成长股的高估值因为急跌得到释放，我们也利用这个下杀的机会调整持仓，优化投资组合，我们还是相对看好未来新经济板块，尤其在绿能板块，也布局部分新经济动能的修复板块，我们还是看好整个半导体及互联网的板块，另外我们也加入一些顺周期的板块。</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本报告期上投摩根香港精选港股通混合份额净值增长率为:-7.89%，同期业绩比较基准收益率为:3.23%。</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96,221,415.38</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80.96</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96,221,415.38</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80.96</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lastRenderedPageBreak/>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22,352,419.72</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18.81</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273,678.02</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0.23</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118,847,513.12</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9,898,880.00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8.57</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9,898,880.00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8.57</w:t>
            </w:r>
          </w:p>
        </w:tc>
      </w:tr>
    </w:tbl>
    <w:p w:rsidR="00D06738" w:rsidRDefault="00454D20">
      <w:pPr>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 5.2.2报告期末按行业分类的港股通投资股票投资组合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trPr>
          <w:jc w:val="center"/>
        </w:trPr>
        <w:tc>
          <w:tcPr>
            <w:tcW w:w="239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行业类别</w:t>
            </w:r>
          </w:p>
        </w:tc>
        <w:tc>
          <w:tcPr>
            <w:tcW w:w="3119"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公允价值（人民币）</w:t>
            </w:r>
          </w:p>
        </w:tc>
        <w:tc>
          <w:tcPr>
            <w:tcW w:w="3118"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A </w:t>
            </w:r>
            <w:r>
              <w:rPr>
                <w:rFonts w:asciiTheme="minorEastAsia" w:eastAsiaTheme="minorEastAsia" w:hAnsiTheme="minorEastAsia" w:cs="宋体"/>
                <w:color w:val="000000" w:themeColor="text1"/>
                <w:kern w:val="0"/>
              </w:rPr>
              <w:t>基础材料</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10,529,886.32</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9.12</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B </w:t>
            </w:r>
            <w:r>
              <w:rPr>
                <w:rFonts w:asciiTheme="minorEastAsia" w:eastAsiaTheme="minorEastAsia" w:hAnsiTheme="minorEastAsia" w:cs="宋体"/>
                <w:color w:val="000000" w:themeColor="text1"/>
                <w:kern w:val="0"/>
              </w:rPr>
              <w:t>消费者非必需品</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16,032,963.18</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13.89</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lastRenderedPageBreak/>
              <w:t xml:space="preserve">C </w:t>
            </w:r>
            <w:r>
              <w:rPr>
                <w:rFonts w:asciiTheme="minorEastAsia" w:eastAsiaTheme="minorEastAsia" w:hAnsiTheme="minorEastAsia" w:cs="宋体"/>
                <w:color w:val="000000" w:themeColor="text1"/>
                <w:kern w:val="0"/>
              </w:rPr>
              <w:t>消费者常用品</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7,607,887.77</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6.59</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D </w:t>
            </w:r>
            <w:r>
              <w:rPr>
                <w:rFonts w:asciiTheme="minorEastAsia" w:eastAsiaTheme="minorEastAsia" w:hAnsiTheme="minorEastAsia" w:cs="宋体"/>
                <w:color w:val="000000" w:themeColor="text1"/>
                <w:kern w:val="0"/>
              </w:rPr>
              <w:t>能源</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E </w:t>
            </w:r>
            <w:r>
              <w:rPr>
                <w:rFonts w:asciiTheme="minorEastAsia" w:eastAsiaTheme="minorEastAsia" w:hAnsiTheme="minorEastAsia" w:cs="宋体"/>
                <w:color w:val="000000" w:themeColor="text1"/>
                <w:kern w:val="0"/>
              </w:rPr>
              <w:t>金融</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3,837,489.08</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3.32</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F </w:t>
            </w:r>
            <w:r>
              <w:rPr>
                <w:rFonts w:asciiTheme="minorEastAsia" w:eastAsiaTheme="minorEastAsia" w:hAnsiTheme="minorEastAsia" w:cs="宋体"/>
                <w:color w:val="000000" w:themeColor="text1"/>
                <w:kern w:val="0"/>
              </w:rPr>
              <w:t>医疗保健</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17,081,459.69</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14.80</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G </w:t>
            </w:r>
            <w:r>
              <w:rPr>
                <w:rFonts w:asciiTheme="minorEastAsia" w:eastAsiaTheme="minorEastAsia" w:hAnsiTheme="minorEastAsia" w:cs="宋体"/>
                <w:color w:val="000000" w:themeColor="text1"/>
                <w:kern w:val="0"/>
              </w:rPr>
              <w:t>工业</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6,052,426.95</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5.24</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H </w:t>
            </w:r>
            <w:r>
              <w:rPr>
                <w:rFonts w:asciiTheme="minorEastAsia" w:eastAsiaTheme="minorEastAsia" w:hAnsiTheme="minorEastAsia" w:cs="宋体"/>
                <w:color w:val="000000" w:themeColor="text1"/>
                <w:kern w:val="0"/>
              </w:rPr>
              <w:t>信息技术</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9,605,293.21</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8.32</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I </w:t>
            </w:r>
            <w:r>
              <w:rPr>
                <w:rFonts w:asciiTheme="minorEastAsia" w:eastAsiaTheme="minorEastAsia" w:hAnsiTheme="minorEastAsia" w:cs="宋体"/>
                <w:color w:val="000000" w:themeColor="text1"/>
                <w:kern w:val="0"/>
              </w:rPr>
              <w:t>电信服务</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15,575,129.18</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13.49</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J </w:t>
            </w:r>
            <w:r>
              <w:rPr>
                <w:rFonts w:asciiTheme="minorEastAsia" w:eastAsiaTheme="minorEastAsia" w:hAnsiTheme="minorEastAsia" w:cs="宋体"/>
                <w:color w:val="000000" w:themeColor="text1"/>
                <w:kern w:val="0"/>
              </w:rPr>
              <w:t>公用事业</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w:t>
            </w:r>
          </w:p>
        </w:tc>
      </w:tr>
      <w:tr w:rsidR="00E33D57">
        <w:trPr>
          <w:jc w:val="center"/>
        </w:trPr>
        <w:tc>
          <w:tcPr>
            <w:tcW w:w="2397" w:type="dxa"/>
            <w:vAlign w:val="center"/>
          </w:tcPr>
          <w:p w:rsidR="00E33D57" w:rsidRDefault="00487CB1">
            <w:pPr>
              <w:jc w:val="center"/>
            </w:pPr>
            <w:r>
              <w:rPr>
                <w:rFonts w:asciiTheme="minorEastAsia" w:eastAsiaTheme="minorEastAsia" w:hAnsiTheme="minorEastAsia" w:cs="宋体"/>
                <w:color w:val="000000" w:themeColor="text1"/>
                <w:kern w:val="0"/>
              </w:rPr>
              <w:t xml:space="preserve">K </w:t>
            </w:r>
            <w:r>
              <w:rPr>
                <w:rFonts w:asciiTheme="minorEastAsia" w:eastAsiaTheme="minorEastAsia" w:hAnsiTheme="minorEastAsia" w:cs="宋体"/>
                <w:color w:val="000000" w:themeColor="text1"/>
                <w:kern w:val="0"/>
              </w:rPr>
              <w:t>房地产</w:t>
            </w:r>
          </w:p>
        </w:tc>
        <w:tc>
          <w:tcPr>
            <w:tcW w:w="3119" w:type="dxa"/>
            <w:vAlign w:val="center"/>
          </w:tcPr>
          <w:p w:rsidR="00E33D57" w:rsidRDefault="00487CB1">
            <w:pPr>
              <w:jc w:val="center"/>
            </w:pPr>
            <w:r>
              <w:rPr>
                <w:rFonts w:asciiTheme="minorEastAsia" w:eastAsiaTheme="minorEastAsia" w:hAnsiTheme="minorEastAsia" w:cs="宋体"/>
                <w:color w:val="000000" w:themeColor="text1"/>
                <w:kern w:val="0"/>
              </w:rPr>
              <w:t>-</w:t>
            </w:r>
          </w:p>
        </w:tc>
        <w:tc>
          <w:tcPr>
            <w:tcW w:w="3118" w:type="dxa"/>
            <w:vAlign w:val="center"/>
          </w:tcPr>
          <w:p w:rsidR="00E33D57" w:rsidRDefault="00487CB1">
            <w:pPr>
              <w:jc w:val="center"/>
            </w:pPr>
            <w:r>
              <w:rPr>
                <w:rFonts w:asciiTheme="minorEastAsia" w:eastAsiaTheme="minorEastAsia" w:hAnsiTheme="minorEastAsia" w:cs="宋体"/>
                <w:color w:val="000000" w:themeColor="text1"/>
                <w:kern w:val="0"/>
              </w:rPr>
              <w:t>-</w:t>
            </w:r>
          </w:p>
        </w:tc>
      </w:tr>
      <w:tr w:rsidR="00D06738">
        <w:trPr>
          <w:jc w:val="center"/>
        </w:trPr>
        <w:tc>
          <w:tcPr>
            <w:tcW w:w="239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3119" w:type="dxa"/>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86,322,535.38</w:t>
            </w:r>
          </w:p>
        </w:tc>
        <w:tc>
          <w:tcPr>
            <w:tcW w:w="3118" w:type="dxa"/>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74.77</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1</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00700</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腾讯控股</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16,900.00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8,712,960.62</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7.55</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2</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03690</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美团－Ｗ</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26,000.00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6,552,849.58</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5.68</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3</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02269</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药明生物</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66,000.00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5,430,366.02</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4.70</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4</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02020</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安踏体育</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33,000.00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3,536,571.19</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3.06</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5</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01801</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信达生物</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53,000.00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3,532,049.48</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3.06</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6</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00291</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华润啤酒</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66,000.00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3,399,905.59</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2.94</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7</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600519</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贵州茅台</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1,600.00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3,214,400.00</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2.78</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8</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01810</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小米集团－Ｗ</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146,600.00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3,190,512.24</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2.76</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9</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01093</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石药集团</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396,000.00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3,146,098.03</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2.73</w:t>
            </w:r>
          </w:p>
        </w:tc>
      </w:tr>
      <w:tr w:rsidR="00E33D57">
        <w:tc>
          <w:tcPr>
            <w:tcW w:w="817" w:type="dxa"/>
            <w:vAlign w:val="center"/>
          </w:tcPr>
          <w:p w:rsidR="00E33D57" w:rsidRDefault="00487CB1">
            <w:pPr>
              <w:jc w:val="center"/>
            </w:pPr>
            <w:r>
              <w:rPr>
                <w:rFonts w:asciiTheme="minorEastAsia" w:eastAsiaTheme="minorEastAsia" w:hAnsiTheme="minorEastAsia" w:cs="宋体"/>
                <w:color w:val="000000" w:themeColor="text1"/>
                <w:kern w:val="0"/>
              </w:rPr>
              <w:t>10</w:t>
            </w:r>
          </w:p>
        </w:tc>
        <w:tc>
          <w:tcPr>
            <w:tcW w:w="1276" w:type="dxa"/>
            <w:vAlign w:val="center"/>
          </w:tcPr>
          <w:p w:rsidR="00E33D57" w:rsidRDefault="00487CB1">
            <w:pPr>
              <w:jc w:val="center"/>
            </w:pPr>
            <w:r>
              <w:rPr>
                <w:rFonts w:asciiTheme="minorEastAsia" w:eastAsiaTheme="minorEastAsia" w:hAnsiTheme="minorEastAsia" w:cs="宋体"/>
                <w:color w:val="000000" w:themeColor="text1"/>
                <w:kern w:val="0"/>
              </w:rPr>
              <w:t>06865</w:t>
            </w:r>
          </w:p>
        </w:tc>
        <w:tc>
          <w:tcPr>
            <w:tcW w:w="1701" w:type="dxa"/>
            <w:vAlign w:val="center"/>
          </w:tcPr>
          <w:p w:rsidR="00E33D57" w:rsidRDefault="00487CB1">
            <w:pPr>
              <w:jc w:val="center"/>
            </w:pPr>
            <w:r>
              <w:rPr>
                <w:rFonts w:asciiTheme="minorEastAsia" w:eastAsiaTheme="minorEastAsia" w:hAnsiTheme="minorEastAsia" w:cs="宋体"/>
                <w:color w:val="000000" w:themeColor="text1"/>
                <w:kern w:val="0"/>
              </w:rPr>
              <w:t>福莱特玻璃</w:t>
            </w:r>
          </w:p>
        </w:tc>
        <w:tc>
          <w:tcPr>
            <w:tcW w:w="1276" w:type="dxa"/>
            <w:vAlign w:val="center"/>
          </w:tcPr>
          <w:p w:rsidR="00E33D57" w:rsidRDefault="00487CB1">
            <w:pPr>
              <w:jc w:val="right"/>
            </w:pPr>
            <w:r>
              <w:rPr>
                <w:rFonts w:asciiTheme="minorEastAsia" w:eastAsiaTheme="minorEastAsia" w:hAnsiTheme="minorEastAsia" w:cs="宋体"/>
                <w:color w:val="000000" w:themeColor="text1"/>
                <w:kern w:val="0"/>
              </w:rPr>
              <w:t>156,000.00</w:t>
            </w:r>
          </w:p>
        </w:tc>
        <w:tc>
          <w:tcPr>
            <w:tcW w:w="1842" w:type="dxa"/>
            <w:vAlign w:val="center"/>
          </w:tcPr>
          <w:p w:rsidR="00E33D57" w:rsidRDefault="00487CB1">
            <w:pPr>
              <w:jc w:val="right"/>
            </w:pPr>
            <w:r>
              <w:rPr>
                <w:rFonts w:asciiTheme="minorEastAsia" w:eastAsiaTheme="minorEastAsia" w:hAnsiTheme="minorEastAsia" w:cs="宋体"/>
                <w:color w:val="000000" w:themeColor="text1"/>
                <w:kern w:val="0"/>
              </w:rPr>
              <w:t>3,105,022.28</w:t>
            </w:r>
          </w:p>
        </w:tc>
        <w:tc>
          <w:tcPr>
            <w:tcW w:w="1616" w:type="dxa"/>
            <w:vAlign w:val="center"/>
          </w:tcPr>
          <w:p w:rsidR="00E33D57" w:rsidRDefault="00487CB1">
            <w:pPr>
              <w:jc w:val="right"/>
            </w:pPr>
            <w:r>
              <w:rPr>
                <w:rFonts w:asciiTheme="minorEastAsia" w:eastAsiaTheme="minorEastAsia" w:hAnsiTheme="minorEastAsia" w:cs="宋体"/>
                <w:color w:val="000000" w:themeColor="text1"/>
                <w:kern w:val="0"/>
              </w:rPr>
              <w:t>2.69</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lastRenderedPageBreak/>
        <w:t>5.7 报告期末按公允价值占基金资产净值比例大小排序的前五名贵金属投资明细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10,782.78</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128,450.73</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3,346.81</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131,097.70</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273,678.02</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lastRenderedPageBreak/>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39,248,659.16</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78,221,570.09</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29,615,160.15</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87,855,069.10</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中国证监会准予上投摩根香港精选港股通混合型证券投资基金募集注册的文件</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《上投摩根香港精选港股通混合型证券投资基金基金合同》</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《上投摩根香港精选港股通混合型证券投资基金托管协议》</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法律意见书</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5.</w:t>
      </w:r>
      <w:r>
        <w:rPr>
          <w:rFonts w:asciiTheme="minorEastAsia" w:eastAsiaTheme="minorEastAsia" w:hAnsiTheme="minorEastAsia" w:hint="eastAsia"/>
          <w:color w:val="000000" w:themeColor="text1"/>
        </w:rPr>
        <w:t>基金管理人业务资格批件、营业执照</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基金托管人业务资格批件、营业执照</w:t>
      </w:r>
    </w:p>
    <w:p w:rsidR="00E33D57" w:rsidRDefault="00487CB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《上投摩根基金管理有限公司开放式基金业务规则》</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8.中国证监会要求的其他文件</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二〇二一年四月二十二日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487CB1" w:rsidRPr="00487CB1">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487CB1">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上投摩根香港精选港股通混合型证券投资基金</w:t>
    </w:r>
    <w:r>
      <w:rPr>
        <w:rFonts w:hint="eastAsia"/>
      </w:rPr>
      <w:t>2021</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87CB1"/>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33D5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0377D-A318-4AB6-9389-8ABE2189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267</cp:revision>
  <dcterms:created xsi:type="dcterms:W3CDTF">2012-10-16T06:07:00Z</dcterms:created>
  <dcterms:modified xsi:type="dcterms:W3CDTF">2021-04-21T02:56:00Z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