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上投摩根香港精选港股通混合型证券投资基金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年半年度报告</w:t>
      </w:r>
      <w:r w:rsidR="00471586">
        <w:rPr>
          <w:rFonts w:eastAsiaTheme="minorEastAsia" w:hint="eastAsia"/>
          <w:b/>
          <w:sz w:val="36"/>
          <w:szCs w:val="36"/>
        </w:rPr>
        <w:t>摘要</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基金托管人：中国工商银行股份有限公司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报告送出日期：二〇一九年八月二十四日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374540537"/>
      <w:bookmarkStart w:id="1" w:name="_Toc225498243"/>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w:t>
      </w:r>
      <w:bookmarkEnd w:id="0"/>
      <w:bookmarkEnd w:id="1"/>
    </w:p>
    <w:p w:rsidR="006B65E1" w:rsidRPr="00C56F63" w:rsidRDefault="00945F2E">
      <w:pPr>
        <w:pStyle w:val="2"/>
        <w:spacing w:before="0" w:after="0"/>
        <w:rPr>
          <w:rFonts w:ascii="Times New Roman" w:eastAsiaTheme="minorEastAsia" w:hAnsi="Times New Roman"/>
          <w:kern w:val="0"/>
          <w:sz w:val="21"/>
          <w:szCs w:val="21"/>
        </w:rPr>
      </w:pPr>
      <w:bookmarkStart w:id="2" w:name="_Toc374540538"/>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2"/>
    </w:p>
    <w:p w:rsidR="005B2D52" w:rsidRDefault="00DF7773">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5B2D52" w:rsidRDefault="00DF7773">
      <w:pPr>
        <w:spacing w:line="360" w:lineRule="auto"/>
        <w:ind w:firstLineChars="200" w:firstLine="420"/>
        <w:rPr>
          <w:rFonts w:eastAsiaTheme="minorEastAsia"/>
          <w:szCs w:val="21"/>
        </w:rPr>
      </w:pPr>
      <w:r>
        <w:rPr>
          <w:rFonts w:eastAsiaTheme="minorEastAsia"/>
          <w:color w:val="000000"/>
          <w:szCs w:val="21"/>
        </w:rPr>
        <w:t>基金托管人中国工商银行股份有限公司根据本基金合同规定，于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5B2D52" w:rsidRDefault="00DF7773">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471586" w:rsidRPr="00471586" w:rsidRDefault="00471586" w:rsidP="00471586">
      <w:pPr>
        <w:spacing w:line="360" w:lineRule="auto"/>
        <w:ind w:firstLineChars="200" w:firstLine="420"/>
        <w:rPr>
          <w:rFonts w:eastAsiaTheme="minorEastAsia"/>
          <w:szCs w:val="21"/>
        </w:rPr>
      </w:pPr>
      <w:r w:rsidRPr="00483AC1">
        <w:rPr>
          <w:rFonts w:eastAsiaTheme="minorEastAsia" w:hint="eastAsia"/>
          <w:color w:val="000000"/>
          <w:szCs w:val="21"/>
        </w:rPr>
        <w:t>本半年度报告摘要摘自半年度报告正文，投资者欲了解详细内容，应阅读半年度报告正文。</w:t>
      </w:r>
    </w:p>
    <w:p w:rsidR="005B2D52" w:rsidRDefault="00DF7773">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rsidP="00136B9D">
      <w:pPr>
        <w:spacing w:line="288" w:lineRule="auto"/>
        <w:rPr>
          <w:rFonts w:eastAsiaTheme="minorEastAsia"/>
          <w:b/>
          <w:color w:val="000000"/>
          <w:kern w:val="0"/>
          <w:szCs w:val="21"/>
        </w:rPr>
      </w:pPr>
      <w:r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3" w:name="_Toc374540539"/>
      <w:bookmarkStart w:id="4" w:name="_Toc225498244"/>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3"/>
      <w:bookmarkEnd w:id="4"/>
    </w:p>
    <w:p w:rsidR="006B65E1" w:rsidRPr="00C56F63" w:rsidRDefault="00945F2E">
      <w:pPr>
        <w:pStyle w:val="2"/>
        <w:spacing w:before="0" w:after="0"/>
        <w:rPr>
          <w:rFonts w:ascii="Times New Roman" w:eastAsiaTheme="minorEastAsia" w:hAnsi="Times New Roman"/>
          <w:color w:val="000000"/>
          <w:sz w:val="21"/>
          <w:szCs w:val="21"/>
        </w:rPr>
      </w:pPr>
      <w:bookmarkStart w:id="5" w:name="_Toc390421229"/>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5"/>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上投摩根香港精选港股通混合</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005701</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005701</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2018</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8</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中国工商银行股份有限公司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119,237,089.66</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6" w:name="_Toc390421230"/>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本基金采用定量及定性研究方法，自下而上优选在港股通范围内的上市公司，通过严格风险控制，力争实现基金资产的长期增值。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6B65E1" w:rsidRPr="00C56F63" w:rsidRDefault="00945F2E">
            <w:pPr>
              <w:rPr>
                <w:rFonts w:eastAsiaTheme="minorEastAsia"/>
                <w:szCs w:val="21"/>
              </w:rPr>
            </w:pPr>
            <w:r w:rsidRPr="00C56F63">
              <w:rPr>
                <w:rFonts w:eastAsiaTheme="minorEastAsia"/>
                <w:szCs w:val="21"/>
              </w:rPr>
              <w:t>资产配置层面，本基金将综合分析和持续跟踪基本面、政策面、市场面等多方面因素，对宏观经济、国家政策、资金面和市场情绪等影响证券市场的重要因素进行深入分析，重点关注包括</w:t>
            </w:r>
            <w:r w:rsidRPr="00C56F63">
              <w:rPr>
                <w:rFonts w:eastAsiaTheme="minorEastAsia"/>
                <w:szCs w:val="21"/>
              </w:rPr>
              <w:t xml:space="preserve"> GDP </w:t>
            </w:r>
            <w:r w:rsidRPr="00C56F63">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个股选择层面，本基金在分析宏观经济形势和行业发展基础上，精选港股市场中的优质上市企业，有针对性地根据不同指标选取具有成长性和投资价值的上市公司构建股票池。在具体操作上，基金将采用自下而上的个股精选策略，综合运用定量分析与定性分析的手段，对公司基本面进行价值挖掘。</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中证港股通综合指数收益率</w:t>
            </w:r>
            <w:r w:rsidRPr="00C56F63">
              <w:rPr>
                <w:rFonts w:eastAsiaTheme="minorEastAsia"/>
                <w:szCs w:val="21"/>
              </w:rPr>
              <w:t>×70%+</w:t>
            </w:r>
            <w:r w:rsidRPr="00C56F63">
              <w:rPr>
                <w:rFonts w:eastAsiaTheme="minorEastAsia"/>
                <w:szCs w:val="21"/>
              </w:rPr>
              <w:t>中债总指数收益率</w:t>
            </w:r>
            <w:r w:rsidRPr="00C56F63">
              <w:rPr>
                <w:rFonts w:eastAsiaTheme="minorEastAsia"/>
                <w:szCs w:val="21"/>
              </w:rPr>
              <w:t>×30%</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属于混合型基金产品，预期风险和收益水平高于债券型基金和货币市场基金，低于股票型基金，属于较高风险收益水平的基金产品。本基金将投资港股通标的股票，需承担汇率风险以及境外市场的风险。本基金风险收益特征会定期评估并在公司网站发布，请投资者关注。</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7" w:name="_Toc225498247"/>
      <w:bookmarkStart w:id="8" w:name="_Toc390421231"/>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7"/>
      <w:bookmarkEnd w:id="8"/>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中国工商银行股份有限公司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胡迪</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郭明</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010-66105799</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custody@icbc.com.cn</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95588</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 w:name="_Toc390421232"/>
      <w:bookmarkStart w:id="10" w:name="_Toc225498248"/>
      <w:r w:rsidRPr="00C56F63">
        <w:rPr>
          <w:rFonts w:ascii="Times New Roman" w:eastAsiaTheme="minorEastAsia" w:hAnsi="Times New Roman"/>
          <w:kern w:val="0"/>
          <w:sz w:val="21"/>
          <w:szCs w:val="21"/>
        </w:rPr>
        <w:lastRenderedPageBreak/>
        <w:t xml:space="preserve">2.4 </w:t>
      </w:r>
      <w:r w:rsidRPr="00C56F63">
        <w:rPr>
          <w:rFonts w:ascii="Times New Roman" w:eastAsiaTheme="minorEastAsia" w:hAnsi="Times New Roman"/>
          <w:kern w:val="0"/>
          <w:sz w:val="21"/>
          <w:szCs w:val="21"/>
        </w:rPr>
        <w:t>信息披露方式</w:t>
      </w:r>
      <w:bookmarkEnd w:id="9"/>
      <w:bookmarkEnd w:id="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登载基金半年度报告正文的管理人互联网网址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基金半年度报告备置地点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基金管理人、基金托管人的办公场所</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 w:name="_Toc225498250"/>
      <w:bookmarkStart w:id="12" w:name="_Toc374540545"/>
      <w:bookmarkStart w:id="13" w:name="_Toc194312019"/>
      <w:bookmarkStart w:id="14"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1"/>
      <w:bookmarkEnd w:id="12"/>
    </w:p>
    <w:p w:rsidR="006B65E1" w:rsidRPr="00C56F63" w:rsidRDefault="00945F2E">
      <w:pPr>
        <w:pStyle w:val="2"/>
        <w:spacing w:before="0" w:after="0"/>
        <w:rPr>
          <w:rFonts w:ascii="Times New Roman" w:eastAsiaTheme="minorEastAsia" w:hAnsi="Times New Roman"/>
          <w:kern w:val="0"/>
          <w:sz w:val="21"/>
          <w:szCs w:val="21"/>
        </w:rPr>
      </w:pPr>
      <w:bookmarkStart w:id="15" w:name="_Toc286996129"/>
      <w:bookmarkStart w:id="16" w:name="_Toc390421235"/>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15"/>
      <w:bookmarkEnd w:id="16"/>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2019</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1,779,432.00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17,500,119.99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0.1267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12.07%</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-0.0665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117,440,108.29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0.9849</w:t>
            </w:r>
          </w:p>
        </w:tc>
      </w:tr>
    </w:tbl>
    <w:bookmarkEnd w:id="13"/>
    <w:bookmarkEnd w:id="14"/>
    <w:p w:rsidR="005B2D52" w:rsidRDefault="00DF777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17" w:name="_Toc390421236"/>
      <w:bookmarkStart w:id="18" w:name="_Toc225498252"/>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17"/>
      <w:bookmarkEnd w:id="1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5B2D52">
        <w:tc>
          <w:tcPr>
            <w:tcW w:w="1620" w:type="dxa"/>
            <w:vAlign w:val="center"/>
          </w:tcPr>
          <w:p w:rsidR="005B2D52" w:rsidRDefault="00DF7773">
            <w:pPr>
              <w:jc w:val="left"/>
            </w:pPr>
            <w:r>
              <w:rPr>
                <w:rFonts w:eastAsiaTheme="minorEastAsia"/>
                <w:color w:val="000000"/>
                <w:szCs w:val="21"/>
              </w:rPr>
              <w:t>过去一个月</w:t>
            </w:r>
          </w:p>
        </w:tc>
        <w:tc>
          <w:tcPr>
            <w:tcW w:w="1350" w:type="dxa"/>
            <w:vAlign w:val="center"/>
          </w:tcPr>
          <w:p w:rsidR="005B2D52" w:rsidRDefault="00DF7773">
            <w:pPr>
              <w:jc w:val="center"/>
            </w:pPr>
            <w:r>
              <w:rPr>
                <w:rFonts w:eastAsiaTheme="minorEastAsia"/>
                <w:color w:val="000000"/>
                <w:szCs w:val="21"/>
              </w:rPr>
              <w:t>6.43%</w:t>
            </w:r>
          </w:p>
        </w:tc>
        <w:tc>
          <w:tcPr>
            <w:tcW w:w="1350" w:type="dxa"/>
            <w:vAlign w:val="center"/>
          </w:tcPr>
          <w:p w:rsidR="005B2D52" w:rsidRDefault="00DF7773">
            <w:pPr>
              <w:jc w:val="center"/>
            </w:pPr>
            <w:r>
              <w:rPr>
                <w:rFonts w:eastAsiaTheme="minorEastAsia"/>
                <w:color w:val="000000"/>
                <w:szCs w:val="21"/>
              </w:rPr>
              <w:t>1.10%</w:t>
            </w:r>
          </w:p>
        </w:tc>
        <w:tc>
          <w:tcPr>
            <w:tcW w:w="1350" w:type="dxa"/>
            <w:vAlign w:val="center"/>
          </w:tcPr>
          <w:p w:rsidR="005B2D52" w:rsidRDefault="00DF7773">
            <w:pPr>
              <w:jc w:val="center"/>
            </w:pPr>
            <w:r>
              <w:rPr>
                <w:rFonts w:eastAsiaTheme="minorEastAsia"/>
                <w:color w:val="000000"/>
                <w:szCs w:val="21"/>
              </w:rPr>
              <w:t>3.80%</w:t>
            </w:r>
          </w:p>
        </w:tc>
        <w:tc>
          <w:tcPr>
            <w:tcW w:w="1350" w:type="dxa"/>
            <w:vAlign w:val="center"/>
          </w:tcPr>
          <w:p w:rsidR="005B2D52" w:rsidRDefault="00DF7773">
            <w:pPr>
              <w:jc w:val="center"/>
            </w:pPr>
            <w:r>
              <w:rPr>
                <w:rFonts w:eastAsiaTheme="minorEastAsia"/>
                <w:color w:val="000000"/>
                <w:szCs w:val="21"/>
              </w:rPr>
              <w:t>0.72%</w:t>
            </w:r>
          </w:p>
        </w:tc>
        <w:tc>
          <w:tcPr>
            <w:tcW w:w="1350" w:type="dxa"/>
            <w:vAlign w:val="center"/>
          </w:tcPr>
          <w:p w:rsidR="005B2D52" w:rsidRDefault="00DF7773">
            <w:pPr>
              <w:jc w:val="center"/>
            </w:pPr>
            <w:r>
              <w:rPr>
                <w:rFonts w:eastAsiaTheme="minorEastAsia"/>
                <w:color w:val="000000"/>
                <w:szCs w:val="21"/>
              </w:rPr>
              <w:t>2.63%</w:t>
            </w:r>
          </w:p>
        </w:tc>
        <w:tc>
          <w:tcPr>
            <w:tcW w:w="1350" w:type="dxa"/>
            <w:vAlign w:val="center"/>
          </w:tcPr>
          <w:p w:rsidR="005B2D52" w:rsidRDefault="00DF7773">
            <w:pPr>
              <w:jc w:val="center"/>
            </w:pPr>
            <w:r>
              <w:rPr>
                <w:rFonts w:eastAsiaTheme="minorEastAsia"/>
                <w:color w:val="000000"/>
                <w:szCs w:val="21"/>
              </w:rPr>
              <w:t>0.38%</w:t>
            </w:r>
          </w:p>
        </w:tc>
      </w:tr>
      <w:tr w:rsidR="005B2D52">
        <w:tc>
          <w:tcPr>
            <w:tcW w:w="1620" w:type="dxa"/>
            <w:vAlign w:val="center"/>
          </w:tcPr>
          <w:p w:rsidR="005B2D52" w:rsidRDefault="00DF7773">
            <w:pPr>
              <w:jc w:val="left"/>
            </w:pPr>
            <w:r>
              <w:rPr>
                <w:rFonts w:eastAsiaTheme="minorEastAsia"/>
                <w:color w:val="000000"/>
                <w:szCs w:val="21"/>
              </w:rPr>
              <w:t>过去三个月</w:t>
            </w:r>
          </w:p>
        </w:tc>
        <w:tc>
          <w:tcPr>
            <w:tcW w:w="1350" w:type="dxa"/>
            <w:vAlign w:val="center"/>
          </w:tcPr>
          <w:p w:rsidR="005B2D52" w:rsidRDefault="00DF7773">
            <w:pPr>
              <w:jc w:val="center"/>
            </w:pPr>
            <w:r>
              <w:rPr>
                <w:rFonts w:eastAsiaTheme="minorEastAsia"/>
                <w:color w:val="000000"/>
                <w:szCs w:val="21"/>
              </w:rPr>
              <w:t>-0.87%</w:t>
            </w:r>
          </w:p>
        </w:tc>
        <w:tc>
          <w:tcPr>
            <w:tcW w:w="1350" w:type="dxa"/>
            <w:vAlign w:val="center"/>
          </w:tcPr>
          <w:p w:rsidR="005B2D52" w:rsidRDefault="00DF7773">
            <w:pPr>
              <w:jc w:val="center"/>
            </w:pPr>
            <w:r>
              <w:rPr>
                <w:rFonts w:eastAsiaTheme="minorEastAsia"/>
                <w:color w:val="000000"/>
                <w:szCs w:val="21"/>
              </w:rPr>
              <w:t>1.22%</w:t>
            </w:r>
          </w:p>
        </w:tc>
        <w:tc>
          <w:tcPr>
            <w:tcW w:w="1350" w:type="dxa"/>
            <w:vAlign w:val="center"/>
          </w:tcPr>
          <w:p w:rsidR="005B2D52" w:rsidRDefault="00DF7773">
            <w:pPr>
              <w:jc w:val="center"/>
            </w:pPr>
            <w:r>
              <w:rPr>
                <w:rFonts w:eastAsiaTheme="minorEastAsia"/>
                <w:color w:val="000000"/>
                <w:szCs w:val="21"/>
              </w:rPr>
              <w:t>-2.40%</w:t>
            </w:r>
          </w:p>
        </w:tc>
        <w:tc>
          <w:tcPr>
            <w:tcW w:w="1350" w:type="dxa"/>
            <w:vAlign w:val="center"/>
          </w:tcPr>
          <w:p w:rsidR="005B2D52" w:rsidRDefault="00DF7773">
            <w:pPr>
              <w:jc w:val="center"/>
            </w:pPr>
            <w:r>
              <w:rPr>
                <w:rFonts w:eastAsiaTheme="minorEastAsia"/>
                <w:color w:val="000000"/>
                <w:szCs w:val="21"/>
              </w:rPr>
              <w:t>0.67%</w:t>
            </w:r>
          </w:p>
        </w:tc>
        <w:tc>
          <w:tcPr>
            <w:tcW w:w="1350" w:type="dxa"/>
            <w:vAlign w:val="center"/>
          </w:tcPr>
          <w:p w:rsidR="005B2D52" w:rsidRDefault="00DF7773">
            <w:pPr>
              <w:jc w:val="center"/>
            </w:pPr>
            <w:r>
              <w:rPr>
                <w:rFonts w:eastAsiaTheme="minorEastAsia"/>
                <w:color w:val="000000"/>
                <w:szCs w:val="21"/>
              </w:rPr>
              <w:t>1.53%</w:t>
            </w:r>
          </w:p>
        </w:tc>
        <w:tc>
          <w:tcPr>
            <w:tcW w:w="1350" w:type="dxa"/>
            <w:vAlign w:val="center"/>
          </w:tcPr>
          <w:p w:rsidR="005B2D52" w:rsidRDefault="00DF7773">
            <w:pPr>
              <w:jc w:val="center"/>
            </w:pPr>
            <w:r>
              <w:rPr>
                <w:rFonts w:eastAsiaTheme="minorEastAsia"/>
                <w:color w:val="000000"/>
                <w:szCs w:val="21"/>
              </w:rPr>
              <w:t>0.55%</w:t>
            </w:r>
          </w:p>
        </w:tc>
      </w:tr>
      <w:tr w:rsidR="005B2D52">
        <w:tc>
          <w:tcPr>
            <w:tcW w:w="1620" w:type="dxa"/>
            <w:vAlign w:val="center"/>
          </w:tcPr>
          <w:p w:rsidR="005B2D52" w:rsidRDefault="00DF7773">
            <w:pPr>
              <w:jc w:val="left"/>
            </w:pPr>
            <w:r>
              <w:rPr>
                <w:rFonts w:eastAsiaTheme="minorEastAsia"/>
                <w:color w:val="000000"/>
                <w:szCs w:val="21"/>
              </w:rPr>
              <w:t>过去六个月</w:t>
            </w:r>
          </w:p>
        </w:tc>
        <w:tc>
          <w:tcPr>
            <w:tcW w:w="1350" w:type="dxa"/>
            <w:vAlign w:val="center"/>
          </w:tcPr>
          <w:p w:rsidR="005B2D52" w:rsidRDefault="00DF7773">
            <w:pPr>
              <w:jc w:val="center"/>
            </w:pPr>
            <w:r>
              <w:rPr>
                <w:rFonts w:eastAsiaTheme="minorEastAsia"/>
                <w:color w:val="000000"/>
                <w:szCs w:val="21"/>
              </w:rPr>
              <w:t>12.07%</w:t>
            </w:r>
          </w:p>
        </w:tc>
        <w:tc>
          <w:tcPr>
            <w:tcW w:w="1350" w:type="dxa"/>
            <w:vAlign w:val="center"/>
          </w:tcPr>
          <w:p w:rsidR="005B2D52" w:rsidRDefault="00DF7773">
            <w:pPr>
              <w:jc w:val="center"/>
            </w:pPr>
            <w:r>
              <w:rPr>
                <w:rFonts w:eastAsiaTheme="minorEastAsia"/>
                <w:color w:val="000000"/>
                <w:szCs w:val="21"/>
              </w:rPr>
              <w:t>1.16%</w:t>
            </w:r>
          </w:p>
        </w:tc>
        <w:tc>
          <w:tcPr>
            <w:tcW w:w="1350" w:type="dxa"/>
            <w:vAlign w:val="center"/>
          </w:tcPr>
          <w:p w:rsidR="005B2D52" w:rsidRDefault="00DF7773">
            <w:pPr>
              <w:jc w:val="center"/>
            </w:pPr>
            <w:r>
              <w:rPr>
                <w:rFonts w:eastAsiaTheme="minorEastAsia"/>
                <w:color w:val="000000"/>
                <w:szCs w:val="21"/>
              </w:rPr>
              <w:t>6.75%</w:t>
            </w:r>
          </w:p>
        </w:tc>
        <w:tc>
          <w:tcPr>
            <w:tcW w:w="1350" w:type="dxa"/>
            <w:vAlign w:val="center"/>
          </w:tcPr>
          <w:p w:rsidR="005B2D52" w:rsidRDefault="00DF7773">
            <w:pPr>
              <w:jc w:val="center"/>
            </w:pPr>
            <w:r>
              <w:rPr>
                <w:rFonts w:eastAsiaTheme="minorEastAsia"/>
                <w:color w:val="000000"/>
                <w:szCs w:val="21"/>
              </w:rPr>
              <w:t>0.70%</w:t>
            </w:r>
          </w:p>
        </w:tc>
        <w:tc>
          <w:tcPr>
            <w:tcW w:w="1350" w:type="dxa"/>
            <w:vAlign w:val="center"/>
          </w:tcPr>
          <w:p w:rsidR="005B2D52" w:rsidRDefault="00DF7773">
            <w:pPr>
              <w:jc w:val="center"/>
            </w:pPr>
            <w:r>
              <w:rPr>
                <w:rFonts w:eastAsiaTheme="minorEastAsia"/>
                <w:color w:val="000000"/>
                <w:szCs w:val="21"/>
              </w:rPr>
              <w:t>5.32%</w:t>
            </w:r>
          </w:p>
        </w:tc>
        <w:tc>
          <w:tcPr>
            <w:tcW w:w="1350" w:type="dxa"/>
            <w:vAlign w:val="center"/>
          </w:tcPr>
          <w:p w:rsidR="005B2D52" w:rsidRDefault="00DF7773">
            <w:pPr>
              <w:jc w:val="center"/>
            </w:pPr>
            <w:r>
              <w:rPr>
                <w:rFonts w:eastAsiaTheme="minorEastAsia"/>
                <w:color w:val="000000"/>
                <w:szCs w:val="21"/>
              </w:rPr>
              <w:t>0.46%</w:t>
            </w:r>
          </w:p>
        </w:tc>
      </w:tr>
      <w:tr w:rsidR="005B2D52">
        <w:tc>
          <w:tcPr>
            <w:tcW w:w="1620" w:type="dxa"/>
            <w:vAlign w:val="center"/>
          </w:tcPr>
          <w:p w:rsidR="005B2D52" w:rsidRDefault="00DF7773">
            <w:pPr>
              <w:jc w:val="left"/>
            </w:pPr>
            <w:r>
              <w:rPr>
                <w:rFonts w:eastAsiaTheme="minorEastAsia"/>
                <w:color w:val="000000"/>
                <w:szCs w:val="21"/>
              </w:rPr>
              <w:t>过去一年</w:t>
            </w:r>
          </w:p>
        </w:tc>
        <w:tc>
          <w:tcPr>
            <w:tcW w:w="1350" w:type="dxa"/>
            <w:vAlign w:val="center"/>
          </w:tcPr>
          <w:p w:rsidR="005B2D52" w:rsidRDefault="00DF7773">
            <w:pPr>
              <w:jc w:val="center"/>
            </w:pPr>
            <w:r>
              <w:rPr>
                <w:rFonts w:eastAsiaTheme="minorEastAsia"/>
                <w:color w:val="000000"/>
                <w:szCs w:val="21"/>
              </w:rPr>
              <w:t>-1.16%</w:t>
            </w:r>
          </w:p>
        </w:tc>
        <w:tc>
          <w:tcPr>
            <w:tcW w:w="1350" w:type="dxa"/>
            <w:vAlign w:val="center"/>
          </w:tcPr>
          <w:p w:rsidR="005B2D52" w:rsidRDefault="00DF7773">
            <w:pPr>
              <w:jc w:val="center"/>
            </w:pPr>
            <w:r>
              <w:rPr>
                <w:rFonts w:eastAsiaTheme="minorEastAsia"/>
                <w:color w:val="000000"/>
                <w:szCs w:val="21"/>
              </w:rPr>
              <w:t>1.00%</w:t>
            </w:r>
          </w:p>
        </w:tc>
        <w:tc>
          <w:tcPr>
            <w:tcW w:w="1350" w:type="dxa"/>
            <w:vAlign w:val="center"/>
          </w:tcPr>
          <w:p w:rsidR="005B2D52" w:rsidRDefault="00DF7773">
            <w:pPr>
              <w:jc w:val="center"/>
            </w:pPr>
            <w:r>
              <w:rPr>
                <w:rFonts w:eastAsiaTheme="minorEastAsia"/>
                <w:color w:val="000000"/>
                <w:szCs w:val="21"/>
              </w:rPr>
              <w:t>-2.11%</w:t>
            </w:r>
          </w:p>
        </w:tc>
        <w:tc>
          <w:tcPr>
            <w:tcW w:w="1350" w:type="dxa"/>
            <w:vAlign w:val="center"/>
          </w:tcPr>
          <w:p w:rsidR="005B2D52" w:rsidRDefault="00DF7773">
            <w:pPr>
              <w:jc w:val="center"/>
            </w:pPr>
            <w:r>
              <w:rPr>
                <w:rFonts w:eastAsiaTheme="minorEastAsia"/>
                <w:color w:val="000000"/>
                <w:szCs w:val="21"/>
              </w:rPr>
              <w:t>0.83%</w:t>
            </w:r>
          </w:p>
        </w:tc>
        <w:tc>
          <w:tcPr>
            <w:tcW w:w="1350" w:type="dxa"/>
            <w:vAlign w:val="center"/>
          </w:tcPr>
          <w:p w:rsidR="005B2D52" w:rsidRDefault="00DF7773">
            <w:pPr>
              <w:jc w:val="center"/>
            </w:pPr>
            <w:r>
              <w:rPr>
                <w:rFonts w:eastAsiaTheme="minorEastAsia"/>
                <w:color w:val="000000"/>
                <w:szCs w:val="21"/>
              </w:rPr>
              <w:t>0.95%</w:t>
            </w:r>
          </w:p>
        </w:tc>
        <w:tc>
          <w:tcPr>
            <w:tcW w:w="1350" w:type="dxa"/>
            <w:vAlign w:val="center"/>
          </w:tcPr>
          <w:p w:rsidR="005B2D52" w:rsidRDefault="00DF7773">
            <w:pPr>
              <w:jc w:val="center"/>
            </w:pPr>
            <w:r>
              <w:rPr>
                <w:rFonts w:eastAsiaTheme="minorEastAsia"/>
                <w:color w:val="000000"/>
                <w:szCs w:val="21"/>
              </w:rPr>
              <w:t>0.17%</w:t>
            </w:r>
          </w:p>
        </w:tc>
      </w:tr>
      <w:tr w:rsidR="005B2D52">
        <w:tc>
          <w:tcPr>
            <w:tcW w:w="1620" w:type="dxa"/>
            <w:vAlign w:val="center"/>
          </w:tcPr>
          <w:p w:rsidR="005B2D52" w:rsidRDefault="00DF7773">
            <w:pPr>
              <w:jc w:val="left"/>
            </w:pPr>
            <w:r>
              <w:rPr>
                <w:rFonts w:eastAsiaTheme="minorEastAsia"/>
                <w:color w:val="000000"/>
                <w:szCs w:val="21"/>
              </w:rPr>
              <w:t>过去三年</w:t>
            </w:r>
          </w:p>
        </w:tc>
        <w:tc>
          <w:tcPr>
            <w:tcW w:w="1350" w:type="dxa"/>
            <w:vAlign w:val="center"/>
          </w:tcPr>
          <w:p w:rsidR="005B2D52" w:rsidRDefault="00DF7773">
            <w:pPr>
              <w:jc w:val="center"/>
            </w:pPr>
            <w:r>
              <w:rPr>
                <w:rFonts w:eastAsiaTheme="minorEastAsia"/>
                <w:color w:val="000000"/>
                <w:szCs w:val="21"/>
              </w:rPr>
              <w:t>-</w:t>
            </w:r>
          </w:p>
        </w:tc>
        <w:tc>
          <w:tcPr>
            <w:tcW w:w="1350" w:type="dxa"/>
            <w:vAlign w:val="center"/>
          </w:tcPr>
          <w:p w:rsidR="005B2D52" w:rsidRDefault="00DF7773">
            <w:pPr>
              <w:jc w:val="center"/>
            </w:pPr>
            <w:r>
              <w:rPr>
                <w:rFonts w:eastAsiaTheme="minorEastAsia"/>
                <w:color w:val="000000"/>
                <w:szCs w:val="21"/>
              </w:rPr>
              <w:t>-</w:t>
            </w:r>
          </w:p>
        </w:tc>
        <w:tc>
          <w:tcPr>
            <w:tcW w:w="1350" w:type="dxa"/>
            <w:vAlign w:val="center"/>
          </w:tcPr>
          <w:p w:rsidR="005B2D52" w:rsidRDefault="00DF7773">
            <w:pPr>
              <w:jc w:val="center"/>
            </w:pPr>
            <w:r>
              <w:rPr>
                <w:rFonts w:eastAsiaTheme="minorEastAsia"/>
                <w:color w:val="000000"/>
                <w:szCs w:val="21"/>
              </w:rPr>
              <w:t>-</w:t>
            </w:r>
          </w:p>
        </w:tc>
        <w:tc>
          <w:tcPr>
            <w:tcW w:w="1350" w:type="dxa"/>
            <w:vAlign w:val="center"/>
          </w:tcPr>
          <w:p w:rsidR="005B2D52" w:rsidRDefault="00DF7773">
            <w:pPr>
              <w:jc w:val="center"/>
            </w:pPr>
            <w:r>
              <w:rPr>
                <w:rFonts w:eastAsiaTheme="minorEastAsia"/>
                <w:color w:val="000000"/>
                <w:szCs w:val="21"/>
              </w:rPr>
              <w:t>-</w:t>
            </w:r>
          </w:p>
        </w:tc>
        <w:tc>
          <w:tcPr>
            <w:tcW w:w="1350" w:type="dxa"/>
            <w:vAlign w:val="center"/>
          </w:tcPr>
          <w:p w:rsidR="005B2D52" w:rsidRDefault="00DF7773">
            <w:pPr>
              <w:jc w:val="center"/>
            </w:pPr>
            <w:r>
              <w:rPr>
                <w:rFonts w:eastAsiaTheme="minorEastAsia"/>
                <w:color w:val="000000"/>
                <w:szCs w:val="21"/>
              </w:rPr>
              <w:t>-</w:t>
            </w:r>
          </w:p>
        </w:tc>
        <w:tc>
          <w:tcPr>
            <w:tcW w:w="1350" w:type="dxa"/>
            <w:vAlign w:val="center"/>
          </w:tcPr>
          <w:p w:rsidR="005B2D52" w:rsidRDefault="00DF7773">
            <w:pPr>
              <w:jc w:val="center"/>
            </w:pPr>
            <w:r>
              <w:rPr>
                <w:rFonts w:eastAsiaTheme="minorEastAsia"/>
                <w:color w:val="000000"/>
                <w:szCs w:val="21"/>
              </w:rPr>
              <w:t>-</w:t>
            </w:r>
          </w:p>
        </w:tc>
      </w:tr>
      <w:tr w:rsidR="005B2D52">
        <w:tc>
          <w:tcPr>
            <w:tcW w:w="1620" w:type="dxa"/>
            <w:vAlign w:val="center"/>
          </w:tcPr>
          <w:p w:rsidR="005B2D52" w:rsidRDefault="00DF7773">
            <w:pPr>
              <w:jc w:val="left"/>
            </w:pPr>
            <w:r>
              <w:rPr>
                <w:rFonts w:eastAsiaTheme="minorEastAsia"/>
                <w:color w:val="000000"/>
                <w:szCs w:val="21"/>
              </w:rPr>
              <w:t>自基金合同生效起至今</w:t>
            </w:r>
          </w:p>
        </w:tc>
        <w:tc>
          <w:tcPr>
            <w:tcW w:w="1350" w:type="dxa"/>
            <w:vAlign w:val="center"/>
          </w:tcPr>
          <w:p w:rsidR="005B2D52" w:rsidRDefault="00DF7773">
            <w:pPr>
              <w:jc w:val="center"/>
            </w:pPr>
            <w:r>
              <w:rPr>
                <w:rFonts w:eastAsiaTheme="minorEastAsia"/>
                <w:color w:val="000000"/>
                <w:szCs w:val="21"/>
              </w:rPr>
              <w:t>-1.51%</w:t>
            </w:r>
          </w:p>
        </w:tc>
        <w:tc>
          <w:tcPr>
            <w:tcW w:w="1350" w:type="dxa"/>
            <w:vAlign w:val="center"/>
          </w:tcPr>
          <w:p w:rsidR="005B2D52" w:rsidRDefault="00DF7773">
            <w:pPr>
              <w:jc w:val="center"/>
            </w:pPr>
            <w:r>
              <w:rPr>
                <w:rFonts w:eastAsiaTheme="minorEastAsia"/>
                <w:color w:val="000000"/>
                <w:szCs w:val="21"/>
              </w:rPr>
              <w:t>0.97%</w:t>
            </w:r>
          </w:p>
        </w:tc>
        <w:tc>
          <w:tcPr>
            <w:tcW w:w="1350" w:type="dxa"/>
            <w:vAlign w:val="center"/>
          </w:tcPr>
          <w:p w:rsidR="005B2D52" w:rsidRDefault="00DF7773">
            <w:pPr>
              <w:jc w:val="center"/>
            </w:pPr>
            <w:r>
              <w:rPr>
                <w:rFonts w:eastAsiaTheme="minorEastAsia"/>
                <w:color w:val="000000"/>
                <w:szCs w:val="21"/>
              </w:rPr>
              <w:t>-7.74%</w:t>
            </w:r>
          </w:p>
        </w:tc>
        <w:tc>
          <w:tcPr>
            <w:tcW w:w="1350" w:type="dxa"/>
            <w:vAlign w:val="center"/>
          </w:tcPr>
          <w:p w:rsidR="005B2D52" w:rsidRDefault="00DF7773">
            <w:pPr>
              <w:jc w:val="center"/>
            </w:pPr>
            <w:r>
              <w:rPr>
                <w:rFonts w:eastAsiaTheme="minorEastAsia"/>
                <w:color w:val="000000"/>
                <w:szCs w:val="21"/>
              </w:rPr>
              <w:t>0.84%</w:t>
            </w:r>
          </w:p>
        </w:tc>
        <w:tc>
          <w:tcPr>
            <w:tcW w:w="1350" w:type="dxa"/>
            <w:vAlign w:val="center"/>
          </w:tcPr>
          <w:p w:rsidR="005B2D52" w:rsidRDefault="00DF7773">
            <w:pPr>
              <w:jc w:val="center"/>
            </w:pPr>
            <w:r>
              <w:rPr>
                <w:rFonts w:eastAsiaTheme="minorEastAsia"/>
                <w:color w:val="000000"/>
                <w:szCs w:val="21"/>
              </w:rPr>
              <w:t>6.23%</w:t>
            </w:r>
          </w:p>
        </w:tc>
        <w:tc>
          <w:tcPr>
            <w:tcW w:w="1350" w:type="dxa"/>
            <w:vAlign w:val="center"/>
          </w:tcPr>
          <w:p w:rsidR="005B2D52" w:rsidRDefault="00DF7773">
            <w:pPr>
              <w:jc w:val="center"/>
            </w:pPr>
            <w:r>
              <w:rPr>
                <w:rFonts w:eastAsiaTheme="minorEastAsia"/>
                <w:color w:val="000000"/>
                <w:szCs w:val="21"/>
              </w:rPr>
              <w:t>0.13%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注：本基金的业绩比较基准：中证港股通综合指数收益率</w:t>
      </w:r>
      <w:r w:rsidRPr="00C56F63">
        <w:rPr>
          <w:rFonts w:eastAsiaTheme="minorEastAsia"/>
          <w:kern w:val="0"/>
          <w:szCs w:val="21"/>
        </w:rPr>
        <w:t>×70%+</w:t>
      </w:r>
      <w:r w:rsidRPr="00C56F63">
        <w:rPr>
          <w:rFonts w:eastAsiaTheme="minorEastAsia"/>
          <w:kern w:val="0"/>
          <w:szCs w:val="21"/>
        </w:rPr>
        <w:t>中债总指数收益率</w:t>
      </w:r>
      <w:r w:rsidRPr="00C56F63">
        <w:rPr>
          <w:rFonts w:eastAsiaTheme="minorEastAsia"/>
          <w:kern w:val="0"/>
          <w:szCs w:val="21"/>
        </w:rPr>
        <w:t>×30%</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lastRenderedPageBreak/>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上投摩根香港精选港股通混合型证券投资基金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2018</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8</w:t>
      </w:r>
      <w:r w:rsidRPr="00C56F63">
        <w:rPr>
          <w:rFonts w:ascii="Times New Roman" w:eastAsiaTheme="minorEastAsia" w:hAnsi="Times New Roman"/>
        </w:rPr>
        <w:t>日至</w:t>
      </w:r>
      <w:r w:rsidRPr="00C56F63">
        <w:rPr>
          <w:rFonts w:ascii="Times New Roman" w:eastAsiaTheme="minorEastAsia" w:hAnsi="Times New Roman"/>
        </w:rPr>
        <w:t>2019</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268069F6" wp14:editId="276DCA13">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5B2D52" w:rsidRDefault="00DF777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8</w:t>
      </w:r>
      <w:r>
        <w:rPr>
          <w:rFonts w:eastAsiaTheme="minorEastAsia"/>
          <w:kern w:val="0"/>
          <w:szCs w:val="21"/>
        </w:rPr>
        <w:t>日，图示的时间段为</w:t>
      </w:r>
      <w:r>
        <w:rPr>
          <w:rFonts w:eastAsiaTheme="minorEastAsia"/>
          <w:kern w:val="0"/>
          <w:szCs w:val="21"/>
        </w:rPr>
        <w:t>2018</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8</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本基金建仓期自</w:t>
      </w:r>
      <w:r w:rsidRPr="00C56F63">
        <w:rPr>
          <w:rFonts w:eastAsiaTheme="minorEastAsia"/>
          <w:kern w:val="0"/>
          <w:szCs w:val="21"/>
        </w:rPr>
        <w:t>2018</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8</w:t>
      </w:r>
      <w:r w:rsidRPr="00C56F63">
        <w:rPr>
          <w:rFonts w:eastAsiaTheme="minorEastAsia"/>
          <w:kern w:val="0"/>
          <w:szCs w:val="21"/>
        </w:rPr>
        <w:t>日至</w:t>
      </w:r>
      <w:r w:rsidRPr="00C56F63">
        <w:rPr>
          <w:rFonts w:eastAsiaTheme="minorEastAsia"/>
          <w:kern w:val="0"/>
          <w:szCs w:val="21"/>
        </w:rPr>
        <w:t>2018</w:t>
      </w:r>
      <w:r w:rsidRPr="00C56F63">
        <w:rPr>
          <w:rFonts w:eastAsiaTheme="minorEastAsia"/>
          <w:kern w:val="0"/>
          <w:szCs w:val="21"/>
        </w:rPr>
        <w:t>年</w:t>
      </w:r>
      <w:r w:rsidRPr="00C56F63">
        <w:rPr>
          <w:rFonts w:eastAsiaTheme="minorEastAsia"/>
          <w:kern w:val="0"/>
          <w:szCs w:val="21"/>
        </w:rPr>
        <w:t>12</w:t>
      </w:r>
      <w:r w:rsidRPr="00C56F63">
        <w:rPr>
          <w:rFonts w:eastAsiaTheme="minorEastAsia"/>
          <w:kern w:val="0"/>
          <w:szCs w:val="21"/>
        </w:rPr>
        <w:t>月</w:t>
      </w:r>
      <w:r w:rsidRPr="00C56F63">
        <w:rPr>
          <w:rFonts w:eastAsiaTheme="minorEastAsia"/>
          <w:kern w:val="0"/>
          <w:szCs w:val="21"/>
        </w:rPr>
        <w:t>7</w:t>
      </w:r>
      <w:r w:rsidRPr="00C56F63">
        <w:rPr>
          <w:rFonts w:eastAsiaTheme="minorEastAsia"/>
          <w:kern w:val="0"/>
          <w:szCs w:val="21"/>
        </w:rPr>
        <w:t>日，建仓期结束时资产配置比例符合本基金基金合同规定。</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374540548"/>
      <w:bookmarkStart w:id="20" w:name="_Toc225498254"/>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1" w:name="_Toc390421238"/>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21"/>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月底，公司旗下运作的基金共有六十四只，均为开放式基金，分别是：上投摩根中国优势证券投资基金、上投摩根货币市场基金、上投摩根阿尔法混合型证券投资基金、上投摩根双息平衡混合型证券投资</w:t>
      </w:r>
      <w:r w:rsidRPr="00C56F63">
        <w:rPr>
          <w:rFonts w:eastAsiaTheme="minorEastAsia"/>
          <w:color w:val="000000"/>
          <w:szCs w:val="21"/>
        </w:rPr>
        <w:lastRenderedPageBreak/>
        <w:t>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5B2D52">
        <w:tc>
          <w:tcPr>
            <w:tcW w:w="1090" w:type="dxa"/>
            <w:vAlign w:val="center"/>
          </w:tcPr>
          <w:p w:rsidR="005B2D52" w:rsidRDefault="00DF7773">
            <w:pPr>
              <w:jc w:val="center"/>
            </w:pPr>
            <w:r>
              <w:rPr>
                <w:rFonts w:eastAsiaTheme="minorEastAsia"/>
                <w:color w:val="000000"/>
                <w:szCs w:val="21"/>
              </w:rPr>
              <w:lastRenderedPageBreak/>
              <w:t>张淑婉</w:t>
            </w:r>
          </w:p>
        </w:tc>
        <w:tc>
          <w:tcPr>
            <w:tcW w:w="1500" w:type="dxa"/>
            <w:vAlign w:val="center"/>
          </w:tcPr>
          <w:p w:rsidR="005B2D52" w:rsidRDefault="00DF7773">
            <w:pPr>
              <w:jc w:val="center"/>
            </w:pPr>
            <w:r>
              <w:rPr>
                <w:rFonts w:eastAsiaTheme="minorEastAsia"/>
                <w:color w:val="000000"/>
                <w:szCs w:val="21"/>
              </w:rPr>
              <w:t>本基金基金经理</w:t>
            </w:r>
          </w:p>
        </w:tc>
        <w:tc>
          <w:tcPr>
            <w:tcW w:w="1190" w:type="dxa"/>
            <w:vAlign w:val="center"/>
          </w:tcPr>
          <w:p w:rsidR="005B2D52" w:rsidRDefault="00DF7773">
            <w:pPr>
              <w:jc w:val="center"/>
            </w:pPr>
            <w:r>
              <w:rPr>
                <w:rFonts w:eastAsiaTheme="minorEastAsia"/>
                <w:color w:val="000000"/>
                <w:szCs w:val="21"/>
              </w:rPr>
              <w:t>2018-06-08</w:t>
            </w:r>
          </w:p>
        </w:tc>
        <w:tc>
          <w:tcPr>
            <w:tcW w:w="1260" w:type="dxa"/>
            <w:vAlign w:val="center"/>
          </w:tcPr>
          <w:p w:rsidR="005B2D52" w:rsidRDefault="00DF7773">
            <w:pPr>
              <w:jc w:val="center"/>
            </w:pPr>
            <w:r>
              <w:rPr>
                <w:rFonts w:eastAsiaTheme="minorEastAsia"/>
                <w:color w:val="000000"/>
                <w:szCs w:val="21"/>
              </w:rPr>
              <w:t>-</w:t>
            </w:r>
          </w:p>
        </w:tc>
        <w:tc>
          <w:tcPr>
            <w:tcW w:w="1236" w:type="dxa"/>
            <w:vAlign w:val="center"/>
          </w:tcPr>
          <w:p w:rsidR="005B2D52" w:rsidRDefault="00DF7773">
            <w:pPr>
              <w:jc w:val="center"/>
            </w:pPr>
            <w:r>
              <w:rPr>
                <w:rFonts w:eastAsiaTheme="minorEastAsia"/>
                <w:color w:val="000000"/>
                <w:szCs w:val="21"/>
              </w:rPr>
              <w:t>29</w:t>
            </w:r>
            <w:r>
              <w:rPr>
                <w:rFonts w:eastAsiaTheme="minorEastAsia"/>
                <w:color w:val="000000"/>
                <w:szCs w:val="21"/>
              </w:rPr>
              <w:t>年</w:t>
            </w:r>
          </w:p>
        </w:tc>
        <w:tc>
          <w:tcPr>
            <w:tcW w:w="3264" w:type="dxa"/>
            <w:vAlign w:val="center"/>
          </w:tcPr>
          <w:p w:rsidR="005B2D52" w:rsidRDefault="00DF7773">
            <w:r>
              <w:rPr>
                <w:rFonts w:eastAsiaTheme="minorEastAsia"/>
                <w:color w:val="000000"/>
                <w:szCs w:val="21"/>
              </w:rPr>
              <w:t>张淑婉女士，台湾大学财务金融研究所</w:t>
            </w:r>
            <w:r>
              <w:rPr>
                <w:rFonts w:eastAsiaTheme="minorEastAsia"/>
                <w:color w:val="000000"/>
                <w:szCs w:val="21"/>
              </w:rPr>
              <w:t>MBA</w:t>
            </w:r>
            <w:r>
              <w:rPr>
                <w:rFonts w:eastAsiaTheme="minorEastAsia"/>
                <w:color w:val="000000"/>
                <w:szCs w:val="21"/>
              </w:rPr>
              <w:t>，自</w:t>
            </w:r>
            <w:r>
              <w:rPr>
                <w:rFonts w:eastAsiaTheme="minorEastAsia"/>
                <w:color w:val="000000"/>
                <w:szCs w:val="21"/>
              </w:rPr>
              <w:t>1987</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1989</w:t>
            </w:r>
            <w:r>
              <w:rPr>
                <w:rFonts w:eastAsiaTheme="minorEastAsia"/>
                <w:color w:val="000000"/>
                <w:szCs w:val="21"/>
              </w:rPr>
              <w:t>年</w:t>
            </w:r>
            <w:r>
              <w:rPr>
                <w:rFonts w:eastAsiaTheme="minorEastAsia"/>
                <w:color w:val="000000"/>
                <w:szCs w:val="21"/>
              </w:rPr>
              <w:t>2</w:t>
            </w:r>
            <w:r>
              <w:rPr>
                <w:rFonts w:eastAsiaTheme="minorEastAsia"/>
                <w:color w:val="000000"/>
                <w:szCs w:val="21"/>
              </w:rPr>
              <w:t>月，在东盟成衣股份有限公司担任研究部专员；自</w:t>
            </w:r>
            <w:r>
              <w:rPr>
                <w:rFonts w:eastAsiaTheme="minorEastAsia"/>
                <w:color w:val="000000"/>
                <w:szCs w:val="21"/>
              </w:rPr>
              <w:t>1989</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1991</w:t>
            </w:r>
            <w:r>
              <w:rPr>
                <w:rFonts w:eastAsiaTheme="minorEastAsia"/>
                <w:color w:val="000000"/>
                <w:szCs w:val="21"/>
              </w:rPr>
              <w:t>年</w:t>
            </w:r>
            <w:r>
              <w:rPr>
                <w:rFonts w:eastAsiaTheme="minorEastAsia"/>
                <w:color w:val="000000"/>
                <w:szCs w:val="21"/>
              </w:rPr>
              <w:t>8</w:t>
            </w:r>
            <w:r>
              <w:rPr>
                <w:rFonts w:eastAsiaTheme="minorEastAsia"/>
                <w:color w:val="000000"/>
                <w:szCs w:val="21"/>
              </w:rPr>
              <w:t>月，在富隆证券股份有限公司担任投行部专员；自</w:t>
            </w:r>
            <w:r>
              <w:rPr>
                <w:rFonts w:eastAsiaTheme="minorEastAsia"/>
                <w:color w:val="000000"/>
                <w:szCs w:val="21"/>
              </w:rPr>
              <w:t>1993</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1998</w:t>
            </w:r>
            <w:r>
              <w:rPr>
                <w:rFonts w:eastAsiaTheme="minorEastAsia"/>
                <w:color w:val="000000"/>
                <w:szCs w:val="21"/>
              </w:rPr>
              <w:t>年</w:t>
            </w:r>
            <w:r>
              <w:rPr>
                <w:rFonts w:eastAsiaTheme="minorEastAsia"/>
                <w:color w:val="000000"/>
                <w:szCs w:val="21"/>
              </w:rPr>
              <w:t>1</w:t>
            </w:r>
            <w:r>
              <w:rPr>
                <w:rFonts w:eastAsiaTheme="minorEastAsia"/>
                <w:color w:val="000000"/>
                <w:szCs w:val="21"/>
              </w:rPr>
              <w:t>月，在光华证券投资信托股份有限公司担任研究部副理；自</w:t>
            </w:r>
            <w:r>
              <w:rPr>
                <w:rFonts w:eastAsiaTheme="minorEastAsia"/>
                <w:color w:val="000000"/>
                <w:szCs w:val="21"/>
              </w:rPr>
              <w:t>1998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2006</w:t>
            </w:r>
            <w:r>
              <w:rPr>
                <w:rFonts w:eastAsiaTheme="minorEastAsia"/>
                <w:color w:val="000000"/>
                <w:szCs w:val="21"/>
              </w:rPr>
              <w:t>年</w:t>
            </w:r>
            <w:r>
              <w:rPr>
                <w:rFonts w:eastAsiaTheme="minorEastAsia"/>
                <w:color w:val="000000"/>
                <w:szCs w:val="21"/>
              </w:rPr>
              <w:t>7</w:t>
            </w:r>
            <w:r>
              <w:rPr>
                <w:rFonts w:eastAsiaTheme="minorEastAsia"/>
                <w:color w:val="000000"/>
                <w:szCs w:val="21"/>
              </w:rPr>
              <w:t>月，在摩根富林明证券信托股份有限公司担任副总经理；自</w:t>
            </w:r>
            <w:r>
              <w:rPr>
                <w:rFonts w:eastAsiaTheme="minorEastAsia"/>
                <w:color w:val="000000"/>
                <w:szCs w:val="21"/>
              </w:rPr>
              <w:t>2007</w:t>
            </w:r>
            <w:r>
              <w:rPr>
                <w:rFonts w:eastAsiaTheme="minorEastAsia"/>
                <w:color w:val="000000"/>
                <w:szCs w:val="21"/>
              </w:rPr>
              <w:t>年</w:t>
            </w:r>
            <w:r>
              <w:rPr>
                <w:rFonts w:eastAsiaTheme="minorEastAsia"/>
                <w:color w:val="000000"/>
                <w:szCs w:val="21"/>
              </w:rPr>
              <w:t>11</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月，在德意志亚洲资产管理公司担任副总经理；自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6</w:t>
            </w:r>
            <w:r>
              <w:rPr>
                <w:rFonts w:eastAsiaTheme="minorEastAsia"/>
                <w:color w:val="000000"/>
                <w:szCs w:val="21"/>
              </w:rPr>
              <w:t>月，在嘉实国际资产管理公司担任副总经理；自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月，在上投摩根资产管理（香港）有限公司担任投资总监；自</w:t>
            </w:r>
            <w:r>
              <w:rPr>
                <w:rFonts w:eastAsiaTheme="minorEastAsia"/>
                <w:color w:val="000000"/>
                <w:szCs w:val="21"/>
              </w:rPr>
              <w:t>2016</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月起加入上投摩根基金管理有限公司，自</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月起同时担任上投摩根亚太优势混合型证券投资基金基金经理及上投摩根全球新兴市场混合型证券投资基金基金经理，自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月起同时担任上投摩根标普港股通低波红利指数型证券投资基金基金经理，自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月起同时担任上投摩根香港精选港股通混合型证券投资基金基金经理。</w:t>
            </w:r>
          </w:p>
        </w:tc>
      </w:tr>
    </w:tbl>
    <w:p w:rsidR="005B2D52" w:rsidRDefault="00DF777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5B2D52" w:rsidRDefault="00DF777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张淑婉女士为本基金首任基金经理，其任职日期指本基金基金合同生效之日。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2" w:name="_Toc225498256"/>
      <w:bookmarkStart w:id="23" w:name="_Toc390421239"/>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22"/>
      <w:bookmarkEnd w:id="2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香港精选港股通混合型证券投资基金基金合同》的规定。基金经理对个股和投资组合的比例遵循了投资决策委员会的授权限制，基金投资比例符合基金合同和法律法规的要求。</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4" w:name="_Toc225498257"/>
      <w:bookmarkStart w:id="25" w:name="_Toc390421240"/>
      <w:r w:rsidRPr="00C56F63">
        <w:rPr>
          <w:rFonts w:ascii="Times New Roman" w:eastAsiaTheme="minorEastAsia" w:hAnsi="Times New Roman"/>
          <w:kern w:val="0"/>
          <w:sz w:val="21"/>
          <w:szCs w:val="21"/>
        </w:rPr>
        <w:lastRenderedPageBreak/>
        <w:t xml:space="preserve">4.3 </w:t>
      </w:r>
      <w:r w:rsidRPr="00C56F63">
        <w:rPr>
          <w:rFonts w:ascii="Times New Roman" w:eastAsiaTheme="minorEastAsia" w:hAnsi="Times New Roman"/>
          <w:kern w:val="0"/>
          <w:sz w:val="21"/>
          <w:szCs w:val="21"/>
        </w:rPr>
        <w:t>管理人对报告期内公平交易情况的专项说明</w:t>
      </w:r>
      <w:bookmarkEnd w:id="24"/>
      <w:bookmarkEnd w:id="2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的情形：报告期内，所有投资组合参与的交易所公开竞价同日反向交易成交较少的单边交易量超过该证券当日成交量的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的次数为一次，发生在量化投资组合与主动管理投资组合之间。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6" w:name="_Toc225498258"/>
      <w:bookmarkStart w:id="27" w:name="_Toc390421241"/>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26"/>
      <w:bookmarkEnd w:id="27"/>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2018</w:t>
      </w:r>
      <w:r>
        <w:rPr>
          <w:rFonts w:eastAsiaTheme="minorEastAsia"/>
          <w:color w:val="000000"/>
          <w:szCs w:val="21"/>
        </w:rPr>
        <w:t>年的负面因素如主要经济体逐步退出量化宽松，全球流动性收紧趋势下，美国强劲的经济数据，以及美联储超预期加息的判断引发美元走强，强势美元导致新兴市场动荡，叠加中美贸易摩擦及油价的上涨，这些因素在</w:t>
      </w:r>
      <w:r>
        <w:rPr>
          <w:rFonts w:eastAsiaTheme="minorEastAsia"/>
          <w:color w:val="000000"/>
          <w:szCs w:val="21"/>
        </w:rPr>
        <w:t>2019</w:t>
      </w:r>
      <w:r>
        <w:rPr>
          <w:rFonts w:eastAsiaTheme="minorEastAsia"/>
          <w:color w:val="000000"/>
          <w:szCs w:val="21"/>
        </w:rPr>
        <w:t>年初皆有所改善。美联储多数官员表态赞成</w:t>
      </w:r>
      <w:r>
        <w:rPr>
          <w:rFonts w:eastAsiaTheme="minorEastAsia"/>
          <w:color w:val="000000"/>
          <w:szCs w:val="21"/>
        </w:rPr>
        <w:t>2019</w:t>
      </w:r>
      <w:r>
        <w:rPr>
          <w:rFonts w:eastAsiaTheme="minorEastAsia"/>
          <w:color w:val="000000"/>
          <w:szCs w:val="21"/>
        </w:rPr>
        <w:t>年暂停加息，而中国经济指标逐步企稳，固定资产投资和消费数据均稳步复苏，经济有企稳迹象。</w:t>
      </w:r>
      <w:r>
        <w:rPr>
          <w:rFonts w:eastAsiaTheme="minorEastAsia"/>
          <w:color w:val="000000"/>
          <w:szCs w:val="21"/>
        </w:rPr>
        <w:t>2019</w:t>
      </w:r>
      <w:r>
        <w:rPr>
          <w:rFonts w:eastAsiaTheme="minorEastAsia"/>
          <w:color w:val="000000"/>
          <w:szCs w:val="21"/>
        </w:rPr>
        <w:t>年的政府工作报告列示出的政策目标相对平稳，政策相对积极，同时内地各领域均加快推进改革开放进程。香港市场在</w:t>
      </w:r>
      <w:r>
        <w:rPr>
          <w:rFonts w:eastAsiaTheme="minorEastAsia"/>
          <w:color w:val="000000"/>
          <w:szCs w:val="21"/>
        </w:rPr>
        <w:t>A</w:t>
      </w:r>
      <w:r>
        <w:rPr>
          <w:rFonts w:eastAsiaTheme="minorEastAsia"/>
          <w:color w:val="000000"/>
          <w:szCs w:val="21"/>
        </w:rPr>
        <w:t>股的带领下反弹，港股市场在第一季大幅反弹，在第二季迎来小幅回挫。特朗普在</w:t>
      </w:r>
      <w:r>
        <w:rPr>
          <w:rFonts w:eastAsiaTheme="minorEastAsia"/>
          <w:color w:val="000000"/>
          <w:szCs w:val="21"/>
        </w:rPr>
        <w:t>5</w:t>
      </w:r>
      <w:r>
        <w:rPr>
          <w:rFonts w:eastAsiaTheme="minorEastAsia"/>
          <w:color w:val="000000"/>
          <w:szCs w:val="21"/>
        </w:rPr>
        <w:t>月初提出贸易关税加征的议题，加上对华为的打压，使得港股顺势回调，尤其是科技股大幅回吐涨幅。</w:t>
      </w:r>
      <w:r>
        <w:rPr>
          <w:rFonts w:eastAsiaTheme="minorEastAsia"/>
          <w:color w:val="000000"/>
          <w:szCs w:val="21"/>
        </w:rPr>
        <w:t>6</w:t>
      </w:r>
      <w:r>
        <w:rPr>
          <w:rFonts w:eastAsiaTheme="minorEastAsia"/>
          <w:color w:val="000000"/>
          <w:szCs w:val="21"/>
        </w:rPr>
        <w:t>月则因</w:t>
      </w:r>
      <w:r>
        <w:rPr>
          <w:rFonts w:eastAsiaTheme="minorEastAsia"/>
          <w:color w:val="000000"/>
          <w:szCs w:val="21"/>
        </w:rPr>
        <w:t>G20</w:t>
      </w:r>
      <w:r>
        <w:rPr>
          <w:rFonts w:eastAsiaTheme="minorEastAsia"/>
          <w:color w:val="000000"/>
          <w:szCs w:val="21"/>
        </w:rPr>
        <w:t>开会在即，加上美联储的鸽派态度，市场开始有降息预期，美元走弱，新兴市场货币转强，使得股市在</w:t>
      </w:r>
      <w:r>
        <w:rPr>
          <w:rFonts w:eastAsiaTheme="minorEastAsia"/>
          <w:color w:val="000000"/>
          <w:szCs w:val="21"/>
        </w:rPr>
        <w:t>6</w:t>
      </w:r>
      <w:r>
        <w:rPr>
          <w:rFonts w:eastAsiaTheme="minorEastAsia"/>
          <w:color w:val="000000"/>
          <w:szCs w:val="21"/>
        </w:rPr>
        <w:t>月份有所回升。</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香港精选基金目前超配在港股的科技及大消费，如健康医疗及教育的板块，另外还超配了保险板块但低配了银行，主要我们不看好香港本地的银行及香港本地的消费板块。香港精选基金在上半年表现较业绩基准更佳，其中超配在消费板块及</w:t>
      </w:r>
      <w:r w:rsidRPr="00C56F63">
        <w:rPr>
          <w:rFonts w:eastAsiaTheme="minorEastAsia"/>
          <w:color w:val="000000"/>
          <w:szCs w:val="21"/>
        </w:rPr>
        <w:t>A</w:t>
      </w:r>
      <w:r w:rsidRPr="00C56F63">
        <w:rPr>
          <w:rFonts w:eastAsiaTheme="minorEastAsia"/>
          <w:color w:val="000000"/>
          <w:szCs w:val="21"/>
        </w:rPr>
        <w:t>股有较大的正贡献。</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本报告期上投摩根香港精选港股通混合份额净值增长率为</w:t>
      </w:r>
      <w:r w:rsidRPr="00C56F63">
        <w:rPr>
          <w:rFonts w:eastAsiaTheme="minorEastAsia"/>
          <w:color w:val="000000"/>
          <w:szCs w:val="21"/>
        </w:rPr>
        <w:t>:12.07%</w:t>
      </w:r>
      <w:r w:rsidRPr="00C56F63">
        <w:rPr>
          <w:rFonts w:eastAsiaTheme="minorEastAsia"/>
          <w:color w:val="000000"/>
          <w:szCs w:val="21"/>
        </w:rPr>
        <w:t>，同期业绩比较基准收益率为</w:t>
      </w:r>
      <w:r w:rsidRPr="00C56F63">
        <w:rPr>
          <w:rFonts w:eastAsiaTheme="minorEastAsia"/>
          <w:color w:val="000000"/>
          <w:szCs w:val="21"/>
        </w:rPr>
        <w:t>:6.75%</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8" w:name="_Toc225498259"/>
      <w:bookmarkStart w:id="29" w:name="_Toc390421242"/>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28"/>
      <w:bookmarkEnd w:id="29"/>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展望下半年，我们关注的首先是中美领导人在</w:t>
      </w:r>
      <w:r w:rsidRPr="00C56F63">
        <w:rPr>
          <w:rFonts w:eastAsiaTheme="minorEastAsia"/>
          <w:color w:val="000000"/>
          <w:szCs w:val="21"/>
        </w:rPr>
        <w:t>G20</w:t>
      </w:r>
      <w:r w:rsidRPr="00C56F63">
        <w:rPr>
          <w:rFonts w:eastAsiaTheme="minorEastAsia"/>
          <w:color w:val="000000"/>
          <w:szCs w:val="21"/>
        </w:rPr>
        <w:t>的会谈，中美的贸易纷争能否取得共识而结束；二是美联储的降息时点、幅度以及对市场情绪的影响；目前各个国家的货币政策走向目前皆属鸽派，各国央行的降息态度非常积极，对整体的资金量有所帮助，美元转弱也让新兴市场的货币转强。港股选择方面，目前仍然要优先选择有成长性的个股，但我们也会选择配置一些低估值的价值股，未来还会择机选配部分</w:t>
      </w:r>
      <w:r w:rsidRPr="00C56F63">
        <w:rPr>
          <w:rFonts w:eastAsiaTheme="minorEastAsia"/>
          <w:color w:val="000000"/>
          <w:szCs w:val="21"/>
        </w:rPr>
        <w:t>A</w:t>
      </w:r>
      <w:r w:rsidRPr="00C56F63">
        <w:rPr>
          <w:rFonts w:eastAsiaTheme="minorEastAsia"/>
          <w:color w:val="000000"/>
          <w:szCs w:val="21"/>
        </w:rPr>
        <w:t>股的龙头股票，我们仍然关注消费相关的个股。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0" w:name="_Toc390421243"/>
      <w:bookmarkStart w:id="31" w:name="_Toc247959457"/>
      <w:bookmarkStart w:id="32" w:name="_Toc225570083"/>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30"/>
      <w:bookmarkEnd w:id="31"/>
      <w:bookmarkEnd w:id="3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390421244"/>
      <w:bookmarkStart w:id="34" w:name="_Toc247959458"/>
      <w:bookmarkStart w:id="35" w:name="_Toc225570084"/>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33"/>
      <w:bookmarkEnd w:id="34"/>
      <w:bookmarkEnd w:id="35"/>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36" w:name="_Toc374540556"/>
      <w:bookmarkStart w:id="37" w:name="_Toc225498263"/>
      <w:r w:rsidRPr="00C56F63">
        <w:rPr>
          <w:rFonts w:eastAsiaTheme="minorEastAsia"/>
          <w:b/>
          <w:bCs/>
          <w:sz w:val="21"/>
          <w:szCs w:val="21"/>
          <w:lang w:val="en-US"/>
        </w:rPr>
        <w:lastRenderedPageBreak/>
        <w:t xml:space="preserve">5  </w:t>
      </w:r>
      <w:r w:rsidRPr="00C56F63">
        <w:rPr>
          <w:rFonts w:eastAsiaTheme="minorEastAsia"/>
          <w:b/>
          <w:bCs/>
          <w:sz w:val="21"/>
          <w:szCs w:val="21"/>
          <w:lang w:val="en-US"/>
        </w:rPr>
        <w:t>托管人报告</w:t>
      </w:r>
      <w:bookmarkEnd w:id="36"/>
      <w:bookmarkEnd w:id="37"/>
    </w:p>
    <w:p w:rsidR="006B65E1" w:rsidRPr="00C56F63" w:rsidRDefault="00945F2E">
      <w:pPr>
        <w:pStyle w:val="2"/>
        <w:spacing w:before="0" w:after="0"/>
        <w:rPr>
          <w:rFonts w:ascii="Times New Roman" w:eastAsiaTheme="minorEastAsia" w:hAnsi="Times New Roman"/>
          <w:kern w:val="0"/>
          <w:sz w:val="21"/>
          <w:szCs w:val="21"/>
        </w:rPr>
      </w:pPr>
      <w:bookmarkStart w:id="38" w:name="_Toc390421246"/>
      <w:bookmarkStart w:id="39" w:name="_Toc225498264"/>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38"/>
      <w:bookmarkEnd w:id="39"/>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本基金托管人在对上投摩根香港精选港股通混合型证券投资基金的托管过程中，严格遵守《证券投资基金法》及其他法律法规和基金合同的有关规定，不存在任何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65"/>
      <w:bookmarkStart w:id="41" w:name="_Toc390421247"/>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40"/>
      <w:r w:rsidRPr="00C56F63">
        <w:rPr>
          <w:rFonts w:ascii="Times New Roman" w:eastAsiaTheme="minorEastAsia" w:hAnsi="Times New Roman"/>
          <w:kern w:val="0"/>
          <w:sz w:val="21"/>
          <w:szCs w:val="21"/>
        </w:rPr>
        <w:t>说明</w:t>
      </w:r>
      <w:bookmarkEnd w:id="4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本报告期内，上投摩根香港精选港股通混合型证券投资基金的管理人</w:t>
      </w:r>
      <w:r w:rsidRPr="00C56F63">
        <w:rPr>
          <w:rFonts w:eastAsiaTheme="minorEastAsia"/>
          <w:color w:val="000000"/>
          <w:szCs w:val="21"/>
        </w:rPr>
        <w:t>——</w:t>
      </w:r>
      <w:r w:rsidRPr="00C56F63">
        <w:rPr>
          <w:rFonts w:eastAsiaTheme="minorEastAsia"/>
          <w:color w:val="000000"/>
          <w:szCs w:val="21"/>
        </w:rPr>
        <w:t>上投摩根基金管理有限公司在上投摩根香港精选港股通混合型证券投资基金的投资运作、基金资产净值计算、基金份额申购赎回价格计算、基金费用开支等问题上，对本基金的投资运作方面进行了监督，发现个别监督指标不符合基金合同约定并及时通知了基金管理人，基金管理人在合理期限内进行了调整，对基金份额持有人利益未造成损害。在各重要方面的运作严格按照基金合同的规定进行。本报告期内上投摩根香港精选港股通混合型证券投资基金未进行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2" w:name="_Toc390421248"/>
      <w:bookmarkStart w:id="43" w:name="_Toc225498266"/>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托管人对本半年度报告中财务信息等内容的真实、准确和完整发表意见</w:t>
      </w:r>
      <w:bookmarkEnd w:id="42"/>
      <w:bookmarkEnd w:id="4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本托管人依法对上投摩根基金管理有限公司编制和披露的上投摩根香港精选港股通混合型证券投资基金</w:t>
      </w:r>
      <w:r w:rsidRPr="00C56F63">
        <w:rPr>
          <w:rFonts w:eastAsiaTheme="minorEastAsia"/>
          <w:color w:val="000000"/>
          <w:szCs w:val="21"/>
        </w:rPr>
        <w:t>2019</w:t>
      </w:r>
      <w:r w:rsidRPr="00C56F63">
        <w:rPr>
          <w:rFonts w:eastAsiaTheme="minorEastAsia"/>
          <w:color w:val="000000"/>
          <w:szCs w:val="21"/>
        </w:rPr>
        <w:t>年半年度报告中财务指标、净值表现、利润分配情况、财务会计报告、投资组合报告等内容进行了核查，以上内容真实、准确和完整。</w:t>
      </w:r>
    </w:p>
    <w:p w:rsidR="00567F47" w:rsidRPr="00C56F63" w:rsidRDefault="00567F47" w:rsidP="00567F47">
      <w:pPr>
        <w:widowControl/>
        <w:jc w:val="left"/>
        <w:rPr>
          <w:rFonts w:eastAsiaTheme="minorEastAsia"/>
          <w:b/>
          <w:bCs/>
          <w:kern w:val="0"/>
          <w:szCs w:val="21"/>
        </w:rPr>
      </w:pPr>
      <w:bookmarkStart w:id="44" w:name="_Toc374540560"/>
      <w:r w:rsidRPr="00C56F63">
        <w:rPr>
          <w:rFonts w:eastAsiaTheme="minorEastAsia"/>
          <w:b/>
          <w:bCs/>
          <w:szCs w:val="21"/>
        </w:rPr>
        <w:br w:type="page"/>
      </w: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r w:rsidRPr="00C56F63">
        <w:rPr>
          <w:rFonts w:eastAsiaTheme="minorEastAsia" w:hint="eastAsia"/>
          <w:b/>
          <w:bCs/>
          <w:sz w:val="21"/>
          <w:szCs w:val="21"/>
          <w:lang w:val="en-US"/>
        </w:rPr>
        <w:lastRenderedPageBreak/>
        <w:t>6</w:t>
      </w:r>
      <w:r w:rsidR="00945F2E" w:rsidRPr="00C56F63">
        <w:rPr>
          <w:rFonts w:eastAsiaTheme="minorEastAsia" w:hint="eastAsia"/>
          <w:b/>
          <w:bCs/>
          <w:sz w:val="21"/>
          <w:szCs w:val="21"/>
          <w:lang w:val="en-US"/>
        </w:rPr>
        <w:t xml:space="preserve">  </w:t>
      </w:r>
      <w:r w:rsidR="00945F2E" w:rsidRPr="00C56F63">
        <w:rPr>
          <w:rFonts w:eastAsiaTheme="minorEastAsia"/>
          <w:b/>
          <w:bCs/>
          <w:sz w:val="21"/>
          <w:szCs w:val="21"/>
          <w:lang w:val="en-US"/>
        </w:rPr>
        <w:t>半年度财务会计报告（未经审计）</w:t>
      </w:r>
      <w:bookmarkEnd w:id="44"/>
    </w:p>
    <w:p w:rsidR="006B65E1" w:rsidRPr="00C56F63" w:rsidRDefault="0005594A">
      <w:pPr>
        <w:pStyle w:val="2"/>
        <w:spacing w:before="0" w:after="0"/>
        <w:rPr>
          <w:rFonts w:ascii="Times New Roman" w:eastAsiaTheme="minorEastAsia" w:hAnsi="Times New Roman"/>
          <w:kern w:val="0"/>
          <w:sz w:val="21"/>
          <w:szCs w:val="21"/>
        </w:rPr>
      </w:pPr>
      <w:bookmarkStart w:id="45" w:name="_Toc225498268"/>
      <w:bookmarkStart w:id="46" w:name="_Toc390421250"/>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45"/>
      <w:bookmarkEnd w:id="4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会计主体：上投摩根香港精选港股通混合型证券投资基金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12,363,686.43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34,741,715.56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3,822,295.16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50,962.05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722,519.60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11,549.47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98,657,884.21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106,836,544.12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98,657,884.21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106,836,544.12</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2,188,666.17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3,130.63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8,555.53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442,938.28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747.22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1,996.07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118,203,116.55</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141,650,073.95</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0.99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19.77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94,680.99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139,878.17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196,869.15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23,313.04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32,811.53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208,061.99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211,123.13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297,073.08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270,000.00</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763,008.26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710,823.58</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119,237,089.66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160,381,409.28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-1,796,981.37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-19,442,158.91</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117,440,108.29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140,939,250.37</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118,203,116.55</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141,650,073.95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0.9849</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119,237,089.66</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47" w:name="_Toc390421251"/>
      <w:bookmarkStart w:id="48" w:name="_Toc225498269"/>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47"/>
      <w:bookmarkEnd w:id="48"/>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上投摩根香港精选港股通混合型证券投资基金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8</w:t>
            </w:r>
            <w:r w:rsidRPr="00C56F63">
              <w:rPr>
                <w:rFonts w:ascii="Times New Roman" w:eastAsiaTheme="minorEastAsia" w:hAnsi="Times New Roman"/>
                <w:b/>
                <w:color w:val="000000"/>
                <w:sz w:val="21"/>
                <w:szCs w:val="21"/>
              </w:rPr>
              <w:t>日（基金合同生效日）至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19,583,792.87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-493,559.36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73,672.54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110,155.54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73,672.54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110,155.54</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3,729,952.63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-395,168.09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2,836,943.31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-403,168.09</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893,009.32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8,000.00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15,720,687.99</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-208,546.81</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59,479.71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2,083,672.88</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329,550.83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985,766.87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211,698.39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164,294.51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35,283.05</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844,728.41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52,169.34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E62EC2">
        <w:tblPrEx>
          <w:tblLook w:val="00A0" w:firstRow="1" w:lastRow="0" w:firstColumn="1" w:lastColumn="0" w:noHBand="0" w:noVBand="0"/>
        </w:tblPrEx>
        <w:tc>
          <w:tcPr>
            <w:tcW w:w="3420" w:type="dxa"/>
            <w:vAlign w:val="center"/>
          </w:tcPr>
          <w:p w:rsidR="00572E9A" w:rsidRPr="00C56F63" w:rsidRDefault="00572E9A" w:rsidP="00E62EC2">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E62EC2">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E62EC2">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572E9A" w:rsidRPr="00C56F63" w:rsidRDefault="00572E9A" w:rsidP="00E62EC2">
            <w:pPr>
              <w:jc w:val="right"/>
              <w:rPr>
                <w:rFonts w:eastAsiaTheme="minorEastAsia"/>
                <w:color w:val="000000"/>
                <w:szCs w:val="21"/>
              </w:rPr>
            </w:pPr>
            <w:r w:rsidRPr="00C56F63">
              <w:rPr>
                <w:rFonts w:eastAsiaTheme="minorEastAsia"/>
                <w:color w:val="000000"/>
                <w:szCs w:val="21"/>
              </w:rPr>
              <w:t>-</w:t>
            </w:r>
          </w:p>
        </w:tc>
      </w:tr>
      <w:tr w:rsidR="00572E9A" w:rsidRPr="00C56F63" w:rsidTr="00E62EC2">
        <w:tblPrEx>
          <w:tblLook w:val="00A0" w:firstRow="1" w:lastRow="0" w:firstColumn="1" w:lastColumn="0" w:noHBand="0" w:noVBand="0"/>
        </w:tblPrEx>
        <w:tc>
          <w:tcPr>
            <w:tcW w:w="3420" w:type="dxa"/>
            <w:vAlign w:val="center"/>
          </w:tcPr>
          <w:p w:rsidR="00572E9A" w:rsidRPr="00C56F63" w:rsidRDefault="00572E9A" w:rsidP="00E62EC2">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E62EC2">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E62EC2">
            <w:pPr>
              <w:jc w:val="right"/>
              <w:rPr>
                <w:rFonts w:eastAsiaTheme="minorEastAsia"/>
                <w:color w:val="000000"/>
                <w:szCs w:val="21"/>
              </w:rPr>
            </w:pPr>
            <w:r w:rsidRPr="00C56F63">
              <w:rPr>
                <w:rFonts w:eastAsiaTheme="minorEastAsia"/>
                <w:color w:val="000000"/>
                <w:szCs w:val="21"/>
              </w:rPr>
              <w:t>88,883.09</w:t>
            </w:r>
          </w:p>
        </w:tc>
        <w:tc>
          <w:tcPr>
            <w:tcW w:w="2250" w:type="dxa"/>
            <w:vAlign w:val="bottom"/>
          </w:tcPr>
          <w:p w:rsidR="00572E9A" w:rsidRPr="00C56F63" w:rsidRDefault="00572E9A" w:rsidP="00E62EC2">
            <w:pPr>
              <w:jc w:val="right"/>
              <w:rPr>
                <w:rFonts w:eastAsiaTheme="minorEastAsia"/>
                <w:color w:val="000000"/>
                <w:szCs w:val="21"/>
              </w:rPr>
            </w:pPr>
            <w:r w:rsidRPr="00C56F63">
              <w:rPr>
                <w:rFonts w:eastAsiaTheme="minorEastAsia"/>
                <w:color w:val="000000"/>
                <w:szCs w:val="21"/>
              </w:rPr>
              <w:t>30,400.05</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17,500,119.99</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-823,110.19</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17,500,119.99</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-823,110.19</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49" w:name="_Toc225498270"/>
      <w:bookmarkStart w:id="50" w:name="_Toc390421252"/>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49"/>
      <w:bookmarkEnd w:id="50"/>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上投摩根香港精选港股通混合型证券投资基金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160,381,409.28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-19,442,158.91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140,939,250.37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17,500,119.99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17,500,119.99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-41,144,319.62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145,057.55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-40,999,262.07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3,095,101.56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-72,697.08</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3,022,404.48</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-44,239,421.18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217,754.63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-44,021,666.55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119,237,089.66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-1,796,981.37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117,440,108.29</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8</w:t>
            </w:r>
            <w:r w:rsidRPr="00C56F63">
              <w:rPr>
                <w:rFonts w:ascii="Times New Roman" w:eastAsiaTheme="minorEastAsia" w:hAnsi="Times New Roman"/>
                <w:b/>
                <w:color w:val="000000"/>
                <w:sz w:val="21"/>
                <w:szCs w:val="21"/>
              </w:rPr>
              <w:t>日（基金合同生效日）至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234,515,495.41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234,515,495.41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w:t>
            </w:r>
            <w:r w:rsidRPr="00C56F63">
              <w:rPr>
                <w:rFonts w:eastAsiaTheme="minorEastAsia"/>
                <w:color w:val="000000"/>
                <w:szCs w:val="21"/>
              </w:rPr>
              <w:lastRenderedPageBreak/>
              <w:t>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lastRenderedPageBreak/>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-823,110.19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-823,110.19</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234,515,495.41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-823,110.19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233,692,385.22</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51" w:name="_Toc390421253"/>
      <w:bookmarkStart w:id="52" w:name="_Toc225498271"/>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51"/>
      <w:bookmarkEnd w:id="5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上投摩根香港精选港股通混合型证券投资基金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[2018]</w:t>
      </w:r>
      <w:r>
        <w:rPr>
          <w:rFonts w:eastAsiaTheme="minorEastAsia"/>
          <w:color w:val="000000"/>
          <w:szCs w:val="21"/>
        </w:rPr>
        <w:t>第</w:t>
      </w:r>
      <w:r>
        <w:rPr>
          <w:rFonts w:eastAsiaTheme="minorEastAsia"/>
          <w:color w:val="000000"/>
          <w:szCs w:val="21"/>
        </w:rPr>
        <w:t>280</w:t>
      </w:r>
      <w:r>
        <w:rPr>
          <w:rFonts w:eastAsiaTheme="minorEastAsia"/>
          <w:color w:val="000000"/>
          <w:szCs w:val="21"/>
        </w:rPr>
        <w:t>号《关于准予上投摩根香港精选港股通混合型证券投资基金注册的批复》核准，由上投摩根基金管理有限公司依照《中华人民共和国证券投资基金法》和《上投摩根香港精选港股通混合型证券投资基金基金合同》负责公开募集。本基金为契约型开放式，存续期限不定，首次设立募集不包括认购资金利息共募集人民币</w:t>
      </w:r>
      <w:r>
        <w:rPr>
          <w:rFonts w:eastAsiaTheme="minorEastAsia"/>
          <w:color w:val="000000"/>
          <w:szCs w:val="21"/>
        </w:rPr>
        <w:t>234,433,457.53</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(2018)</w:t>
      </w:r>
      <w:r>
        <w:rPr>
          <w:rFonts w:eastAsiaTheme="minorEastAsia"/>
          <w:color w:val="000000"/>
          <w:szCs w:val="21"/>
        </w:rPr>
        <w:t>第</w:t>
      </w:r>
      <w:r>
        <w:rPr>
          <w:rFonts w:eastAsiaTheme="minorEastAsia"/>
          <w:color w:val="000000"/>
          <w:szCs w:val="21"/>
        </w:rPr>
        <w:t>0267</w:t>
      </w:r>
      <w:r>
        <w:rPr>
          <w:rFonts w:eastAsiaTheme="minorEastAsia"/>
          <w:color w:val="000000"/>
          <w:szCs w:val="21"/>
        </w:rPr>
        <w:t>号验资报告予以验证。经向中国证监会备案，《上投摩根香港精选港股通混合型证券投资基金基金合同》于</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8</w:t>
      </w:r>
      <w:r>
        <w:rPr>
          <w:rFonts w:eastAsiaTheme="minorEastAsia"/>
          <w:color w:val="000000"/>
          <w:szCs w:val="21"/>
        </w:rPr>
        <w:t>日正式生效，基金合同生效日的基金份额总额为</w:t>
      </w:r>
      <w:r>
        <w:rPr>
          <w:rFonts w:eastAsiaTheme="minorEastAsia"/>
          <w:color w:val="000000"/>
          <w:szCs w:val="21"/>
        </w:rPr>
        <w:t>234,515,495.41</w:t>
      </w:r>
      <w:r>
        <w:rPr>
          <w:rFonts w:eastAsiaTheme="minorEastAsia"/>
          <w:color w:val="000000"/>
          <w:szCs w:val="21"/>
        </w:rPr>
        <w:t>份基金份额，其中认购资金利息折合</w:t>
      </w:r>
      <w:r>
        <w:rPr>
          <w:rFonts w:eastAsiaTheme="minorEastAsia"/>
          <w:color w:val="000000"/>
          <w:szCs w:val="21"/>
        </w:rPr>
        <w:t>82,037.88</w:t>
      </w:r>
      <w:r>
        <w:rPr>
          <w:rFonts w:eastAsiaTheme="minorEastAsia"/>
          <w:color w:val="000000"/>
          <w:szCs w:val="21"/>
        </w:rPr>
        <w:t>份基金份额。本基金的基金管理人为上投摩根基金管理有限公司，基金托管人为中国工商银行股份有限公司。</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根据《中华人民共和国证券投资基金法》和《上投摩根香港精选港股通混合型证券投资基金基金合同》的有关规定，本基金的投资范围为具有良好流动性的金融工具，包括国内依法发行上市的股票</w:t>
      </w:r>
      <w:r>
        <w:rPr>
          <w:rFonts w:eastAsiaTheme="minorEastAsia"/>
          <w:color w:val="000000"/>
          <w:szCs w:val="21"/>
        </w:rPr>
        <w:t>(</w:t>
      </w:r>
      <w:r>
        <w:rPr>
          <w:rFonts w:eastAsiaTheme="minorEastAsia"/>
          <w:color w:val="000000"/>
          <w:szCs w:val="21"/>
        </w:rPr>
        <w:t>含中小板、创业板及其他经中国证监会核准上市的股票</w:t>
      </w:r>
      <w:r>
        <w:rPr>
          <w:rFonts w:eastAsiaTheme="minorEastAsia"/>
          <w:color w:val="000000"/>
          <w:szCs w:val="21"/>
        </w:rPr>
        <w:t>)</w:t>
      </w:r>
      <w:r>
        <w:rPr>
          <w:rFonts w:eastAsiaTheme="minorEastAsia"/>
          <w:color w:val="000000"/>
          <w:szCs w:val="21"/>
        </w:rPr>
        <w:t>、港股通标的股票、权证、债券</w:t>
      </w:r>
      <w:r>
        <w:rPr>
          <w:rFonts w:eastAsiaTheme="minorEastAsia"/>
          <w:color w:val="000000"/>
          <w:szCs w:val="21"/>
        </w:rPr>
        <w:t>(</w:t>
      </w:r>
      <w:r>
        <w:rPr>
          <w:rFonts w:eastAsiaTheme="minorEastAsia"/>
          <w:color w:val="000000"/>
          <w:szCs w:val="21"/>
        </w:rPr>
        <w:t>国债、央行票据、地方政府债、金融债、次级债、企业债、公司债、短期融资券、超短期融资券、中期票据、可转换债券</w:t>
      </w:r>
      <w:r>
        <w:rPr>
          <w:rFonts w:eastAsiaTheme="minorEastAsia"/>
          <w:color w:val="000000"/>
          <w:szCs w:val="21"/>
        </w:rPr>
        <w:t>(</w:t>
      </w:r>
      <w:r>
        <w:rPr>
          <w:rFonts w:eastAsiaTheme="minorEastAsia"/>
          <w:color w:val="000000"/>
          <w:szCs w:val="21"/>
        </w:rPr>
        <w:t>含可分离交易可转债</w:t>
      </w:r>
      <w:r>
        <w:rPr>
          <w:rFonts w:eastAsiaTheme="minorEastAsia"/>
          <w:color w:val="000000"/>
          <w:szCs w:val="21"/>
        </w:rPr>
        <w:t>)</w:t>
      </w:r>
      <w:r>
        <w:rPr>
          <w:rFonts w:eastAsiaTheme="minorEastAsia"/>
          <w:color w:val="000000"/>
          <w:szCs w:val="21"/>
        </w:rPr>
        <w:t>、可交换债券、证券公司短期公司债券、中小企业私募债</w:t>
      </w:r>
      <w:r>
        <w:rPr>
          <w:rFonts w:eastAsiaTheme="minorEastAsia"/>
          <w:color w:val="000000"/>
          <w:szCs w:val="21"/>
        </w:rPr>
        <w:t>)</w:t>
      </w:r>
      <w:r>
        <w:rPr>
          <w:rFonts w:eastAsiaTheme="minorEastAsia"/>
          <w:color w:val="000000"/>
          <w:szCs w:val="21"/>
        </w:rPr>
        <w:t>、</w:t>
      </w:r>
      <w:r>
        <w:rPr>
          <w:rFonts w:eastAsiaTheme="minorEastAsia"/>
          <w:color w:val="000000"/>
          <w:szCs w:val="21"/>
        </w:rPr>
        <w:lastRenderedPageBreak/>
        <w:t>资产支持证券、债券回购、银行存款、同业存单、股指期货、股票期权及法律法规或中国证监会允许基金投资的其他金融工具。本基金的投资组合比例为：股票资产占基金资产的</w:t>
      </w:r>
      <w:r>
        <w:rPr>
          <w:rFonts w:eastAsiaTheme="minorEastAsia"/>
          <w:color w:val="000000"/>
          <w:szCs w:val="21"/>
        </w:rPr>
        <w:t>50%-95%</w:t>
      </w:r>
      <w:r>
        <w:rPr>
          <w:rFonts w:eastAsiaTheme="minorEastAsia"/>
          <w:color w:val="000000"/>
          <w:szCs w:val="21"/>
        </w:rPr>
        <w:t>，其中，港股通标的股票投资比例不低于非现金基金资产的</w:t>
      </w:r>
      <w:r>
        <w:rPr>
          <w:rFonts w:eastAsiaTheme="minorEastAsia"/>
          <w:color w:val="000000"/>
          <w:szCs w:val="21"/>
        </w:rPr>
        <w:t>80%</w:t>
      </w:r>
      <w:r>
        <w:rPr>
          <w:rFonts w:eastAsiaTheme="minorEastAsia"/>
          <w:color w:val="000000"/>
          <w:szCs w:val="21"/>
        </w:rPr>
        <w:t>；权证投资占基金资产净值的</w:t>
      </w:r>
      <w:r>
        <w:rPr>
          <w:rFonts w:eastAsiaTheme="minorEastAsia"/>
          <w:color w:val="000000"/>
          <w:szCs w:val="21"/>
        </w:rPr>
        <w:t>0-3%</w:t>
      </w:r>
      <w:r>
        <w:rPr>
          <w:rFonts w:eastAsiaTheme="minorEastAsia"/>
          <w:color w:val="000000"/>
          <w:szCs w:val="21"/>
        </w:rPr>
        <w:t>；每个交易日日终在扣除股指期货和股票期权合约需缴纳的交易保证金后，保持不低于基金资产净值</w:t>
      </w:r>
      <w:r>
        <w:rPr>
          <w:rFonts w:eastAsiaTheme="minorEastAsia"/>
          <w:color w:val="000000"/>
          <w:szCs w:val="21"/>
        </w:rPr>
        <w:t>5</w:t>
      </w:r>
      <w:r>
        <w:rPr>
          <w:rFonts w:eastAsiaTheme="minorEastAsia"/>
          <w:color w:val="000000"/>
          <w:szCs w:val="21"/>
        </w:rPr>
        <w:t>％的现金或者到期日在一年以内的政府债券，其中现金不包括结算备付金、存出保证金、应收申购款等。本基金的业绩比较基准为：中证港股通综合指数收益率</w:t>
      </w:r>
      <w:r>
        <w:rPr>
          <w:rFonts w:eastAsiaTheme="minorEastAsia"/>
          <w:color w:val="000000"/>
          <w:szCs w:val="21"/>
        </w:rPr>
        <w:t>×70%+</w:t>
      </w:r>
      <w:r>
        <w:rPr>
          <w:rFonts w:eastAsiaTheme="minorEastAsia"/>
          <w:color w:val="000000"/>
          <w:szCs w:val="21"/>
        </w:rPr>
        <w:t>中债总指数收益率</w:t>
      </w:r>
      <w:r>
        <w:rPr>
          <w:rFonts w:eastAsiaTheme="minorEastAsia"/>
          <w:color w:val="000000"/>
          <w:szCs w:val="21"/>
        </w:rPr>
        <w:t>×30%</w:t>
      </w:r>
      <w:r>
        <w:rPr>
          <w:rFonts w:eastAsiaTheme="minorEastAsia"/>
          <w:color w:val="000000"/>
          <w:szCs w:val="21"/>
        </w:rPr>
        <w:t>。</w:t>
      </w:r>
    </w:p>
    <w:p w:rsidR="005B2D52" w:rsidRDefault="005B2D52">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 xml:space="preserve"> 2019 </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23</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本基金的财务报表按照财政部于</w:t>
      </w:r>
      <w:r w:rsidRPr="00C56F63">
        <w:rPr>
          <w:rFonts w:eastAsiaTheme="minorEastAsia"/>
          <w:color w:val="000000"/>
          <w:szCs w:val="21"/>
        </w:rPr>
        <w:t>2006</w:t>
      </w:r>
      <w:r w:rsidRPr="00C56F63">
        <w:rPr>
          <w:rFonts w:eastAsiaTheme="minorEastAsia"/>
          <w:color w:val="000000"/>
          <w:szCs w:val="21"/>
        </w:rPr>
        <w:t>年</w:t>
      </w:r>
      <w:r w:rsidRPr="00C56F63">
        <w:rPr>
          <w:rFonts w:eastAsiaTheme="minorEastAsia"/>
          <w:color w:val="000000"/>
          <w:szCs w:val="21"/>
        </w:rPr>
        <w:t>2</w:t>
      </w:r>
      <w:r w:rsidRPr="00C56F63">
        <w:rPr>
          <w:rFonts w:eastAsiaTheme="minorEastAsia"/>
          <w:color w:val="000000"/>
          <w:szCs w:val="21"/>
        </w:rPr>
        <w:t>月</w:t>
      </w:r>
      <w:r w:rsidRPr="00C56F63">
        <w:rPr>
          <w:rFonts w:eastAsiaTheme="minorEastAsia"/>
          <w:color w:val="000000"/>
          <w:szCs w:val="21"/>
        </w:rPr>
        <w:t>15</w:t>
      </w:r>
      <w:r w:rsidRPr="00C56F63">
        <w:rPr>
          <w:rFonts w:eastAsiaTheme="minorEastAsia"/>
          <w:color w:val="000000"/>
          <w:szCs w:val="21"/>
        </w:rPr>
        <w:t>日及以后期间颁布的《企业会计准则－基本准则》、各项具体会计准则及相关规定</w:t>
      </w:r>
      <w:r w:rsidRPr="00C56F63">
        <w:rPr>
          <w:rFonts w:eastAsiaTheme="minorEastAsia"/>
          <w:color w:val="000000"/>
          <w:szCs w:val="21"/>
        </w:rPr>
        <w:t>(</w:t>
      </w:r>
      <w:r w:rsidRPr="00C56F63">
        <w:rPr>
          <w:rFonts w:eastAsiaTheme="minorEastAsia"/>
          <w:color w:val="000000"/>
          <w:szCs w:val="21"/>
        </w:rPr>
        <w:t>以下合称</w:t>
      </w:r>
      <w:r w:rsidRPr="00C56F63">
        <w:rPr>
          <w:rFonts w:eastAsiaTheme="minorEastAsia"/>
          <w:color w:val="000000"/>
          <w:szCs w:val="21"/>
        </w:rPr>
        <w:t>“</w:t>
      </w:r>
      <w:r w:rsidRPr="00C56F63">
        <w:rPr>
          <w:rFonts w:eastAsiaTheme="minorEastAsia"/>
          <w:color w:val="000000"/>
          <w:szCs w:val="21"/>
        </w:rPr>
        <w:t>企业会计准则</w:t>
      </w:r>
      <w:r w:rsidRPr="00C56F63">
        <w:rPr>
          <w:rFonts w:eastAsiaTheme="minorEastAsia"/>
          <w:color w:val="000000"/>
          <w:szCs w:val="21"/>
        </w:rPr>
        <w:t>”)</w:t>
      </w:r>
      <w:r w:rsidRPr="00C56F63">
        <w:rPr>
          <w:rFonts w:eastAsiaTheme="minorEastAsia"/>
          <w:color w:val="000000"/>
          <w:szCs w:val="21"/>
        </w:rPr>
        <w:t>、中国证监会颁布的《证券投资基金信息披露</w:t>
      </w:r>
      <w:r w:rsidRPr="00C56F63">
        <w:rPr>
          <w:rFonts w:eastAsiaTheme="minorEastAsia"/>
          <w:color w:val="000000"/>
          <w:szCs w:val="21"/>
        </w:rPr>
        <w:t>XBRL</w:t>
      </w:r>
      <w:r w:rsidRPr="00C56F63">
        <w:rPr>
          <w:rFonts w:eastAsiaTheme="minorEastAsia"/>
          <w:color w:val="000000"/>
          <w:szCs w:val="21"/>
        </w:rPr>
        <w:t>模板第</w:t>
      </w:r>
      <w:r w:rsidRPr="00C56F63">
        <w:rPr>
          <w:rFonts w:eastAsiaTheme="minorEastAsia"/>
          <w:color w:val="000000"/>
          <w:szCs w:val="21"/>
        </w:rPr>
        <w:t>3</w:t>
      </w:r>
      <w:r w:rsidRPr="00C56F63">
        <w:rPr>
          <w:rFonts w:eastAsiaTheme="minorEastAsia"/>
          <w:color w:val="000000"/>
          <w:szCs w:val="21"/>
        </w:rPr>
        <w:t>号</w:t>
      </w:r>
      <w:r w:rsidRPr="00C56F63">
        <w:rPr>
          <w:rFonts w:eastAsiaTheme="minorEastAsia"/>
          <w:color w:val="000000"/>
          <w:szCs w:val="21"/>
        </w:rPr>
        <w:t>&lt;</w:t>
      </w:r>
      <w:r w:rsidRPr="00C56F63">
        <w:rPr>
          <w:rFonts w:eastAsiaTheme="minorEastAsia"/>
          <w:color w:val="000000"/>
          <w:szCs w:val="21"/>
        </w:rPr>
        <w:t>年度报告和半年度报告</w:t>
      </w:r>
      <w:r w:rsidRPr="00C56F63">
        <w:rPr>
          <w:rFonts w:eastAsiaTheme="minorEastAsia"/>
          <w:color w:val="000000"/>
          <w:szCs w:val="21"/>
        </w:rPr>
        <w:t>&gt;</w:t>
      </w:r>
      <w:r w:rsidRPr="00C56F63">
        <w:rPr>
          <w:rFonts w:eastAsiaTheme="minorEastAsia"/>
          <w:color w:val="000000"/>
          <w:szCs w:val="21"/>
        </w:rPr>
        <w:t>》、中国证券投资基金业协会</w:t>
      </w:r>
      <w:r w:rsidRPr="00C56F63">
        <w:rPr>
          <w:rFonts w:eastAsiaTheme="minorEastAsia"/>
          <w:color w:val="000000"/>
          <w:szCs w:val="21"/>
        </w:rPr>
        <w:t>(</w:t>
      </w:r>
      <w:r w:rsidRPr="00C56F63">
        <w:rPr>
          <w:rFonts w:eastAsiaTheme="minorEastAsia"/>
          <w:color w:val="000000"/>
          <w:szCs w:val="21"/>
        </w:rPr>
        <w:t>以下简称</w:t>
      </w:r>
      <w:r w:rsidRPr="00C56F63">
        <w:rPr>
          <w:rFonts w:eastAsiaTheme="minorEastAsia"/>
          <w:color w:val="000000"/>
          <w:szCs w:val="21"/>
        </w:rPr>
        <w:t>“</w:t>
      </w:r>
      <w:r w:rsidRPr="00C56F63">
        <w:rPr>
          <w:rFonts w:eastAsiaTheme="minorEastAsia"/>
          <w:color w:val="000000"/>
          <w:szCs w:val="21"/>
        </w:rPr>
        <w:t>中国基金业协会</w:t>
      </w:r>
      <w:r w:rsidRPr="00C56F63">
        <w:rPr>
          <w:rFonts w:eastAsiaTheme="minorEastAsia"/>
          <w:color w:val="000000"/>
          <w:szCs w:val="21"/>
        </w:rPr>
        <w:t>”)</w:t>
      </w:r>
      <w:r w:rsidRPr="00C56F63">
        <w:rPr>
          <w:rFonts w:eastAsiaTheme="minorEastAsia"/>
          <w:color w:val="000000"/>
          <w:szCs w:val="21"/>
        </w:rPr>
        <w:t>颁布的《证券投资基金会计核算业务指引》、《上投摩根香港精选港股通混合型证券投资基金基金合同》和在财务报表附注</w:t>
      </w:r>
      <w:r w:rsidRPr="00C56F63">
        <w:rPr>
          <w:rFonts w:eastAsiaTheme="minorEastAsia"/>
          <w:color w:val="000000"/>
          <w:szCs w:val="21"/>
        </w:rPr>
        <w:t>6.4.4</w:t>
      </w:r>
      <w:r w:rsidRPr="00C56F63">
        <w:rPr>
          <w:rFonts w:eastAsiaTheme="minorEastAsia"/>
          <w:color w:val="000000"/>
          <w:szCs w:val="21"/>
        </w:rPr>
        <w:t>所列示的中国证监会、中国基金业协会发布的有关规定及允许的基金行业实务操作编制。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2019</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2019</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[2014]81</w:t>
      </w:r>
      <w:r>
        <w:rPr>
          <w:rFonts w:eastAsiaTheme="minorEastAsia"/>
          <w:color w:val="000000"/>
          <w:szCs w:val="21"/>
        </w:rPr>
        <w:t>号《财政部国家税务总局证监会关于沪港股票市场交易互联互通机制试点有关税收政策的通知》、财税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[2016]127</w:t>
      </w:r>
      <w:r>
        <w:rPr>
          <w:rFonts w:eastAsiaTheme="minorEastAsia"/>
          <w:color w:val="000000"/>
          <w:szCs w:val="21"/>
        </w:rPr>
        <w:t>号《财政部国家税务总局证监会关于深港股票市场交易互联互通机制试点有关税收政策的通知》、财税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w:t>
      </w:r>
      <w:r>
        <w:rPr>
          <w:rFonts w:eastAsiaTheme="minorEastAsia"/>
          <w:color w:val="000000"/>
          <w:szCs w:val="21"/>
        </w:rPr>
        <w:lastRenderedPageBreak/>
        <w:t>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对基金通过沪港通或深港通投资香港联交所上市</w:t>
      </w:r>
      <w:r>
        <w:rPr>
          <w:rFonts w:eastAsiaTheme="minorEastAsia"/>
          <w:color w:val="000000"/>
          <w:szCs w:val="21"/>
        </w:rPr>
        <w:t>H</w:t>
      </w:r>
      <w:r>
        <w:rPr>
          <w:rFonts w:eastAsiaTheme="minorEastAsia"/>
          <w:color w:val="000000"/>
          <w:szCs w:val="21"/>
        </w:rPr>
        <w:t>股取得的股息红利，</w:t>
      </w:r>
      <w:r>
        <w:rPr>
          <w:rFonts w:eastAsiaTheme="minorEastAsia"/>
          <w:color w:val="000000"/>
          <w:szCs w:val="21"/>
        </w:rPr>
        <w:t>H</w:t>
      </w:r>
      <w:r>
        <w:rPr>
          <w:rFonts w:eastAsiaTheme="minorEastAsia"/>
          <w:color w:val="000000"/>
          <w:szCs w:val="21"/>
        </w:rPr>
        <w:t>股公司应向中国证券登记结算有限责任公司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中国结算</w:t>
      </w:r>
      <w:r>
        <w:rPr>
          <w:rFonts w:eastAsiaTheme="minorEastAsia"/>
          <w:color w:val="000000"/>
          <w:szCs w:val="21"/>
        </w:rPr>
        <w:t>”)</w:t>
      </w:r>
      <w:r>
        <w:rPr>
          <w:rFonts w:eastAsiaTheme="minorEastAsia"/>
          <w:color w:val="000000"/>
          <w:szCs w:val="21"/>
        </w:rPr>
        <w:t>提出申请，由中国结算向</w:t>
      </w:r>
      <w:r>
        <w:rPr>
          <w:rFonts w:eastAsiaTheme="minorEastAsia"/>
          <w:color w:val="000000"/>
          <w:szCs w:val="21"/>
        </w:rPr>
        <w:t>H</w:t>
      </w:r>
      <w:r>
        <w:rPr>
          <w:rFonts w:eastAsiaTheme="minorEastAsia"/>
          <w:color w:val="000000"/>
          <w:szCs w:val="21"/>
        </w:rPr>
        <w:t>股公司提供内地个人投资者名册，</w:t>
      </w:r>
      <w:r>
        <w:rPr>
          <w:rFonts w:eastAsiaTheme="minorEastAsia"/>
          <w:color w:val="000000"/>
          <w:szCs w:val="21"/>
        </w:rPr>
        <w:t>H</w:t>
      </w:r>
      <w:r>
        <w:rPr>
          <w:rFonts w:eastAsiaTheme="minorEastAsia"/>
          <w:color w:val="000000"/>
          <w:szCs w:val="21"/>
        </w:rPr>
        <w:t>股公司按照</w:t>
      </w:r>
      <w:r>
        <w:rPr>
          <w:rFonts w:eastAsiaTheme="minorEastAsia"/>
          <w:color w:val="000000"/>
          <w:szCs w:val="21"/>
        </w:rPr>
        <w:t>20%</w:t>
      </w:r>
      <w:r>
        <w:rPr>
          <w:rFonts w:eastAsiaTheme="minorEastAsia"/>
          <w:color w:val="000000"/>
          <w:szCs w:val="21"/>
        </w:rPr>
        <w:t>的税率代扣个人所得税。基金通过沪港通或深港通投资香港联交所上市的非</w:t>
      </w:r>
      <w:r>
        <w:rPr>
          <w:rFonts w:eastAsiaTheme="minorEastAsia"/>
          <w:color w:val="000000"/>
          <w:szCs w:val="21"/>
        </w:rPr>
        <w:t>H</w:t>
      </w:r>
      <w:r>
        <w:rPr>
          <w:rFonts w:eastAsiaTheme="minorEastAsia"/>
          <w:color w:val="000000"/>
          <w:szCs w:val="21"/>
        </w:rPr>
        <w:t>股取得的股息红利，由中国结算按照</w:t>
      </w:r>
      <w:r>
        <w:rPr>
          <w:rFonts w:eastAsiaTheme="minorEastAsia"/>
          <w:color w:val="000000"/>
          <w:szCs w:val="21"/>
        </w:rPr>
        <w:t>20%</w:t>
      </w:r>
      <w:r>
        <w:rPr>
          <w:rFonts w:eastAsiaTheme="minorEastAsia"/>
          <w:color w:val="000000"/>
          <w:szCs w:val="21"/>
        </w:rPr>
        <w:t>的税率代扣个人所得税。</w:t>
      </w:r>
    </w:p>
    <w:p w:rsidR="005B2D52" w:rsidRDefault="005B2D52">
      <w:pPr>
        <w:spacing w:line="360" w:lineRule="auto"/>
        <w:ind w:firstLineChars="200" w:firstLine="420"/>
        <w:rPr>
          <w:rFonts w:eastAsiaTheme="minorEastAsia"/>
          <w:color w:val="000000"/>
          <w:szCs w:val="21"/>
        </w:rPr>
      </w:pPr>
    </w:p>
    <w:p w:rsidR="005B2D52" w:rsidRDefault="005B2D52">
      <w:pPr>
        <w:spacing w:line="360" w:lineRule="auto"/>
        <w:ind w:firstLineChars="200" w:firstLine="420"/>
        <w:rPr>
          <w:rFonts w:eastAsiaTheme="minorEastAsia"/>
          <w:color w:val="000000"/>
          <w:szCs w:val="21"/>
        </w:rPr>
      </w:pPr>
    </w:p>
    <w:p w:rsidR="005B2D52" w:rsidRDefault="00DF7773">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的税率缴纳股票交易印花税，买入股票不征收股票交易印花税。基金通过沪港通或深港通买卖、继承、赠与联交所上市股票，按照香港特别行政区现行税法规定缴纳印花税。</w:t>
      </w:r>
    </w:p>
    <w:p w:rsidR="005B2D52" w:rsidRDefault="005B2D52">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E62EC2">
        <w:rPr>
          <w:rFonts w:eastAsiaTheme="minorEastAsia"/>
          <w:b/>
          <w:bCs/>
          <w:color w:val="000000"/>
          <w:kern w:val="0"/>
          <w:szCs w:val="21"/>
        </w:rPr>
        <w:t>7</w:t>
      </w:r>
      <w:r w:rsidRPr="00C56F63">
        <w:rPr>
          <w:rFonts w:eastAsiaTheme="minorEastAsia"/>
          <w:b/>
          <w:bCs/>
          <w:color w:val="000000"/>
          <w:kern w:val="0"/>
          <w:szCs w:val="21"/>
        </w:rPr>
        <w:t xml:space="preserve"> </w:t>
      </w:r>
      <w:r w:rsidRPr="00C56F63">
        <w:rPr>
          <w:rFonts w:eastAsiaTheme="minorEastAsia"/>
          <w:b/>
          <w:color w:val="000000"/>
          <w:kern w:val="0"/>
          <w:szCs w:val="21"/>
        </w:rPr>
        <w:t>关联方关系</w:t>
      </w:r>
    </w:p>
    <w:p w:rsidR="006B65E1" w:rsidRPr="00C56F63" w:rsidRDefault="00945F2E">
      <w:pPr>
        <w:spacing w:line="360" w:lineRule="auto"/>
        <w:rPr>
          <w:rFonts w:eastAsiaTheme="minorEastAsia"/>
          <w:b/>
          <w:kern w:val="0"/>
          <w:szCs w:val="21"/>
        </w:rPr>
      </w:pPr>
      <w:r w:rsidRPr="00C56F63">
        <w:rPr>
          <w:rFonts w:eastAsiaTheme="minorEastAsia"/>
          <w:b/>
          <w:bCs/>
          <w:color w:val="000000"/>
          <w:kern w:val="0"/>
          <w:szCs w:val="21"/>
        </w:rPr>
        <w:t>6.4.</w:t>
      </w:r>
      <w:r w:rsidR="00E62EC2">
        <w:rPr>
          <w:rFonts w:eastAsiaTheme="minorEastAsia"/>
          <w:b/>
          <w:bCs/>
          <w:color w:val="000000"/>
          <w:kern w:val="0"/>
          <w:szCs w:val="21"/>
        </w:rPr>
        <w:t>7</w:t>
      </w:r>
      <w:r w:rsidRPr="00C56F63">
        <w:rPr>
          <w:rFonts w:eastAsiaTheme="minorEastAsia"/>
          <w:b/>
          <w:bCs/>
          <w:color w:val="000000"/>
          <w:kern w:val="0"/>
          <w:szCs w:val="21"/>
        </w:rPr>
        <w:t>.1</w:t>
      </w:r>
      <w:r w:rsidRPr="00C56F63">
        <w:rPr>
          <w:rFonts w:eastAsiaTheme="minorEastAsia"/>
          <w:b/>
          <w:kern w:val="0"/>
          <w:szCs w:val="21"/>
        </w:rPr>
        <w:t>本报告期存在控制关系或其他重大利害关系的关联方发生变化的情况</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6.4.</w:t>
      </w:r>
      <w:r w:rsidR="00E62EC2">
        <w:rPr>
          <w:rFonts w:eastAsiaTheme="minorEastAsia"/>
          <w:b/>
          <w:bCs/>
          <w:color w:val="000000"/>
          <w:kern w:val="0"/>
          <w:szCs w:val="21"/>
        </w:rPr>
        <w:t>7</w:t>
      </w:r>
      <w:r w:rsidRPr="00C56F63">
        <w:rPr>
          <w:rFonts w:eastAsiaTheme="minorEastAsia"/>
          <w:b/>
          <w:bCs/>
          <w:color w:val="000000"/>
          <w:kern w:val="0"/>
          <w:szCs w:val="21"/>
        </w:rPr>
        <w:t xml:space="preserve">.2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5B2D52">
        <w:tc>
          <w:tcPr>
            <w:tcW w:w="5220" w:type="dxa"/>
            <w:vAlign w:val="center"/>
          </w:tcPr>
          <w:p w:rsidR="005B2D52" w:rsidRDefault="00DF7773">
            <w:pPr>
              <w:jc w:val="left"/>
            </w:pPr>
            <w:r>
              <w:rPr>
                <w:rFonts w:eastAsiaTheme="minorEastAsia"/>
                <w:color w:val="000000"/>
                <w:szCs w:val="21"/>
              </w:rPr>
              <w:t>上投摩根基金管理有限公司</w:t>
            </w:r>
          </w:p>
        </w:tc>
        <w:tc>
          <w:tcPr>
            <w:tcW w:w="3780" w:type="dxa"/>
            <w:vAlign w:val="center"/>
          </w:tcPr>
          <w:p w:rsidR="005B2D52" w:rsidRDefault="00DF7773">
            <w:pPr>
              <w:jc w:val="left"/>
            </w:pPr>
            <w:r>
              <w:rPr>
                <w:rFonts w:eastAsiaTheme="minorEastAsia"/>
                <w:color w:val="000000"/>
                <w:szCs w:val="21"/>
              </w:rPr>
              <w:t>基金管理人、注册登记机构、基金销售机构</w:t>
            </w:r>
          </w:p>
        </w:tc>
      </w:tr>
      <w:tr w:rsidR="005B2D52">
        <w:tc>
          <w:tcPr>
            <w:tcW w:w="5220" w:type="dxa"/>
            <w:vAlign w:val="center"/>
          </w:tcPr>
          <w:p w:rsidR="005B2D52" w:rsidRDefault="00DF7773">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5B2D52" w:rsidRDefault="00DF7773">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lastRenderedPageBreak/>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日（基金合同生效日）至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930BA" w:rsidRPr="00C56F63">
        <w:tc>
          <w:tcPr>
            <w:tcW w:w="3686" w:type="dxa"/>
            <w:vAlign w:val="center"/>
          </w:tcPr>
          <w:p w:rsidR="006930BA" w:rsidRPr="00C56F63" w:rsidRDefault="006930BA" w:rsidP="006930BA">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930BA" w:rsidRPr="00C56F63" w:rsidRDefault="006930BA" w:rsidP="006930BA">
            <w:pPr>
              <w:jc w:val="right"/>
              <w:rPr>
                <w:rFonts w:eastAsiaTheme="minorEastAsia"/>
                <w:szCs w:val="21"/>
              </w:rPr>
            </w:pPr>
            <w:r w:rsidRPr="00C56F63">
              <w:rPr>
                <w:rFonts w:eastAsiaTheme="minorEastAsia"/>
                <w:szCs w:val="21"/>
              </w:rPr>
              <w:t>985,766.87</w:t>
            </w:r>
          </w:p>
        </w:tc>
        <w:tc>
          <w:tcPr>
            <w:tcW w:w="2729" w:type="dxa"/>
            <w:vAlign w:val="center"/>
          </w:tcPr>
          <w:p w:rsidR="006930BA" w:rsidRPr="00C56F63" w:rsidRDefault="006930BA" w:rsidP="006930BA">
            <w:pPr>
              <w:jc w:val="right"/>
              <w:rPr>
                <w:rFonts w:eastAsiaTheme="minorEastAsia"/>
                <w:szCs w:val="21"/>
              </w:rPr>
            </w:pPr>
            <w:r>
              <w:rPr>
                <w:rFonts w:eastAsiaTheme="minorEastAsia"/>
                <w:szCs w:val="21"/>
              </w:rPr>
              <w:t>211,698.39</w:t>
            </w:r>
          </w:p>
        </w:tc>
      </w:tr>
      <w:tr w:rsidR="006930BA" w:rsidRPr="00C56F63">
        <w:tc>
          <w:tcPr>
            <w:tcW w:w="3686" w:type="dxa"/>
            <w:vAlign w:val="center"/>
          </w:tcPr>
          <w:p w:rsidR="006930BA" w:rsidRPr="00C56F63" w:rsidRDefault="006930BA" w:rsidP="006930BA">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930BA" w:rsidRPr="00C56F63" w:rsidRDefault="006930BA" w:rsidP="006930BA">
            <w:pPr>
              <w:jc w:val="right"/>
              <w:rPr>
                <w:rFonts w:eastAsiaTheme="minorEastAsia"/>
                <w:szCs w:val="21"/>
              </w:rPr>
            </w:pPr>
            <w:r w:rsidRPr="00C56F63">
              <w:rPr>
                <w:rFonts w:eastAsiaTheme="minorEastAsia"/>
                <w:szCs w:val="21"/>
              </w:rPr>
              <w:t>515,080.25</w:t>
            </w:r>
          </w:p>
        </w:tc>
        <w:tc>
          <w:tcPr>
            <w:tcW w:w="2729" w:type="dxa"/>
            <w:vAlign w:val="center"/>
          </w:tcPr>
          <w:p w:rsidR="006930BA" w:rsidRPr="00C56F63" w:rsidRDefault="00DC5FBC" w:rsidP="006930BA">
            <w:pPr>
              <w:jc w:val="right"/>
              <w:rPr>
                <w:rFonts w:eastAsiaTheme="minorEastAsia"/>
                <w:szCs w:val="21"/>
              </w:rPr>
            </w:pPr>
            <w:bookmarkStart w:id="53" w:name="_GoBack"/>
            <w:r w:rsidRPr="00DC5FBC">
              <w:rPr>
                <w:rFonts w:eastAsiaTheme="minorEastAsia"/>
                <w:szCs w:val="21"/>
              </w:rPr>
              <w:t>96</w:t>
            </w:r>
            <w:r>
              <w:rPr>
                <w:rFonts w:eastAsiaTheme="minorEastAsia"/>
                <w:szCs w:val="21"/>
              </w:rPr>
              <w:t>,</w:t>
            </w:r>
            <w:r w:rsidRPr="00DC5FBC">
              <w:rPr>
                <w:rFonts w:eastAsiaTheme="minorEastAsia"/>
                <w:szCs w:val="21"/>
              </w:rPr>
              <w:t>930.26</w:t>
            </w:r>
            <w:bookmarkEnd w:id="53"/>
          </w:p>
        </w:tc>
      </w:tr>
    </w:tbl>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注：支付基金管理人上投摩根基金管理有限公司的管理人报酬按前一日基金资产净值</w:t>
      </w:r>
      <w:r w:rsidRPr="00C56F63">
        <w:rPr>
          <w:rFonts w:eastAsiaTheme="minorEastAsia"/>
          <w:kern w:val="0"/>
          <w:szCs w:val="21"/>
        </w:rPr>
        <w:t>1.5%</w:t>
      </w:r>
      <w:r w:rsidRPr="00C56F63">
        <w:rPr>
          <w:rFonts w:eastAsiaTheme="minorEastAsia"/>
          <w:kern w:val="0"/>
          <w:szCs w:val="21"/>
        </w:rPr>
        <w:t>的年费率计提，逐日累计至每月月底，按月支付。其计算公式为：日管理人报酬＝前一日基金资产净值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日（基金合同生效日）至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164,294.51</w:t>
            </w:r>
          </w:p>
        </w:tc>
        <w:tc>
          <w:tcPr>
            <w:tcW w:w="2588" w:type="dxa"/>
            <w:vAlign w:val="center"/>
          </w:tcPr>
          <w:p w:rsidR="006B65E1" w:rsidRPr="00C56F63" w:rsidRDefault="006930BA">
            <w:pPr>
              <w:jc w:val="right"/>
              <w:rPr>
                <w:rFonts w:eastAsiaTheme="minorEastAsia"/>
                <w:color w:val="000000"/>
                <w:szCs w:val="21"/>
              </w:rPr>
            </w:pPr>
            <w:r>
              <w:rPr>
                <w:rFonts w:eastAsiaTheme="minorEastAsia"/>
                <w:szCs w:val="21"/>
              </w:rPr>
              <w:t>35,283.05</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注：支付基金托管人工商银行的托管费按前一日基金资产净值</w:t>
      </w:r>
      <w:r w:rsidRPr="00C56F63">
        <w:rPr>
          <w:rFonts w:eastAsiaTheme="minorEastAsia"/>
          <w:kern w:val="0"/>
          <w:szCs w:val="21"/>
        </w:rPr>
        <w:t>0.25%</w:t>
      </w:r>
      <w:r w:rsidRPr="00C56F63">
        <w:rPr>
          <w:rFonts w:eastAsiaTheme="minorEastAsia"/>
          <w:kern w:val="0"/>
          <w:szCs w:val="21"/>
        </w:rPr>
        <w:t>的年费率计提，逐日累计至每月月底，按月支付。其计算公式为：日托管费＝前一日基金资产净值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.4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.4.1 </w:t>
      </w:r>
      <w:r w:rsidRPr="00C56F63">
        <w:rPr>
          <w:rFonts w:eastAsiaTheme="minorEastAsia"/>
          <w:b/>
          <w:bCs/>
          <w:color w:val="000000"/>
          <w:szCs w:val="21"/>
        </w:rPr>
        <w:t>报告期内基金管理人运用固有资金投资本基金的情况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.4.2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.5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日（基金合同生效日）至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6930BA">
        <w:tc>
          <w:tcPr>
            <w:tcW w:w="2694" w:type="dxa"/>
            <w:vAlign w:val="center"/>
          </w:tcPr>
          <w:p w:rsidR="006930BA" w:rsidRDefault="006930BA" w:rsidP="006930BA">
            <w:pPr>
              <w:jc w:val="left"/>
            </w:pPr>
            <w:r>
              <w:rPr>
                <w:rFonts w:eastAsiaTheme="minorEastAsia"/>
                <w:szCs w:val="21"/>
              </w:rPr>
              <w:t>中国工商银行</w:t>
            </w:r>
          </w:p>
        </w:tc>
        <w:tc>
          <w:tcPr>
            <w:tcW w:w="1417" w:type="dxa"/>
            <w:vAlign w:val="center"/>
          </w:tcPr>
          <w:p w:rsidR="006930BA" w:rsidRDefault="006930BA" w:rsidP="006930BA">
            <w:pPr>
              <w:jc w:val="right"/>
            </w:pPr>
            <w:r>
              <w:rPr>
                <w:rFonts w:eastAsiaTheme="minorEastAsia"/>
                <w:szCs w:val="21"/>
              </w:rPr>
              <w:t>12,363,686.43</w:t>
            </w:r>
          </w:p>
        </w:tc>
        <w:tc>
          <w:tcPr>
            <w:tcW w:w="1736" w:type="dxa"/>
            <w:vAlign w:val="center"/>
          </w:tcPr>
          <w:p w:rsidR="006930BA" w:rsidRDefault="006930BA" w:rsidP="006930BA">
            <w:pPr>
              <w:jc w:val="right"/>
            </w:pPr>
            <w:r>
              <w:rPr>
                <w:rFonts w:eastAsiaTheme="minorEastAsia"/>
                <w:szCs w:val="21"/>
              </w:rPr>
              <w:t>66,551.36</w:t>
            </w:r>
          </w:p>
        </w:tc>
        <w:tc>
          <w:tcPr>
            <w:tcW w:w="1383" w:type="dxa"/>
            <w:vAlign w:val="center"/>
          </w:tcPr>
          <w:p w:rsidR="006930BA" w:rsidRDefault="006930BA" w:rsidP="006930BA">
            <w:pPr>
              <w:jc w:val="right"/>
            </w:pPr>
            <w:r>
              <w:rPr>
                <w:rFonts w:eastAsiaTheme="minorEastAsia"/>
                <w:szCs w:val="21"/>
              </w:rPr>
              <w:t>217,143</w:t>
            </w:r>
            <w:r>
              <w:rPr>
                <w:rFonts w:eastAsiaTheme="minorEastAsia" w:hint="eastAsia"/>
                <w:szCs w:val="21"/>
              </w:rPr>
              <w:t>,</w:t>
            </w:r>
            <w:r>
              <w:rPr>
                <w:rFonts w:eastAsiaTheme="minorEastAsia"/>
                <w:szCs w:val="21"/>
              </w:rPr>
              <w:t>193.54</w:t>
            </w:r>
          </w:p>
        </w:tc>
        <w:tc>
          <w:tcPr>
            <w:tcW w:w="1770" w:type="dxa"/>
            <w:vAlign w:val="center"/>
          </w:tcPr>
          <w:p w:rsidR="006930BA" w:rsidRDefault="006930BA" w:rsidP="006930BA">
            <w:pPr>
              <w:jc w:val="right"/>
            </w:pPr>
            <w:r>
              <w:rPr>
                <w:rFonts w:eastAsiaTheme="minorEastAsia"/>
                <w:szCs w:val="21"/>
              </w:rPr>
              <w:t>109,610.63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注：本基金的银行存款由基金托管人中国工商银行保管，按银行同业利率计息。</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8</w:t>
      </w:r>
      <w:r w:rsidRPr="00C56F63">
        <w:rPr>
          <w:rFonts w:eastAsiaTheme="minorEastAsia"/>
          <w:b/>
          <w:bCs/>
          <w:color w:val="000000"/>
          <w:kern w:val="0"/>
          <w:szCs w:val="21"/>
        </w:rPr>
        <w:t xml:space="preserve">.6 </w:t>
      </w:r>
      <w:r w:rsidRPr="00C56F63">
        <w:rPr>
          <w:rFonts w:eastAsiaTheme="minorEastAsia"/>
          <w:b/>
          <w:bCs/>
          <w:color w:val="000000"/>
          <w:szCs w:val="21"/>
        </w:rPr>
        <w:t>本基金在承销期内参与关联方承销证券的情况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6.4.</w:t>
      </w:r>
      <w:r w:rsidR="00E62EC2">
        <w:rPr>
          <w:rFonts w:eastAsiaTheme="minorEastAsia"/>
          <w:b/>
          <w:bCs/>
          <w:color w:val="000000" w:themeColor="text1"/>
          <w:kern w:val="0"/>
          <w:szCs w:val="21"/>
        </w:rPr>
        <w:t>8</w:t>
      </w:r>
      <w:r w:rsidRPr="00C56F63">
        <w:rPr>
          <w:rFonts w:eastAsiaTheme="minorEastAsia"/>
          <w:b/>
          <w:bCs/>
          <w:color w:val="000000" w:themeColor="text1"/>
          <w:kern w:val="0"/>
          <w:szCs w:val="21"/>
        </w:rPr>
        <w:t xml:space="preserve">.7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w:t>
      </w:r>
      <w:r w:rsidR="00E62EC2">
        <w:rPr>
          <w:rFonts w:eastAsiaTheme="minorEastAsia"/>
          <w:b/>
          <w:bCs/>
          <w:color w:val="000000" w:themeColor="text1"/>
          <w:kern w:val="0"/>
          <w:szCs w:val="21"/>
        </w:rPr>
        <w:t>8</w:t>
      </w:r>
      <w:r w:rsidRPr="00C56F63">
        <w:rPr>
          <w:rFonts w:eastAsiaTheme="minorEastAsia"/>
          <w:b/>
          <w:bCs/>
          <w:color w:val="000000" w:themeColor="text1"/>
          <w:kern w:val="0"/>
          <w:szCs w:val="21"/>
        </w:rPr>
        <w:t>.7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w:t>
      </w:r>
      <w:r w:rsidR="00E62EC2">
        <w:rPr>
          <w:rFonts w:eastAsiaTheme="minorEastAsia"/>
          <w:b/>
          <w:bCs/>
          <w:color w:val="000000" w:themeColor="text1"/>
          <w:kern w:val="0"/>
          <w:szCs w:val="21"/>
        </w:rPr>
        <w:t>8</w:t>
      </w:r>
      <w:r w:rsidRPr="00C56F63">
        <w:rPr>
          <w:rFonts w:eastAsiaTheme="minorEastAsia"/>
          <w:b/>
          <w:bCs/>
          <w:color w:val="000000" w:themeColor="text1"/>
          <w:kern w:val="0"/>
          <w:szCs w:val="21"/>
        </w:rPr>
        <w:t>.7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9</w:t>
      </w:r>
      <w:r w:rsidRPr="00C56F63">
        <w:rPr>
          <w:rFonts w:eastAsiaTheme="minorEastAsia"/>
          <w:b/>
          <w:bCs/>
          <w:color w:val="000000"/>
          <w:kern w:val="0"/>
          <w:szCs w:val="21"/>
        </w:rPr>
        <w:t xml:space="preserve"> </w:t>
      </w:r>
      <w:r w:rsidRPr="00C56F63">
        <w:rPr>
          <w:rFonts w:eastAsiaTheme="minorEastAsia"/>
          <w:b/>
          <w:bCs/>
          <w:color w:val="000000"/>
          <w:szCs w:val="21"/>
        </w:rPr>
        <w:t>期末（</w:t>
      </w:r>
      <w:r w:rsidRPr="00C56F63">
        <w:rPr>
          <w:rFonts w:eastAsiaTheme="minorEastAsia"/>
          <w:b/>
          <w:bCs/>
          <w:color w:val="000000"/>
          <w:szCs w:val="21"/>
        </w:rPr>
        <w:t>2019</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9</w:t>
      </w:r>
      <w:r w:rsidRPr="00C56F63">
        <w:rPr>
          <w:rFonts w:eastAsiaTheme="minorEastAsia"/>
          <w:b/>
          <w:bCs/>
          <w:color w:val="000000"/>
          <w:kern w:val="0"/>
          <w:szCs w:val="21"/>
        </w:rPr>
        <w:t xml:space="preserve">.1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9</w:t>
      </w:r>
      <w:r w:rsidRPr="00C56F63">
        <w:rPr>
          <w:rFonts w:eastAsiaTheme="minorEastAsia"/>
          <w:b/>
          <w:bCs/>
          <w:color w:val="000000"/>
          <w:kern w:val="0"/>
          <w:szCs w:val="21"/>
        </w:rPr>
        <w:t xml:space="preserve">.2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9</w:t>
      </w:r>
      <w:r w:rsidRPr="00C56F63">
        <w:rPr>
          <w:rFonts w:eastAsiaTheme="minorEastAsia"/>
          <w:b/>
          <w:bCs/>
          <w:color w:val="000000"/>
          <w:kern w:val="0"/>
          <w:szCs w:val="21"/>
        </w:rPr>
        <w:t xml:space="preserve">.3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9</w:t>
      </w:r>
      <w:r w:rsidRPr="00C56F63">
        <w:rPr>
          <w:rFonts w:eastAsiaTheme="minorEastAsia"/>
          <w:b/>
          <w:bCs/>
          <w:color w:val="000000"/>
          <w:kern w:val="0"/>
          <w:szCs w:val="21"/>
        </w:rPr>
        <w:t xml:space="preserve">.3.1 </w:t>
      </w:r>
      <w:r w:rsidRPr="00C56F63">
        <w:rPr>
          <w:rFonts w:eastAsiaTheme="minorEastAsia"/>
          <w:b/>
          <w:bCs/>
          <w:color w:val="000000"/>
          <w:szCs w:val="21"/>
        </w:rPr>
        <w:t>银行间市场债券正回购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E62EC2">
        <w:rPr>
          <w:rFonts w:eastAsiaTheme="minorEastAsia"/>
          <w:b/>
          <w:bCs/>
          <w:color w:val="000000"/>
          <w:kern w:val="0"/>
          <w:szCs w:val="21"/>
        </w:rPr>
        <w:t>9</w:t>
      </w:r>
      <w:r w:rsidRPr="00C56F63">
        <w:rPr>
          <w:rFonts w:eastAsiaTheme="minorEastAsia"/>
          <w:b/>
          <w:bCs/>
          <w:color w:val="000000"/>
          <w:kern w:val="0"/>
          <w:szCs w:val="21"/>
        </w:rPr>
        <w:t xml:space="preserve">.3.2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6.4.1</w:t>
      </w:r>
      <w:r w:rsidR="00E62EC2">
        <w:rPr>
          <w:rFonts w:eastAsiaTheme="minorEastAsia"/>
          <w:b/>
          <w:bCs/>
          <w:color w:val="000000"/>
          <w:kern w:val="0"/>
          <w:szCs w:val="21"/>
        </w:rPr>
        <w:t>0</w:t>
      </w:r>
      <w:r w:rsidRPr="00C56F63">
        <w:rPr>
          <w:rFonts w:eastAsiaTheme="minorEastAsia"/>
          <w:b/>
          <w:bCs/>
          <w:color w:val="000000"/>
          <w:kern w:val="0"/>
          <w:szCs w:val="21"/>
        </w:rPr>
        <w:t xml:space="preserve"> </w:t>
      </w:r>
      <w:r w:rsidRPr="00C56F63">
        <w:rPr>
          <w:rFonts w:eastAsiaTheme="minorEastAsia"/>
          <w:b/>
          <w:color w:val="000000"/>
          <w:szCs w:val="21"/>
        </w:rPr>
        <w:t>有助于理解和分析会计报表需要说明的其他事项</w:t>
      </w:r>
    </w:p>
    <w:p w:rsidR="006B65E1"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E62EC2" w:rsidRPr="00C56F63" w:rsidRDefault="00E62EC2">
      <w:pPr>
        <w:spacing w:line="360" w:lineRule="auto"/>
        <w:ind w:firstLineChars="200" w:firstLine="420"/>
        <w:rPr>
          <w:rFonts w:eastAsiaTheme="minorEastAsia"/>
          <w:color w:val="000000"/>
          <w:szCs w:val="21"/>
        </w:rPr>
      </w:pPr>
    </w:p>
    <w:p w:rsidR="006B65E1" w:rsidRPr="00C56F63" w:rsidRDefault="00945F2E">
      <w:pPr>
        <w:pStyle w:val="1"/>
        <w:jc w:val="center"/>
        <w:rPr>
          <w:rFonts w:eastAsiaTheme="minorEastAsia"/>
          <w:b/>
          <w:sz w:val="21"/>
          <w:szCs w:val="21"/>
        </w:rPr>
      </w:pPr>
      <w:bookmarkStart w:id="54" w:name="_Toc225498272"/>
      <w:bookmarkStart w:id="55" w:name="_Toc374540565"/>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54"/>
      <w:bookmarkEnd w:id="55"/>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56" w:name="_Toc225498273"/>
      <w:bookmarkStart w:id="57" w:name="_Toc361324878"/>
      <w:bookmarkStart w:id="58" w:name="_Toc374374955"/>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56"/>
      <w:bookmarkEnd w:id="57"/>
      <w:bookmarkEnd w:id="58"/>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98,657,884.21</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83.46</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98,657,884.21</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83.46</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E62EC2">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E62EC2">
        <w:tc>
          <w:tcPr>
            <w:tcW w:w="1080" w:type="dxa"/>
            <w:vAlign w:val="center"/>
          </w:tcPr>
          <w:p w:rsidR="00544CCD" w:rsidRPr="00C56F63" w:rsidRDefault="00544CCD" w:rsidP="00E62EC2">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16,185,981.59</w:t>
            </w:r>
          </w:p>
        </w:tc>
        <w:tc>
          <w:tcPr>
            <w:tcW w:w="2621" w:type="dxa"/>
            <w:vAlign w:val="center"/>
          </w:tcPr>
          <w:p w:rsidR="00544CCD" w:rsidRPr="00C56F63" w:rsidRDefault="00544CCD" w:rsidP="00E62EC2">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13.69</w:t>
            </w:r>
          </w:p>
        </w:tc>
      </w:tr>
      <w:tr w:rsidR="00544CCD" w:rsidRPr="00C56F63" w:rsidTr="00E62EC2">
        <w:tc>
          <w:tcPr>
            <w:tcW w:w="1080" w:type="dxa"/>
            <w:vAlign w:val="center"/>
          </w:tcPr>
          <w:p w:rsidR="00544CCD" w:rsidRPr="00C56F63" w:rsidRDefault="00544CCD" w:rsidP="00E62EC2">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E62EC2">
            <w:pPr>
              <w:spacing w:line="276" w:lineRule="auto"/>
              <w:jc w:val="right"/>
              <w:rPr>
                <w:rFonts w:eastAsiaTheme="minorEastAsia"/>
                <w:color w:val="000000" w:themeColor="text1"/>
                <w:szCs w:val="21"/>
              </w:rPr>
            </w:pPr>
            <w:r w:rsidRPr="00C56F63">
              <w:rPr>
                <w:rFonts w:eastAsiaTheme="minorEastAsia"/>
                <w:color w:val="000000" w:themeColor="text1"/>
                <w:szCs w:val="21"/>
              </w:rPr>
              <w:t>3,359,250.75</w:t>
            </w:r>
          </w:p>
        </w:tc>
        <w:tc>
          <w:tcPr>
            <w:tcW w:w="2621" w:type="dxa"/>
            <w:vAlign w:val="center"/>
          </w:tcPr>
          <w:p w:rsidR="00544CCD" w:rsidRPr="00C56F63" w:rsidRDefault="00544CCD" w:rsidP="00E62EC2">
            <w:pPr>
              <w:spacing w:line="276" w:lineRule="auto"/>
              <w:jc w:val="right"/>
              <w:rPr>
                <w:rFonts w:eastAsiaTheme="minorEastAsia"/>
                <w:color w:val="000000" w:themeColor="text1"/>
                <w:szCs w:val="21"/>
              </w:rPr>
            </w:pPr>
            <w:r w:rsidRPr="00C56F63">
              <w:rPr>
                <w:rFonts w:eastAsiaTheme="minorEastAsia"/>
                <w:color w:val="000000" w:themeColor="text1"/>
                <w:szCs w:val="21"/>
              </w:rPr>
              <w:t>2.84</w:t>
            </w:r>
          </w:p>
        </w:tc>
      </w:tr>
      <w:tr w:rsidR="00544CCD" w:rsidRPr="00C56F63" w:rsidTr="00E62EC2">
        <w:tc>
          <w:tcPr>
            <w:tcW w:w="1080" w:type="dxa"/>
            <w:vAlign w:val="center"/>
          </w:tcPr>
          <w:p w:rsidR="00544CCD" w:rsidRPr="00C56F63" w:rsidRDefault="00544CCD" w:rsidP="00E62EC2">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E62EC2">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E62EC2">
            <w:pPr>
              <w:spacing w:line="276" w:lineRule="auto"/>
              <w:jc w:val="right"/>
              <w:rPr>
                <w:rFonts w:eastAsiaTheme="minorEastAsia"/>
                <w:color w:val="000000" w:themeColor="text1"/>
                <w:szCs w:val="21"/>
              </w:rPr>
            </w:pPr>
            <w:r w:rsidRPr="00C56F63">
              <w:rPr>
                <w:rFonts w:eastAsiaTheme="minorEastAsia"/>
                <w:color w:val="000000" w:themeColor="text1"/>
                <w:szCs w:val="21"/>
              </w:rPr>
              <w:t>118,203,116.55</w:t>
            </w:r>
          </w:p>
        </w:tc>
        <w:tc>
          <w:tcPr>
            <w:tcW w:w="2621" w:type="dxa"/>
            <w:vAlign w:val="center"/>
          </w:tcPr>
          <w:p w:rsidR="00544CCD" w:rsidRPr="00C56F63" w:rsidRDefault="00544CCD" w:rsidP="00E62EC2">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945F2E">
      <w:pPr>
        <w:pStyle w:val="2"/>
        <w:spacing w:before="0" w:after="0"/>
        <w:rPr>
          <w:rFonts w:ascii="Times New Roman" w:eastAsiaTheme="minorEastAsia" w:hAnsi="Times New Roman"/>
          <w:kern w:val="0"/>
          <w:sz w:val="21"/>
          <w:szCs w:val="21"/>
        </w:rPr>
      </w:pPr>
      <w:bookmarkStart w:id="59" w:name="_Toc390421256"/>
      <w:bookmarkStart w:id="60" w:name="_Toc225498274"/>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59"/>
      <w:bookmarkEnd w:id="60"/>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645,480.00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0.55</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3,611,840.00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3.08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6,028,200.00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5.13</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lastRenderedPageBreak/>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10,285,520.00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8.76</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6B65E1" w:rsidRPr="00C56F63">
        <w:trPr>
          <w:jc w:val="center"/>
        </w:trPr>
        <w:tc>
          <w:tcPr>
            <w:tcW w:w="2397"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行业类别</w:t>
            </w:r>
          </w:p>
        </w:tc>
        <w:tc>
          <w:tcPr>
            <w:tcW w:w="3119"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公允价值（人民币）</w:t>
            </w:r>
          </w:p>
        </w:tc>
        <w:tc>
          <w:tcPr>
            <w:tcW w:w="3118"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占基金资产净值比例（</w:t>
            </w:r>
            <w:r w:rsidRPr="00C56F63">
              <w:rPr>
                <w:rFonts w:eastAsiaTheme="minorEastAsia" w:hint="eastAsia"/>
                <w:color w:val="000000" w:themeColor="text1"/>
                <w:szCs w:val="21"/>
              </w:rPr>
              <w:t>%</w:t>
            </w:r>
            <w:r w:rsidRPr="00C56F63">
              <w:rPr>
                <w:rFonts w:eastAsiaTheme="minorEastAsia" w:hint="eastAsia"/>
                <w:color w:val="000000" w:themeColor="text1"/>
                <w:szCs w:val="21"/>
              </w:rPr>
              <w:t>）</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5B2D52" w:rsidRDefault="00DF7773">
            <w:pPr>
              <w:jc w:val="center"/>
            </w:pPr>
            <w:r>
              <w:rPr>
                <w:rFonts w:eastAsiaTheme="minorEastAsia"/>
                <w:color w:val="000000" w:themeColor="text1"/>
                <w:szCs w:val="21"/>
              </w:rPr>
              <w:t>1,254,834.99</w:t>
            </w:r>
          </w:p>
        </w:tc>
        <w:tc>
          <w:tcPr>
            <w:tcW w:w="3118" w:type="dxa"/>
            <w:vAlign w:val="center"/>
          </w:tcPr>
          <w:p w:rsidR="005B2D52" w:rsidRDefault="00DF7773">
            <w:pPr>
              <w:jc w:val="center"/>
            </w:pPr>
            <w:r>
              <w:rPr>
                <w:rFonts w:eastAsiaTheme="minorEastAsia"/>
                <w:color w:val="000000" w:themeColor="text1"/>
                <w:szCs w:val="21"/>
              </w:rPr>
              <w:t>1.07</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5B2D52" w:rsidRDefault="00DF7773">
            <w:pPr>
              <w:jc w:val="center"/>
            </w:pPr>
            <w:r>
              <w:rPr>
                <w:rFonts w:eastAsiaTheme="minorEastAsia"/>
                <w:color w:val="000000" w:themeColor="text1"/>
                <w:szCs w:val="21"/>
              </w:rPr>
              <w:t>12,905,667.79</w:t>
            </w:r>
          </w:p>
        </w:tc>
        <w:tc>
          <w:tcPr>
            <w:tcW w:w="3118" w:type="dxa"/>
            <w:vAlign w:val="center"/>
          </w:tcPr>
          <w:p w:rsidR="005B2D52" w:rsidRDefault="00DF7773">
            <w:pPr>
              <w:jc w:val="center"/>
            </w:pPr>
            <w:r>
              <w:rPr>
                <w:rFonts w:eastAsiaTheme="minorEastAsia"/>
                <w:color w:val="000000" w:themeColor="text1"/>
                <w:szCs w:val="21"/>
              </w:rPr>
              <w:t>10.99</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5B2D52" w:rsidRDefault="00DF7773">
            <w:pPr>
              <w:jc w:val="center"/>
            </w:pPr>
            <w:r>
              <w:rPr>
                <w:rFonts w:eastAsiaTheme="minorEastAsia"/>
                <w:color w:val="000000" w:themeColor="text1"/>
                <w:szCs w:val="21"/>
              </w:rPr>
              <w:t>8,937,134.48</w:t>
            </w:r>
          </w:p>
        </w:tc>
        <w:tc>
          <w:tcPr>
            <w:tcW w:w="3118" w:type="dxa"/>
            <w:vAlign w:val="center"/>
          </w:tcPr>
          <w:p w:rsidR="005B2D52" w:rsidRDefault="00DF7773">
            <w:pPr>
              <w:jc w:val="center"/>
            </w:pPr>
            <w:r>
              <w:rPr>
                <w:rFonts w:eastAsiaTheme="minorEastAsia"/>
                <w:color w:val="000000" w:themeColor="text1"/>
                <w:szCs w:val="21"/>
              </w:rPr>
              <w:t>7.61</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5B2D52" w:rsidRDefault="00DF7773">
            <w:pPr>
              <w:jc w:val="center"/>
            </w:pPr>
            <w:r>
              <w:rPr>
                <w:rFonts w:eastAsiaTheme="minorEastAsia"/>
                <w:color w:val="000000" w:themeColor="text1"/>
                <w:szCs w:val="21"/>
              </w:rPr>
              <w:t>3,384,650.19</w:t>
            </w:r>
          </w:p>
        </w:tc>
        <w:tc>
          <w:tcPr>
            <w:tcW w:w="3118" w:type="dxa"/>
            <w:vAlign w:val="center"/>
          </w:tcPr>
          <w:p w:rsidR="005B2D52" w:rsidRDefault="00DF7773">
            <w:pPr>
              <w:jc w:val="center"/>
            </w:pPr>
            <w:r>
              <w:rPr>
                <w:rFonts w:eastAsiaTheme="minorEastAsia"/>
                <w:color w:val="000000" w:themeColor="text1"/>
                <w:szCs w:val="21"/>
              </w:rPr>
              <w:t>2.88</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5B2D52" w:rsidRDefault="00DF7773">
            <w:pPr>
              <w:jc w:val="center"/>
            </w:pPr>
            <w:r>
              <w:rPr>
                <w:rFonts w:eastAsiaTheme="minorEastAsia"/>
                <w:color w:val="000000" w:themeColor="text1"/>
                <w:szCs w:val="21"/>
              </w:rPr>
              <w:t>29,281,946.14</w:t>
            </w:r>
          </w:p>
        </w:tc>
        <w:tc>
          <w:tcPr>
            <w:tcW w:w="3118" w:type="dxa"/>
            <w:vAlign w:val="center"/>
          </w:tcPr>
          <w:p w:rsidR="005B2D52" w:rsidRDefault="00DF7773">
            <w:pPr>
              <w:jc w:val="center"/>
            </w:pPr>
            <w:r>
              <w:rPr>
                <w:rFonts w:eastAsiaTheme="minorEastAsia"/>
                <w:color w:val="000000" w:themeColor="text1"/>
                <w:szCs w:val="21"/>
              </w:rPr>
              <w:t>24.93</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5B2D52" w:rsidRDefault="00DF7773">
            <w:pPr>
              <w:jc w:val="center"/>
            </w:pPr>
            <w:r>
              <w:rPr>
                <w:rFonts w:eastAsiaTheme="minorEastAsia"/>
                <w:color w:val="000000" w:themeColor="text1"/>
                <w:szCs w:val="21"/>
              </w:rPr>
              <w:t>5,540,855.19</w:t>
            </w:r>
          </w:p>
        </w:tc>
        <w:tc>
          <w:tcPr>
            <w:tcW w:w="3118" w:type="dxa"/>
            <w:vAlign w:val="center"/>
          </w:tcPr>
          <w:p w:rsidR="005B2D52" w:rsidRDefault="00DF7773">
            <w:pPr>
              <w:jc w:val="center"/>
            </w:pPr>
            <w:r>
              <w:rPr>
                <w:rFonts w:eastAsiaTheme="minorEastAsia"/>
                <w:color w:val="000000" w:themeColor="text1"/>
                <w:szCs w:val="21"/>
              </w:rPr>
              <w:t>4.72</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5B2D52" w:rsidRDefault="00DF7773">
            <w:pPr>
              <w:jc w:val="center"/>
            </w:pPr>
            <w:r>
              <w:rPr>
                <w:rFonts w:eastAsiaTheme="minorEastAsia"/>
                <w:color w:val="000000" w:themeColor="text1"/>
                <w:szCs w:val="21"/>
              </w:rPr>
              <w:t>2,638,501.47</w:t>
            </w:r>
          </w:p>
        </w:tc>
        <w:tc>
          <w:tcPr>
            <w:tcW w:w="3118" w:type="dxa"/>
            <w:vAlign w:val="center"/>
          </w:tcPr>
          <w:p w:rsidR="005B2D52" w:rsidRDefault="00DF7773">
            <w:pPr>
              <w:jc w:val="center"/>
            </w:pPr>
            <w:r>
              <w:rPr>
                <w:rFonts w:eastAsiaTheme="minorEastAsia"/>
                <w:color w:val="000000" w:themeColor="text1"/>
                <w:szCs w:val="21"/>
              </w:rPr>
              <w:t>2.25</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5B2D52" w:rsidRDefault="00DF7773">
            <w:pPr>
              <w:jc w:val="center"/>
            </w:pPr>
            <w:r>
              <w:rPr>
                <w:rFonts w:eastAsiaTheme="minorEastAsia"/>
                <w:color w:val="000000" w:themeColor="text1"/>
                <w:szCs w:val="21"/>
              </w:rPr>
              <w:t>14,201,319.01</w:t>
            </w:r>
          </w:p>
        </w:tc>
        <w:tc>
          <w:tcPr>
            <w:tcW w:w="3118" w:type="dxa"/>
            <w:vAlign w:val="center"/>
          </w:tcPr>
          <w:p w:rsidR="005B2D52" w:rsidRDefault="00DF7773">
            <w:pPr>
              <w:jc w:val="center"/>
            </w:pPr>
            <w:r>
              <w:rPr>
                <w:rFonts w:eastAsiaTheme="minorEastAsia"/>
                <w:color w:val="000000" w:themeColor="text1"/>
                <w:szCs w:val="21"/>
              </w:rPr>
              <w:t>12.09</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5B2D52" w:rsidRDefault="00DF7773">
            <w:pPr>
              <w:jc w:val="center"/>
            </w:pPr>
            <w:r>
              <w:rPr>
                <w:rFonts w:eastAsiaTheme="minorEastAsia"/>
                <w:color w:val="000000" w:themeColor="text1"/>
                <w:szCs w:val="21"/>
              </w:rPr>
              <w:t>-</w:t>
            </w:r>
          </w:p>
        </w:tc>
        <w:tc>
          <w:tcPr>
            <w:tcW w:w="3118" w:type="dxa"/>
            <w:vAlign w:val="center"/>
          </w:tcPr>
          <w:p w:rsidR="005B2D52" w:rsidRDefault="00DF7773">
            <w:pPr>
              <w:jc w:val="center"/>
            </w:pPr>
            <w:r>
              <w:rPr>
                <w:rFonts w:eastAsiaTheme="minorEastAsia"/>
                <w:color w:val="000000" w:themeColor="text1"/>
                <w:szCs w:val="21"/>
              </w:rPr>
              <w:t>-</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5B2D52" w:rsidRDefault="00DF7773">
            <w:pPr>
              <w:jc w:val="center"/>
            </w:pPr>
            <w:r>
              <w:rPr>
                <w:rFonts w:eastAsiaTheme="minorEastAsia"/>
                <w:color w:val="000000" w:themeColor="text1"/>
                <w:szCs w:val="21"/>
              </w:rPr>
              <w:t>2,807,874.72</w:t>
            </w:r>
          </w:p>
        </w:tc>
        <w:tc>
          <w:tcPr>
            <w:tcW w:w="3118" w:type="dxa"/>
            <w:vAlign w:val="center"/>
          </w:tcPr>
          <w:p w:rsidR="005B2D52" w:rsidRDefault="00DF7773">
            <w:pPr>
              <w:jc w:val="center"/>
            </w:pPr>
            <w:r>
              <w:rPr>
                <w:rFonts w:eastAsiaTheme="minorEastAsia"/>
                <w:color w:val="000000" w:themeColor="text1"/>
                <w:szCs w:val="21"/>
              </w:rPr>
              <w:t>2.39</w:t>
            </w:r>
          </w:p>
        </w:tc>
      </w:tr>
      <w:tr w:rsidR="005B2D52">
        <w:trPr>
          <w:jc w:val="center"/>
        </w:trPr>
        <w:tc>
          <w:tcPr>
            <w:tcW w:w="2397" w:type="dxa"/>
            <w:vAlign w:val="center"/>
          </w:tcPr>
          <w:p w:rsidR="005B2D52" w:rsidRDefault="00DF7773">
            <w:pPr>
              <w:jc w:val="center"/>
            </w:pPr>
            <w:r>
              <w:rPr>
                <w:rFonts w:eastAsiaTheme="minorEastAsia"/>
                <w:color w:val="000000" w:themeColor="text1"/>
                <w:szCs w:val="21"/>
              </w:rPr>
              <w:t xml:space="preserve">K </w:t>
            </w:r>
            <w:r>
              <w:rPr>
                <w:rFonts w:eastAsiaTheme="minorEastAsia"/>
                <w:color w:val="000000" w:themeColor="text1"/>
                <w:szCs w:val="21"/>
              </w:rPr>
              <w:t>房地产</w:t>
            </w:r>
          </w:p>
        </w:tc>
        <w:tc>
          <w:tcPr>
            <w:tcW w:w="3119" w:type="dxa"/>
            <w:vAlign w:val="center"/>
          </w:tcPr>
          <w:p w:rsidR="005B2D52" w:rsidRDefault="00DF7773">
            <w:pPr>
              <w:jc w:val="center"/>
            </w:pPr>
            <w:r>
              <w:rPr>
                <w:rFonts w:eastAsiaTheme="minorEastAsia"/>
                <w:color w:val="000000" w:themeColor="text1"/>
                <w:szCs w:val="21"/>
              </w:rPr>
              <w:t>7,419,580.23</w:t>
            </w:r>
          </w:p>
        </w:tc>
        <w:tc>
          <w:tcPr>
            <w:tcW w:w="3118" w:type="dxa"/>
            <w:vAlign w:val="center"/>
          </w:tcPr>
          <w:p w:rsidR="005B2D52" w:rsidRDefault="00DF7773">
            <w:pPr>
              <w:jc w:val="center"/>
            </w:pPr>
            <w:r>
              <w:rPr>
                <w:rFonts w:eastAsiaTheme="minorEastAsia"/>
                <w:color w:val="000000" w:themeColor="text1"/>
                <w:szCs w:val="21"/>
              </w:rPr>
              <w:t>6.32</w:t>
            </w:r>
          </w:p>
        </w:tc>
      </w:tr>
      <w:tr w:rsidR="006B65E1" w:rsidRPr="00C56F63">
        <w:trPr>
          <w:jc w:val="center"/>
        </w:trPr>
        <w:tc>
          <w:tcPr>
            <w:tcW w:w="2397" w:type="dxa"/>
            <w:vAlign w:val="center"/>
          </w:tcPr>
          <w:p w:rsidR="006B65E1" w:rsidRPr="00C56F63" w:rsidRDefault="00945F2E">
            <w:pPr>
              <w:spacing w:before="29" w:line="360" w:lineRule="auto"/>
              <w:ind w:left="17"/>
              <w:jc w:val="center"/>
              <w:rPr>
                <w:rFonts w:eastAsiaTheme="minorEastAsia"/>
                <w:color w:val="000000" w:themeColor="text1"/>
                <w:szCs w:val="21"/>
              </w:rPr>
            </w:pPr>
            <w:r w:rsidRPr="00C56F63">
              <w:rPr>
                <w:rFonts w:eastAsiaTheme="minorEastAsia" w:hint="eastAsia"/>
                <w:color w:val="000000" w:themeColor="text1"/>
                <w:szCs w:val="21"/>
              </w:rPr>
              <w:t>合计</w:t>
            </w:r>
          </w:p>
        </w:tc>
        <w:tc>
          <w:tcPr>
            <w:tcW w:w="3119" w:type="dxa"/>
            <w:vAlign w:val="center"/>
          </w:tcPr>
          <w:p w:rsidR="006B65E1" w:rsidRPr="00C56F63" w:rsidRDefault="00945F2E">
            <w:pPr>
              <w:adjustRightInd w:val="0"/>
              <w:snapToGrid w:val="0"/>
              <w:spacing w:line="400" w:lineRule="exact"/>
              <w:jc w:val="center"/>
              <w:rPr>
                <w:rFonts w:eastAsiaTheme="minorEastAsia"/>
                <w:color w:val="000000" w:themeColor="text1"/>
                <w:szCs w:val="21"/>
              </w:rPr>
            </w:pPr>
            <w:r w:rsidRPr="00C56F63">
              <w:rPr>
                <w:rFonts w:eastAsiaTheme="minorEastAsia" w:hint="eastAsia"/>
                <w:color w:val="000000" w:themeColor="text1"/>
                <w:szCs w:val="21"/>
              </w:rPr>
              <w:t>88,372,364.21</w:t>
            </w:r>
          </w:p>
        </w:tc>
        <w:tc>
          <w:tcPr>
            <w:tcW w:w="3118" w:type="dxa"/>
            <w:vAlign w:val="center"/>
          </w:tcPr>
          <w:p w:rsidR="006B65E1" w:rsidRPr="00C56F63" w:rsidRDefault="00945F2E">
            <w:pPr>
              <w:adjustRightInd w:val="0"/>
              <w:snapToGrid w:val="0"/>
              <w:spacing w:line="400" w:lineRule="exact"/>
              <w:jc w:val="center"/>
              <w:rPr>
                <w:rFonts w:eastAsiaTheme="minorEastAsia"/>
                <w:color w:val="000000" w:themeColor="text1"/>
                <w:szCs w:val="21"/>
              </w:rPr>
            </w:pPr>
            <w:r w:rsidRPr="00C56F63">
              <w:rPr>
                <w:rFonts w:eastAsiaTheme="minorEastAsia" w:hint="eastAsia"/>
                <w:color w:val="000000" w:themeColor="text1"/>
                <w:szCs w:val="21"/>
              </w:rPr>
              <w:t>75.25</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1" w:name="_Toc390421257"/>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w:t>
      </w:r>
      <w:r w:rsidR="00E62EC2">
        <w:rPr>
          <w:rFonts w:ascii="Times New Roman" w:eastAsiaTheme="minorEastAsia" w:hAnsi="Times New Roman" w:hint="eastAsia"/>
          <w:kern w:val="0"/>
          <w:sz w:val="21"/>
          <w:szCs w:val="21"/>
        </w:rPr>
        <w:t>前十名</w:t>
      </w:r>
      <w:r w:rsidRPr="00C56F63">
        <w:rPr>
          <w:rFonts w:ascii="Times New Roman" w:eastAsiaTheme="minorEastAsia" w:hAnsi="Times New Roman"/>
          <w:kern w:val="0"/>
          <w:sz w:val="21"/>
          <w:szCs w:val="21"/>
        </w:rPr>
        <w:t>股票投资明细</w:t>
      </w:r>
      <w:bookmarkEnd w:id="61"/>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451"/>
        <w:gridCol w:w="1667"/>
        <w:gridCol w:w="1616"/>
      </w:tblGrid>
      <w:tr w:rsidR="006B65E1" w:rsidRPr="00C56F63" w:rsidTr="00C45FFB">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45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667"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5B2D52" w:rsidTr="00C45FFB">
        <w:tc>
          <w:tcPr>
            <w:tcW w:w="817" w:type="dxa"/>
            <w:vAlign w:val="center"/>
          </w:tcPr>
          <w:p w:rsidR="005B2D52" w:rsidRDefault="00DF7773">
            <w:pPr>
              <w:jc w:val="center"/>
            </w:pPr>
            <w:r>
              <w:rPr>
                <w:rFonts w:eastAsiaTheme="minorEastAsia"/>
                <w:color w:val="000000"/>
                <w:szCs w:val="21"/>
              </w:rPr>
              <w:t>1</w:t>
            </w:r>
          </w:p>
        </w:tc>
        <w:tc>
          <w:tcPr>
            <w:tcW w:w="1276" w:type="dxa"/>
            <w:vAlign w:val="center"/>
          </w:tcPr>
          <w:p w:rsidR="005B2D52" w:rsidRDefault="00DF7773">
            <w:pPr>
              <w:jc w:val="center"/>
            </w:pPr>
            <w:r>
              <w:rPr>
                <w:rFonts w:eastAsiaTheme="minorEastAsia"/>
                <w:color w:val="000000"/>
                <w:szCs w:val="21"/>
              </w:rPr>
              <w:t>H00700</w:t>
            </w:r>
          </w:p>
        </w:tc>
        <w:tc>
          <w:tcPr>
            <w:tcW w:w="1701" w:type="dxa"/>
            <w:vAlign w:val="center"/>
          </w:tcPr>
          <w:p w:rsidR="005B2D52" w:rsidRDefault="00DF7773">
            <w:pPr>
              <w:jc w:val="center"/>
            </w:pPr>
            <w:r>
              <w:rPr>
                <w:rFonts w:eastAsiaTheme="minorEastAsia"/>
                <w:color w:val="000000"/>
                <w:szCs w:val="21"/>
              </w:rPr>
              <w:t>腾讯控股</w:t>
            </w:r>
          </w:p>
        </w:tc>
        <w:tc>
          <w:tcPr>
            <w:tcW w:w="1451" w:type="dxa"/>
            <w:vAlign w:val="center"/>
          </w:tcPr>
          <w:p w:rsidR="005B2D52" w:rsidRDefault="00DF7773">
            <w:pPr>
              <w:jc w:val="right"/>
            </w:pPr>
            <w:r>
              <w:rPr>
                <w:rFonts w:eastAsiaTheme="minorEastAsia"/>
                <w:color w:val="000000"/>
                <w:szCs w:val="21"/>
              </w:rPr>
              <w:t>28,000.00</w:t>
            </w:r>
          </w:p>
        </w:tc>
        <w:tc>
          <w:tcPr>
            <w:tcW w:w="1667" w:type="dxa"/>
            <w:vAlign w:val="center"/>
          </w:tcPr>
          <w:p w:rsidR="005B2D52" w:rsidRDefault="00DF7773">
            <w:pPr>
              <w:jc w:val="right"/>
            </w:pPr>
            <w:r>
              <w:rPr>
                <w:rFonts w:eastAsiaTheme="minorEastAsia"/>
                <w:color w:val="000000"/>
                <w:szCs w:val="21"/>
              </w:rPr>
              <w:t>8,684,707.25</w:t>
            </w:r>
          </w:p>
        </w:tc>
        <w:tc>
          <w:tcPr>
            <w:tcW w:w="1616" w:type="dxa"/>
            <w:vAlign w:val="center"/>
          </w:tcPr>
          <w:p w:rsidR="005B2D52" w:rsidRDefault="00DF7773">
            <w:pPr>
              <w:jc w:val="right"/>
            </w:pPr>
            <w:r>
              <w:rPr>
                <w:rFonts w:eastAsiaTheme="minorEastAsia"/>
                <w:color w:val="000000"/>
                <w:szCs w:val="21"/>
              </w:rPr>
              <w:t>7.40</w:t>
            </w:r>
          </w:p>
        </w:tc>
      </w:tr>
      <w:tr w:rsidR="005B2D52" w:rsidTr="00C45FFB">
        <w:tc>
          <w:tcPr>
            <w:tcW w:w="817" w:type="dxa"/>
            <w:vAlign w:val="center"/>
          </w:tcPr>
          <w:p w:rsidR="005B2D52" w:rsidRDefault="00DF7773">
            <w:pPr>
              <w:jc w:val="center"/>
            </w:pPr>
            <w:r>
              <w:rPr>
                <w:rFonts w:eastAsiaTheme="minorEastAsia"/>
                <w:color w:val="000000"/>
                <w:szCs w:val="21"/>
              </w:rPr>
              <w:t>2</w:t>
            </w:r>
          </w:p>
        </w:tc>
        <w:tc>
          <w:tcPr>
            <w:tcW w:w="1276" w:type="dxa"/>
            <w:vAlign w:val="center"/>
          </w:tcPr>
          <w:p w:rsidR="005B2D52" w:rsidRDefault="00DF7773">
            <w:pPr>
              <w:jc w:val="center"/>
            </w:pPr>
            <w:r>
              <w:rPr>
                <w:rFonts w:eastAsiaTheme="minorEastAsia"/>
                <w:color w:val="000000"/>
                <w:szCs w:val="21"/>
              </w:rPr>
              <w:t>H00939</w:t>
            </w:r>
          </w:p>
        </w:tc>
        <w:tc>
          <w:tcPr>
            <w:tcW w:w="1701" w:type="dxa"/>
            <w:vAlign w:val="center"/>
          </w:tcPr>
          <w:p w:rsidR="005B2D52" w:rsidRDefault="00DF7773">
            <w:pPr>
              <w:jc w:val="center"/>
            </w:pPr>
            <w:r>
              <w:rPr>
                <w:rFonts w:eastAsiaTheme="minorEastAsia"/>
                <w:color w:val="000000"/>
                <w:szCs w:val="21"/>
              </w:rPr>
              <w:t>建设银行</w:t>
            </w:r>
          </w:p>
        </w:tc>
        <w:tc>
          <w:tcPr>
            <w:tcW w:w="1451" w:type="dxa"/>
            <w:vAlign w:val="center"/>
          </w:tcPr>
          <w:p w:rsidR="005B2D52" w:rsidRDefault="00DF7773">
            <w:pPr>
              <w:jc w:val="right"/>
            </w:pPr>
            <w:r>
              <w:rPr>
                <w:rFonts w:eastAsiaTheme="minorEastAsia"/>
                <w:color w:val="000000"/>
                <w:szCs w:val="21"/>
              </w:rPr>
              <w:t>1,090,000.00</w:t>
            </w:r>
          </w:p>
        </w:tc>
        <w:tc>
          <w:tcPr>
            <w:tcW w:w="1667" w:type="dxa"/>
            <w:vAlign w:val="center"/>
          </w:tcPr>
          <w:p w:rsidR="005B2D52" w:rsidRDefault="00DF7773">
            <w:pPr>
              <w:jc w:val="right"/>
            </w:pPr>
            <w:r>
              <w:rPr>
                <w:rFonts w:eastAsiaTheme="minorEastAsia"/>
                <w:color w:val="000000"/>
                <w:szCs w:val="21"/>
              </w:rPr>
              <w:t>6,452,921.86</w:t>
            </w:r>
          </w:p>
        </w:tc>
        <w:tc>
          <w:tcPr>
            <w:tcW w:w="1616" w:type="dxa"/>
            <w:vAlign w:val="center"/>
          </w:tcPr>
          <w:p w:rsidR="005B2D52" w:rsidRDefault="00DF7773">
            <w:pPr>
              <w:jc w:val="right"/>
            </w:pPr>
            <w:r>
              <w:rPr>
                <w:rFonts w:eastAsiaTheme="minorEastAsia"/>
                <w:color w:val="000000"/>
                <w:szCs w:val="21"/>
              </w:rPr>
              <w:t>5.49</w:t>
            </w:r>
          </w:p>
        </w:tc>
      </w:tr>
      <w:tr w:rsidR="005B2D52" w:rsidTr="00C45FFB">
        <w:tc>
          <w:tcPr>
            <w:tcW w:w="817" w:type="dxa"/>
            <w:vAlign w:val="center"/>
          </w:tcPr>
          <w:p w:rsidR="005B2D52" w:rsidRDefault="00DF7773">
            <w:pPr>
              <w:jc w:val="center"/>
            </w:pPr>
            <w:r>
              <w:rPr>
                <w:rFonts w:eastAsiaTheme="minorEastAsia"/>
                <w:color w:val="000000"/>
                <w:szCs w:val="21"/>
              </w:rPr>
              <w:t>3</w:t>
            </w:r>
          </w:p>
        </w:tc>
        <w:tc>
          <w:tcPr>
            <w:tcW w:w="1276" w:type="dxa"/>
            <w:vAlign w:val="center"/>
          </w:tcPr>
          <w:p w:rsidR="005B2D52" w:rsidRDefault="00DF7773">
            <w:pPr>
              <w:jc w:val="center"/>
            </w:pPr>
            <w:r>
              <w:rPr>
                <w:rFonts w:eastAsiaTheme="minorEastAsia"/>
                <w:color w:val="000000"/>
                <w:szCs w:val="21"/>
              </w:rPr>
              <w:t>601888</w:t>
            </w:r>
          </w:p>
        </w:tc>
        <w:tc>
          <w:tcPr>
            <w:tcW w:w="1701" w:type="dxa"/>
            <w:vAlign w:val="center"/>
          </w:tcPr>
          <w:p w:rsidR="005B2D52" w:rsidRDefault="00DF7773">
            <w:pPr>
              <w:jc w:val="center"/>
            </w:pPr>
            <w:r>
              <w:rPr>
                <w:rFonts w:eastAsiaTheme="minorEastAsia"/>
                <w:color w:val="000000"/>
                <w:szCs w:val="21"/>
              </w:rPr>
              <w:t>中国国旅</w:t>
            </w:r>
          </w:p>
        </w:tc>
        <w:tc>
          <w:tcPr>
            <w:tcW w:w="1451" w:type="dxa"/>
            <w:vAlign w:val="center"/>
          </w:tcPr>
          <w:p w:rsidR="005B2D52" w:rsidRDefault="00DF7773">
            <w:pPr>
              <w:jc w:val="right"/>
            </w:pPr>
            <w:r>
              <w:rPr>
                <w:rFonts w:eastAsiaTheme="minorEastAsia"/>
                <w:color w:val="000000"/>
                <w:szCs w:val="21"/>
              </w:rPr>
              <w:t>68,000.00</w:t>
            </w:r>
          </w:p>
        </w:tc>
        <w:tc>
          <w:tcPr>
            <w:tcW w:w="1667" w:type="dxa"/>
            <w:vAlign w:val="center"/>
          </w:tcPr>
          <w:p w:rsidR="005B2D52" w:rsidRDefault="00DF7773">
            <w:pPr>
              <w:jc w:val="right"/>
            </w:pPr>
            <w:r>
              <w:rPr>
                <w:rFonts w:eastAsiaTheme="minorEastAsia"/>
                <w:color w:val="000000"/>
                <w:szCs w:val="21"/>
              </w:rPr>
              <w:t>6,028,200.00</w:t>
            </w:r>
          </w:p>
        </w:tc>
        <w:tc>
          <w:tcPr>
            <w:tcW w:w="1616" w:type="dxa"/>
            <w:vAlign w:val="center"/>
          </w:tcPr>
          <w:p w:rsidR="005B2D52" w:rsidRDefault="00DF7773">
            <w:pPr>
              <w:jc w:val="right"/>
            </w:pPr>
            <w:r>
              <w:rPr>
                <w:rFonts w:eastAsiaTheme="minorEastAsia"/>
                <w:color w:val="000000"/>
                <w:szCs w:val="21"/>
              </w:rPr>
              <w:t>5.13</w:t>
            </w:r>
          </w:p>
        </w:tc>
      </w:tr>
      <w:tr w:rsidR="005B2D52" w:rsidTr="00C45FFB">
        <w:tc>
          <w:tcPr>
            <w:tcW w:w="817" w:type="dxa"/>
            <w:vAlign w:val="center"/>
          </w:tcPr>
          <w:p w:rsidR="005B2D52" w:rsidRDefault="00DF7773">
            <w:pPr>
              <w:jc w:val="center"/>
            </w:pPr>
            <w:r>
              <w:rPr>
                <w:rFonts w:eastAsiaTheme="minorEastAsia"/>
                <w:color w:val="000000"/>
                <w:szCs w:val="21"/>
              </w:rPr>
              <w:t>4</w:t>
            </w:r>
          </w:p>
        </w:tc>
        <w:tc>
          <w:tcPr>
            <w:tcW w:w="1276" w:type="dxa"/>
            <w:vAlign w:val="center"/>
          </w:tcPr>
          <w:p w:rsidR="005B2D52" w:rsidRDefault="00DF7773">
            <w:pPr>
              <w:jc w:val="center"/>
            </w:pPr>
            <w:r>
              <w:rPr>
                <w:rFonts w:eastAsiaTheme="minorEastAsia"/>
                <w:color w:val="000000"/>
                <w:szCs w:val="21"/>
              </w:rPr>
              <w:t>H02318</w:t>
            </w:r>
          </w:p>
        </w:tc>
        <w:tc>
          <w:tcPr>
            <w:tcW w:w="1701" w:type="dxa"/>
            <w:vAlign w:val="center"/>
          </w:tcPr>
          <w:p w:rsidR="005B2D52" w:rsidRDefault="00DF7773">
            <w:pPr>
              <w:jc w:val="center"/>
            </w:pPr>
            <w:r>
              <w:rPr>
                <w:rFonts w:eastAsiaTheme="minorEastAsia"/>
                <w:color w:val="000000"/>
                <w:szCs w:val="21"/>
              </w:rPr>
              <w:t>中国平安</w:t>
            </w:r>
          </w:p>
        </w:tc>
        <w:tc>
          <w:tcPr>
            <w:tcW w:w="1451" w:type="dxa"/>
            <w:vAlign w:val="center"/>
          </w:tcPr>
          <w:p w:rsidR="005B2D52" w:rsidRDefault="00DF7773">
            <w:pPr>
              <w:jc w:val="right"/>
            </w:pPr>
            <w:r>
              <w:rPr>
                <w:rFonts w:eastAsiaTheme="minorEastAsia"/>
                <w:color w:val="000000"/>
                <w:szCs w:val="21"/>
              </w:rPr>
              <w:t>70,000.00</w:t>
            </w:r>
          </w:p>
        </w:tc>
        <w:tc>
          <w:tcPr>
            <w:tcW w:w="1667" w:type="dxa"/>
            <w:vAlign w:val="center"/>
          </w:tcPr>
          <w:p w:rsidR="005B2D52" w:rsidRDefault="00DF7773">
            <w:pPr>
              <w:jc w:val="right"/>
            </w:pPr>
            <w:r>
              <w:rPr>
                <w:rFonts w:eastAsiaTheme="minorEastAsia"/>
                <w:color w:val="000000"/>
                <w:szCs w:val="21"/>
              </w:rPr>
              <w:t>5,775,847.56</w:t>
            </w:r>
          </w:p>
        </w:tc>
        <w:tc>
          <w:tcPr>
            <w:tcW w:w="1616" w:type="dxa"/>
            <w:vAlign w:val="center"/>
          </w:tcPr>
          <w:p w:rsidR="005B2D52" w:rsidRDefault="00DF7773">
            <w:pPr>
              <w:jc w:val="right"/>
            </w:pPr>
            <w:r>
              <w:rPr>
                <w:rFonts w:eastAsiaTheme="minorEastAsia"/>
                <w:color w:val="000000"/>
                <w:szCs w:val="21"/>
              </w:rPr>
              <w:t>4.92</w:t>
            </w:r>
          </w:p>
        </w:tc>
      </w:tr>
      <w:tr w:rsidR="005B2D52" w:rsidTr="00C45FFB">
        <w:tc>
          <w:tcPr>
            <w:tcW w:w="817" w:type="dxa"/>
            <w:vAlign w:val="center"/>
          </w:tcPr>
          <w:p w:rsidR="005B2D52" w:rsidRDefault="00DF7773">
            <w:pPr>
              <w:jc w:val="center"/>
            </w:pPr>
            <w:r>
              <w:rPr>
                <w:rFonts w:eastAsiaTheme="minorEastAsia"/>
                <w:color w:val="000000"/>
                <w:szCs w:val="21"/>
              </w:rPr>
              <w:t>5</w:t>
            </w:r>
          </w:p>
        </w:tc>
        <w:tc>
          <w:tcPr>
            <w:tcW w:w="1276" w:type="dxa"/>
            <w:vAlign w:val="center"/>
          </w:tcPr>
          <w:p w:rsidR="005B2D52" w:rsidRDefault="00DF7773">
            <w:pPr>
              <w:jc w:val="center"/>
            </w:pPr>
            <w:r>
              <w:rPr>
                <w:rFonts w:eastAsiaTheme="minorEastAsia"/>
                <w:color w:val="000000"/>
                <w:szCs w:val="21"/>
              </w:rPr>
              <w:t>H03968</w:t>
            </w:r>
          </w:p>
        </w:tc>
        <w:tc>
          <w:tcPr>
            <w:tcW w:w="1701" w:type="dxa"/>
            <w:vAlign w:val="center"/>
          </w:tcPr>
          <w:p w:rsidR="005B2D52" w:rsidRDefault="00DF7773">
            <w:pPr>
              <w:jc w:val="center"/>
            </w:pPr>
            <w:r>
              <w:rPr>
                <w:rFonts w:eastAsiaTheme="minorEastAsia"/>
                <w:color w:val="000000"/>
                <w:szCs w:val="21"/>
              </w:rPr>
              <w:t>招商银行</w:t>
            </w:r>
          </w:p>
        </w:tc>
        <w:tc>
          <w:tcPr>
            <w:tcW w:w="1451" w:type="dxa"/>
            <w:vAlign w:val="center"/>
          </w:tcPr>
          <w:p w:rsidR="005B2D52" w:rsidRDefault="00DF7773">
            <w:pPr>
              <w:jc w:val="right"/>
            </w:pPr>
            <w:r>
              <w:rPr>
                <w:rFonts w:eastAsiaTheme="minorEastAsia"/>
                <w:color w:val="000000"/>
                <w:szCs w:val="21"/>
              </w:rPr>
              <w:t>120,000.00</w:t>
            </w:r>
          </w:p>
        </w:tc>
        <w:tc>
          <w:tcPr>
            <w:tcW w:w="1667" w:type="dxa"/>
            <w:vAlign w:val="center"/>
          </w:tcPr>
          <w:p w:rsidR="005B2D52" w:rsidRDefault="00DF7773">
            <w:pPr>
              <w:jc w:val="right"/>
            </w:pPr>
            <w:r>
              <w:rPr>
                <w:rFonts w:eastAsiaTheme="minorEastAsia"/>
                <w:color w:val="000000"/>
                <w:szCs w:val="21"/>
              </w:rPr>
              <w:t>4,111,530.84</w:t>
            </w:r>
          </w:p>
        </w:tc>
        <w:tc>
          <w:tcPr>
            <w:tcW w:w="1616" w:type="dxa"/>
            <w:vAlign w:val="center"/>
          </w:tcPr>
          <w:p w:rsidR="005B2D52" w:rsidRDefault="00DF7773">
            <w:pPr>
              <w:jc w:val="right"/>
            </w:pPr>
            <w:r>
              <w:rPr>
                <w:rFonts w:eastAsiaTheme="minorEastAsia"/>
                <w:color w:val="000000"/>
                <w:szCs w:val="21"/>
              </w:rPr>
              <w:t>3.50</w:t>
            </w:r>
          </w:p>
        </w:tc>
      </w:tr>
      <w:tr w:rsidR="005B2D52" w:rsidTr="00C45FFB">
        <w:tc>
          <w:tcPr>
            <w:tcW w:w="817" w:type="dxa"/>
            <w:vAlign w:val="center"/>
          </w:tcPr>
          <w:p w:rsidR="005B2D52" w:rsidRDefault="00DF7773">
            <w:pPr>
              <w:jc w:val="center"/>
            </w:pPr>
            <w:r>
              <w:rPr>
                <w:rFonts w:eastAsiaTheme="minorEastAsia"/>
                <w:color w:val="000000"/>
                <w:szCs w:val="21"/>
              </w:rPr>
              <w:t>6</w:t>
            </w:r>
          </w:p>
        </w:tc>
        <w:tc>
          <w:tcPr>
            <w:tcW w:w="1276" w:type="dxa"/>
            <w:vAlign w:val="center"/>
          </w:tcPr>
          <w:p w:rsidR="005B2D52" w:rsidRDefault="00DF7773">
            <w:pPr>
              <w:jc w:val="center"/>
            </w:pPr>
            <w:r>
              <w:rPr>
                <w:rFonts w:eastAsiaTheme="minorEastAsia"/>
                <w:color w:val="000000"/>
                <w:szCs w:val="21"/>
              </w:rPr>
              <w:t>H02382</w:t>
            </w:r>
          </w:p>
        </w:tc>
        <w:tc>
          <w:tcPr>
            <w:tcW w:w="1701" w:type="dxa"/>
            <w:vAlign w:val="center"/>
          </w:tcPr>
          <w:p w:rsidR="005B2D52" w:rsidRDefault="00DF7773">
            <w:pPr>
              <w:jc w:val="center"/>
            </w:pPr>
            <w:r>
              <w:rPr>
                <w:rFonts w:eastAsiaTheme="minorEastAsia"/>
                <w:color w:val="000000"/>
                <w:szCs w:val="21"/>
              </w:rPr>
              <w:t>舜宇光学科技</w:t>
            </w:r>
          </w:p>
        </w:tc>
        <w:tc>
          <w:tcPr>
            <w:tcW w:w="1451" w:type="dxa"/>
            <w:vAlign w:val="center"/>
          </w:tcPr>
          <w:p w:rsidR="005B2D52" w:rsidRDefault="00DF7773">
            <w:pPr>
              <w:jc w:val="right"/>
            </w:pPr>
            <w:r>
              <w:rPr>
                <w:rFonts w:eastAsiaTheme="minorEastAsia"/>
                <w:color w:val="000000"/>
                <w:szCs w:val="21"/>
              </w:rPr>
              <w:t>53,000.00</w:t>
            </w:r>
          </w:p>
        </w:tc>
        <w:tc>
          <w:tcPr>
            <w:tcW w:w="1667" w:type="dxa"/>
            <w:vAlign w:val="center"/>
          </w:tcPr>
          <w:p w:rsidR="005B2D52" w:rsidRDefault="00DF7773">
            <w:pPr>
              <w:jc w:val="right"/>
            </w:pPr>
            <w:r>
              <w:rPr>
                <w:rFonts w:eastAsiaTheme="minorEastAsia"/>
                <w:color w:val="000000"/>
                <w:szCs w:val="21"/>
              </w:rPr>
              <w:t>3,762,393.79</w:t>
            </w:r>
          </w:p>
        </w:tc>
        <w:tc>
          <w:tcPr>
            <w:tcW w:w="1616" w:type="dxa"/>
            <w:vAlign w:val="center"/>
          </w:tcPr>
          <w:p w:rsidR="005B2D52" w:rsidRDefault="00DF7773">
            <w:pPr>
              <w:jc w:val="right"/>
            </w:pPr>
            <w:r>
              <w:rPr>
                <w:rFonts w:eastAsiaTheme="minorEastAsia"/>
                <w:color w:val="000000"/>
                <w:szCs w:val="21"/>
              </w:rPr>
              <w:t>3.20</w:t>
            </w:r>
          </w:p>
        </w:tc>
      </w:tr>
      <w:tr w:rsidR="005B2D52" w:rsidTr="00C45FFB">
        <w:tc>
          <w:tcPr>
            <w:tcW w:w="817" w:type="dxa"/>
            <w:vAlign w:val="center"/>
          </w:tcPr>
          <w:p w:rsidR="005B2D52" w:rsidRDefault="00DF7773">
            <w:pPr>
              <w:jc w:val="center"/>
            </w:pPr>
            <w:r>
              <w:rPr>
                <w:rFonts w:eastAsiaTheme="minorEastAsia"/>
                <w:color w:val="000000"/>
                <w:szCs w:val="21"/>
              </w:rPr>
              <w:t>7</w:t>
            </w:r>
          </w:p>
        </w:tc>
        <w:tc>
          <w:tcPr>
            <w:tcW w:w="1276" w:type="dxa"/>
            <w:vAlign w:val="center"/>
          </w:tcPr>
          <w:p w:rsidR="005B2D52" w:rsidRDefault="00DF7773">
            <w:pPr>
              <w:jc w:val="center"/>
            </w:pPr>
            <w:r>
              <w:rPr>
                <w:rFonts w:eastAsiaTheme="minorEastAsia"/>
                <w:color w:val="000000"/>
                <w:szCs w:val="21"/>
              </w:rPr>
              <w:t>H00780</w:t>
            </w:r>
          </w:p>
        </w:tc>
        <w:tc>
          <w:tcPr>
            <w:tcW w:w="1701" w:type="dxa"/>
            <w:vAlign w:val="center"/>
          </w:tcPr>
          <w:p w:rsidR="005B2D52" w:rsidRDefault="00DF7773">
            <w:pPr>
              <w:jc w:val="center"/>
            </w:pPr>
            <w:r>
              <w:rPr>
                <w:rFonts w:eastAsiaTheme="minorEastAsia"/>
                <w:color w:val="000000"/>
                <w:szCs w:val="21"/>
              </w:rPr>
              <w:t>同程艺龙</w:t>
            </w:r>
          </w:p>
        </w:tc>
        <w:tc>
          <w:tcPr>
            <w:tcW w:w="1451" w:type="dxa"/>
            <w:vAlign w:val="center"/>
          </w:tcPr>
          <w:p w:rsidR="005B2D52" w:rsidRDefault="00DF7773">
            <w:pPr>
              <w:jc w:val="right"/>
            </w:pPr>
            <w:r>
              <w:rPr>
                <w:rFonts w:eastAsiaTheme="minorEastAsia"/>
                <w:color w:val="000000"/>
                <w:szCs w:val="21"/>
              </w:rPr>
              <w:t>268,000.00</w:t>
            </w:r>
          </w:p>
        </w:tc>
        <w:tc>
          <w:tcPr>
            <w:tcW w:w="1667" w:type="dxa"/>
            <w:vAlign w:val="center"/>
          </w:tcPr>
          <w:p w:rsidR="005B2D52" w:rsidRDefault="00DF7773">
            <w:pPr>
              <w:jc w:val="right"/>
            </w:pPr>
            <w:r>
              <w:rPr>
                <w:rFonts w:eastAsiaTheme="minorEastAsia"/>
                <w:color w:val="000000"/>
                <w:szCs w:val="21"/>
              </w:rPr>
              <w:t>3,654,107.64</w:t>
            </w:r>
          </w:p>
        </w:tc>
        <w:tc>
          <w:tcPr>
            <w:tcW w:w="1616" w:type="dxa"/>
            <w:vAlign w:val="center"/>
          </w:tcPr>
          <w:p w:rsidR="005B2D52" w:rsidRDefault="00DF7773">
            <w:pPr>
              <w:jc w:val="right"/>
            </w:pPr>
            <w:r>
              <w:rPr>
                <w:rFonts w:eastAsiaTheme="minorEastAsia"/>
                <w:color w:val="000000"/>
                <w:szCs w:val="21"/>
              </w:rPr>
              <w:t>3.11</w:t>
            </w:r>
          </w:p>
        </w:tc>
      </w:tr>
      <w:tr w:rsidR="005B2D52" w:rsidTr="00C45FFB">
        <w:tc>
          <w:tcPr>
            <w:tcW w:w="817" w:type="dxa"/>
            <w:vAlign w:val="center"/>
          </w:tcPr>
          <w:p w:rsidR="005B2D52" w:rsidRDefault="00DF7773">
            <w:pPr>
              <w:jc w:val="center"/>
            </w:pPr>
            <w:r>
              <w:rPr>
                <w:rFonts w:eastAsiaTheme="minorEastAsia"/>
                <w:color w:val="000000"/>
                <w:szCs w:val="21"/>
              </w:rPr>
              <w:t>8</w:t>
            </w:r>
          </w:p>
        </w:tc>
        <w:tc>
          <w:tcPr>
            <w:tcW w:w="1276" w:type="dxa"/>
            <w:vAlign w:val="center"/>
          </w:tcPr>
          <w:p w:rsidR="005B2D52" w:rsidRDefault="00DF7773">
            <w:pPr>
              <w:jc w:val="center"/>
            </w:pPr>
            <w:r>
              <w:rPr>
                <w:rFonts w:eastAsiaTheme="minorEastAsia"/>
                <w:color w:val="000000"/>
                <w:szCs w:val="21"/>
              </w:rPr>
              <w:t>H01299</w:t>
            </w:r>
          </w:p>
        </w:tc>
        <w:tc>
          <w:tcPr>
            <w:tcW w:w="1701" w:type="dxa"/>
            <w:vAlign w:val="center"/>
          </w:tcPr>
          <w:p w:rsidR="005B2D52" w:rsidRDefault="00DF7773">
            <w:pPr>
              <w:jc w:val="center"/>
            </w:pPr>
            <w:r>
              <w:rPr>
                <w:rFonts w:eastAsiaTheme="minorEastAsia"/>
                <w:color w:val="000000"/>
                <w:szCs w:val="21"/>
              </w:rPr>
              <w:t>友邦保险</w:t>
            </w:r>
          </w:p>
        </w:tc>
        <w:tc>
          <w:tcPr>
            <w:tcW w:w="1451" w:type="dxa"/>
            <w:vAlign w:val="center"/>
          </w:tcPr>
          <w:p w:rsidR="005B2D52" w:rsidRDefault="00DF7773">
            <w:pPr>
              <w:jc w:val="right"/>
            </w:pPr>
            <w:r>
              <w:rPr>
                <w:rFonts w:eastAsiaTheme="minorEastAsia"/>
                <w:color w:val="000000"/>
                <w:szCs w:val="21"/>
              </w:rPr>
              <w:t>48,000.00</w:t>
            </w:r>
          </w:p>
        </w:tc>
        <w:tc>
          <w:tcPr>
            <w:tcW w:w="1667" w:type="dxa"/>
            <w:vAlign w:val="center"/>
          </w:tcPr>
          <w:p w:rsidR="005B2D52" w:rsidRDefault="00DF7773">
            <w:pPr>
              <w:jc w:val="right"/>
            </w:pPr>
            <w:r>
              <w:rPr>
                <w:rFonts w:eastAsiaTheme="minorEastAsia"/>
                <w:color w:val="000000"/>
                <w:szCs w:val="21"/>
              </w:rPr>
              <w:t>3,557,345.04</w:t>
            </w:r>
          </w:p>
        </w:tc>
        <w:tc>
          <w:tcPr>
            <w:tcW w:w="1616" w:type="dxa"/>
            <w:vAlign w:val="center"/>
          </w:tcPr>
          <w:p w:rsidR="005B2D52" w:rsidRDefault="00DF7773">
            <w:pPr>
              <w:jc w:val="right"/>
            </w:pPr>
            <w:r>
              <w:rPr>
                <w:rFonts w:eastAsiaTheme="minorEastAsia"/>
                <w:color w:val="000000"/>
                <w:szCs w:val="21"/>
              </w:rPr>
              <w:t>3.03</w:t>
            </w:r>
          </w:p>
        </w:tc>
      </w:tr>
      <w:tr w:rsidR="005B2D52" w:rsidTr="00C45FFB">
        <w:tc>
          <w:tcPr>
            <w:tcW w:w="817" w:type="dxa"/>
            <w:vAlign w:val="center"/>
          </w:tcPr>
          <w:p w:rsidR="005B2D52" w:rsidRDefault="00DF7773">
            <w:pPr>
              <w:jc w:val="center"/>
            </w:pPr>
            <w:r>
              <w:rPr>
                <w:rFonts w:eastAsiaTheme="minorEastAsia"/>
                <w:color w:val="000000"/>
                <w:szCs w:val="21"/>
              </w:rPr>
              <w:t>9</w:t>
            </w:r>
          </w:p>
        </w:tc>
        <w:tc>
          <w:tcPr>
            <w:tcW w:w="1276" w:type="dxa"/>
            <w:vAlign w:val="center"/>
          </w:tcPr>
          <w:p w:rsidR="005B2D52" w:rsidRDefault="00DF7773">
            <w:pPr>
              <w:jc w:val="center"/>
            </w:pPr>
            <w:r>
              <w:rPr>
                <w:rFonts w:eastAsiaTheme="minorEastAsia"/>
                <w:color w:val="000000"/>
                <w:szCs w:val="21"/>
              </w:rPr>
              <w:t>H00288</w:t>
            </w:r>
          </w:p>
        </w:tc>
        <w:tc>
          <w:tcPr>
            <w:tcW w:w="1701" w:type="dxa"/>
            <w:vAlign w:val="center"/>
          </w:tcPr>
          <w:p w:rsidR="005B2D52" w:rsidRDefault="00DF7773">
            <w:pPr>
              <w:jc w:val="center"/>
            </w:pPr>
            <w:r>
              <w:rPr>
                <w:rFonts w:eastAsiaTheme="minorEastAsia"/>
                <w:color w:val="000000"/>
                <w:szCs w:val="21"/>
              </w:rPr>
              <w:t>万洲国际</w:t>
            </w:r>
          </w:p>
        </w:tc>
        <w:tc>
          <w:tcPr>
            <w:tcW w:w="1451" w:type="dxa"/>
            <w:vAlign w:val="center"/>
          </w:tcPr>
          <w:p w:rsidR="005B2D52" w:rsidRDefault="00DF7773">
            <w:pPr>
              <w:jc w:val="right"/>
            </w:pPr>
            <w:r>
              <w:rPr>
                <w:rFonts w:eastAsiaTheme="minorEastAsia"/>
                <w:color w:val="000000"/>
                <w:szCs w:val="21"/>
              </w:rPr>
              <w:t>508,000.00</w:t>
            </w:r>
          </w:p>
        </w:tc>
        <w:tc>
          <w:tcPr>
            <w:tcW w:w="1667" w:type="dxa"/>
            <w:vAlign w:val="center"/>
          </w:tcPr>
          <w:p w:rsidR="005B2D52" w:rsidRDefault="00DF7773">
            <w:pPr>
              <w:jc w:val="right"/>
            </w:pPr>
            <w:r>
              <w:rPr>
                <w:rFonts w:eastAsiaTheme="minorEastAsia"/>
                <w:color w:val="000000"/>
                <w:szCs w:val="21"/>
              </w:rPr>
              <w:t>3,539,188.86</w:t>
            </w:r>
          </w:p>
        </w:tc>
        <w:tc>
          <w:tcPr>
            <w:tcW w:w="1616" w:type="dxa"/>
            <w:vAlign w:val="center"/>
          </w:tcPr>
          <w:p w:rsidR="005B2D52" w:rsidRDefault="00DF7773">
            <w:pPr>
              <w:jc w:val="right"/>
            </w:pPr>
            <w:r>
              <w:rPr>
                <w:rFonts w:eastAsiaTheme="minorEastAsia"/>
                <w:color w:val="000000"/>
                <w:szCs w:val="21"/>
              </w:rPr>
              <w:t>3.01</w:t>
            </w:r>
          </w:p>
        </w:tc>
      </w:tr>
      <w:tr w:rsidR="005B2D52" w:rsidTr="00C45FFB">
        <w:tc>
          <w:tcPr>
            <w:tcW w:w="817" w:type="dxa"/>
            <w:vAlign w:val="center"/>
          </w:tcPr>
          <w:p w:rsidR="005B2D52" w:rsidRDefault="00DF7773">
            <w:pPr>
              <w:jc w:val="center"/>
            </w:pPr>
            <w:r>
              <w:rPr>
                <w:rFonts w:eastAsiaTheme="minorEastAsia"/>
                <w:color w:val="000000"/>
                <w:szCs w:val="21"/>
              </w:rPr>
              <w:t>10</w:t>
            </w:r>
          </w:p>
        </w:tc>
        <w:tc>
          <w:tcPr>
            <w:tcW w:w="1276" w:type="dxa"/>
            <w:vAlign w:val="center"/>
          </w:tcPr>
          <w:p w:rsidR="005B2D52" w:rsidRDefault="00DF7773">
            <w:pPr>
              <w:jc w:val="center"/>
            </w:pPr>
            <w:r>
              <w:rPr>
                <w:rFonts w:eastAsiaTheme="minorEastAsia"/>
                <w:color w:val="000000"/>
                <w:szCs w:val="21"/>
              </w:rPr>
              <w:t>H00175</w:t>
            </w:r>
          </w:p>
        </w:tc>
        <w:tc>
          <w:tcPr>
            <w:tcW w:w="1701" w:type="dxa"/>
            <w:vAlign w:val="center"/>
          </w:tcPr>
          <w:p w:rsidR="005B2D52" w:rsidRDefault="00DF7773">
            <w:pPr>
              <w:jc w:val="center"/>
            </w:pPr>
            <w:r>
              <w:rPr>
                <w:rFonts w:eastAsiaTheme="minorEastAsia"/>
                <w:color w:val="000000"/>
                <w:szCs w:val="21"/>
              </w:rPr>
              <w:t>吉利汽车</w:t>
            </w:r>
          </w:p>
        </w:tc>
        <w:tc>
          <w:tcPr>
            <w:tcW w:w="1451" w:type="dxa"/>
            <w:vAlign w:val="center"/>
          </w:tcPr>
          <w:p w:rsidR="005B2D52" w:rsidRDefault="00DF7773">
            <w:pPr>
              <w:jc w:val="right"/>
            </w:pPr>
            <w:r>
              <w:rPr>
                <w:rFonts w:eastAsiaTheme="minorEastAsia"/>
                <w:color w:val="000000"/>
                <w:szCs w:val="21"/>
              </w:rPr>
              <w:t>290,000.00</w:t>
            </w:r>
          </w:p>
        </w:tc>
        <w:tc>
          <w:tcPr>
            <w:tcW w:w="1667" w:type="dxa"/>
            <w:vAlign w:val="center"/>
          </w:tcPr>
          <w:p w:rsidR="005B2D52" w:rsidRDefault="00DF7773">
            <w:pPr>
              <w:jc w:val="right"/>
            </w:pPr>
            <w:r>
              <w:rPr>
                <w:rFonts w:eastAsiaTheme="minorEastAsia"/>
                <w:color w:val="000000"/>
                <w:szCs w:val="21"/>
              </w:rPr>
              <w:t>3,408,154.70</w:t>
            </w:r>
          </w:p>
        </w:tc>
        <w:tc>
          <w:tcPr>
            <w:tcW w:w="1616" w:type="dxa"/>
            <w:vAlign w:val="center"/>
          </w:tcPr>
          <w:p w:rsidR="005B2D52" w:rsidRDefault="00DF7773">
            <w:pPr>
              <w:jc w:val="right"/>
            </w:pPr>
            <w:r>
              <w:rPr>
                <w:rFonts w:eastAsiaTheme="minorEastAsia"/>
                <w:color w:val="000000"/>
                <w:szCs w:val="21"/>
              </w:rPr>
              <w:t>2.90</w:t>
            </w:r>
          </w:p>
        </w:tc>
      </w:tr>
    </w:tbl>
    <w:p w:rsidR="00E62EC2" w:rsidRPr="00E62EC2" w:rsidRDefault="00E62EC2" w:rsidP="00136B9D">
      <w:pPr>
        <w:tabs>
          <w:tab w:val="left" w:pos="426"/>
        </w:tabs>
        <w:spacing w:line="360" w:lineRule="auto"/>
        <w:jc w:val="left"/>
        <w:rPr>
          <w:rFonts w:eastAsiaTheme="minorEastAsia"/>
          <w:kern w:val="0"/>
          <w:szCs w:val="21"/>
        </w:rPr>
      </w:pPr>
      <w:bookmarkStart w:id="62" w:name="_Toc390421260"/>
      <w:r w:rsidRPr="00FB50BD">
        <w:rPr>
          <w:rFonts w:eastAsiaTheme="minorEastAsia" w:hint="eastAsia"/>
          <w:kern w:val="0"/>
          <w:szCs w:val="21"/>
        </w:rPr>
        <w:t>注：投资者欲了解本报告期末基金投资的所有股票明细，应阅读登载于本基金管理人网站（</w:t>
      </w:r>
      <w:hyperlink r:id="rId10" w:history="1">
        <w:r w:rsidRPr="00FB50BD">
          <w:rPr>
            <w:rFonts w:eastAsiaTheme="minorEastAsia"/>
            <w:kern w:val="0"/>
            <w:szCs w:val="21"/>
          </w:rPr>
          <w:t>www.cifm.com</w:t>
        </w:r>
      </w:hyperlink>
      <w:r w:rsidRPr="00FB50BD">
        <w:rPr>
          <w:rFonts w:eastAsiaTheme="minorEastAsia" w:hint="eastAsia"/>
          <w:kern w:val="0"/>
          <w:szCs w:val="21"/>
        </w:rPr>
        <w:t>）的半年度报告正文。</w:t>
      </w:r>
    </w:p>
    <w:p w:rsidR="006B65E1" w:rsidRPr="00C56F63" w:rsidRDefault="00945F2E" w:rsidP="00572E9A">
      <w:pPr>
        <w:pStyle w:val="2"/>
        <w:spacing w:beforeLines="100" w:before="312" w:after="0"/>
        <w:rPr>
          <w:rFonts w:ascii="Times New Roman" w:eastAsiaTheme="minorEastAsia" w:hAnsi="Times New Roman"/>
          <w:kern w:val="0"/>
          <w:sz w:val="21"/>
          <w:szCs w:val="21"/>
        </w:rPr>
      </w:pPr>
      <w:r w:rsidRPr="00C56F63">
        <w:rPr>
          <w:rFonts w:ascii="Times New Roman" w:eastAsiaTheme="minorEastAsia" w:hAnsi="Times New Roman"/>
          <w:kern w:val="0"/>
          <w:sz w:val="21"/>
          <w:szCs w:val="21"/>
        </w:rPr>
        <w:t>7.4</w:t>
      </w:r>
      <w:bookmarkStart w:id="63"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62"/>
      <w:bookmarkEnd w:id="63"/>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lastRenderedPageBreak/>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5B2D52">
        <w:tc>
          <w:tcPr>
            <w:tcW w:w="870" w:type="dxa"/>
            <w:vAlign w:val="center"/>
          </w:tcPr>
          <w:p w:rsidR="005B2D52" w:rsidRDefault="00DF7773">
            <w:pPr>
              <w:jc w:val="center"/>
            </w:pPr>
            <w:r>
              <w:rPr>
                <w:rFonts w:eastAsiaTheme="minorEastAsia"/>
                <w:szCs w:val="21"/>
              </w:rPr>
              <w:t>1</w:t>
            </w:r>
          </w:p>
        </w:tc>
        <w:tc>
          <w:tcPr>
            <w:tcW w:w="1650" w:type="dxa"/>
            <w:vAlign w:val="center"/>
          </w:tcPr>
          <w:p w:rsidR="005B2D52" w:rsidRDefault="00DF7773">
            <w:pPr>
              <w:jc w:val="center"/>
            </w:pPr>
            <w:r>
              <w:rPr>
                <w:rFonts w:eastAsiaTheme="minorEastAsia"/>
                <w:szCs w:val="21"/>
              </w:rPr>
              <w:t>00175</w:t>
            </w:r>
          </w:p>
        </w:tc>
        <w:tc>
          <w:tcPr>
            <w:tcW w:w="1980" w:type="dxa"/>
            <w:vAlign w:val="center"/>
          </w:tcPr>
          <w:p w:rsidR="005B2D52" w:rsidRDefault="00DF7773">
            <w:pPr>
              <w:jc w:val="center"/>
            </w:pPr>
            <w:r>
              <w:rPr>
                <w:rFonts w:eastAsiaTheme="minorEastAsia"/>
                <w:szCs w:val="21"/>
              </w:rPr>
              <w:t>吉利汽车</w:t>
            </w:r>
          </w:p>
        </w:tc>
        <w:tc>
          <w:tcPr>
            <w:tcW w:w="2880" w:type="dxa"/>
            <w:vAlign w:val="center"/>
          </w:tcPr>
          <w:p w:rsidR="005B2D52" w:rsidRDefault="00DF7773">
            <w:pPr>
              <w:jc w:val="right"/>
            </w:pPr>
            <w:r>
              <w:rPr>
                <w:rFonts w:eastAsiaTheme="minorEastAsia"/>
                <w:szCs w:val="21"/>
              </w:rPr>
              <w:t>8,522,829.07</w:t>
            </w:r>
          </w:p>
        </w:tc>
        <w:tc>
          <w:tcPr>
            <w:tcW w:w="1620" w:type="dxa"/>
            <w:vAlign w:val="center"/>
          </w:tcPr>
          <w:p w:rsidR="005B2D52" w:rsidRDefault="00DF7773">
            <w:pPr>
              <w:jc w:val="right"/>
            </w:pPr>
            <w:r>
              <w:rPr>
                <w:rFonts w:eastAsiaTheme="minorEastAsia"/>
                <w:szCs w:val="21"/>
              </w:rPr>
              <w:t>6.05</w:t>
            </w:r>
          </w:p>
        </w:tc>
      </w:tr>
      <w:tr w:rsidR="005B2D52">
        <w:tc>
          <w:tcPr>
            <w:tcW w:w="870" w:type="dxa"/>
            <w:vAlign w:val="center"/>
          </w:tcPr>
          <w:p w:rsidR="005B2D52" w:rsidRDefault="00DF7773">
            <w:pPr>
              <w:jc w:val="center"/>
            </w:pPr>
            <w:r>
              <w:rPr>
                <w:rFonts w:eastAsiaTheme="minorEastAsia"/>
                <w:szCs w:val="21"/>
              </w:rPr>
              <w:t>2</w:t>
            </w:r>
          </w:p>
        </w:tc>
        <w:tc>
          <w:tcPr>
            <w:tcW w:w="1650" w:type="dxa"/>
            <w:vAlign w:val="center"/>
          </w:tcPr>
          <w:p w:rsidR="005B2D52" w:rsidRDefault="00DF7773">
            <w:pPr>
              <w:jc w:val="center"/>
            </w:pPr>
            <w:r>
              <w:rPr>
                <w:rFonts w:eastAsiaTheme="minorEastAsia"/>
                <w:szCs w:val="21"/>
              </w:rPr>
              <w:t>01299</w:t>
            </w:r>
          </w:p>
        </w:tc>
        <w:tc>
          <w:tcPr>
            <w:tcW w:w="1980" w:type="dxa"/>
            <w:vAlign w:val="center"/>
          </w:tcPr>
          <w:p w:rsidR="005B2D52" w:rsidRDefault="00DF7773">
            <w:pPr>
              <w:jc w:val="center"/>
            </w:pPr>
            <w:r>
              <w:rPr>
                <w:rFonts w:eastAsiaTheme="minorEastAsia"/>
                <w:szCs w:val="21"/>
              </w:rPr>
              <w:t>友邦保险</w:t>
            </w:r>
          </w:p>
        </w:tc>
        <w:tc>
          <w:tcPr>
            <w:tcW w:w="2880" w:type="dxa"/>
            <w:vAlign w:val="center"/>
          </w:tcPr>
          <w:p w:rsidR="005B2D52" w:rsidRDefault="00DF7773">
            <w:pPr>
              <w:jc w:val="right"/>
            </w:pPr>
            <w:r>
              <w:rPr>
                <w:rFonts w:eastAsiaTheme="minorEastAsia"/>
                <w:szCs w:val="21"/>
              </w:rPr>
              <w:t>6,592,728.00</w:t>
            </w:r>
          </w:p>
        </w:tc>
        <w:tc>
          <w:tcPr>
            <w:tcW w:w="1620" w:type="dxa"/>
            <w:vAlign w:val="center"/>
          </w:tcPr>
          <w:p w:rsidR="005B2D52" w:rsidRDefault="00DF7773">
            <w:pPr>
              <w:jc w:val="right"/>
            </w:pPr>
            <w:r>
              <w:rPr>
                <w:rFonts w:eastAsiaTheme="minorEastAsia"/>
                <w:szCs w:val="21"/>
              </w:rPr>
              <w:t>4.68</w:t>
            </w:r>
          </w:p>
        </w:tc>
      </w:tr>
      <w:tr w:rsidR="005B2D52">
        <w:tc>
          <w:tcPr>
            <w:tcW w:w="870" w:type="dxa"/>
            <w:vAlign w:val="center"/>
          </w:tcPr>
          <w:p w:rsidR="005B2D52" w:rsidRDefault="00DF7773">
            <w:pPr>
              <w:jc w:val="center"/>
            </w:pPr>
            <w:r>
              <w:rPr>
                <w:rFonts w:eastAsiaTheme="minorEastAsia"/>
                <w:szCs w:val="21"/>
              </w:rPr>
              <w:t>3</w:t>
            </w:r>
          </w:p>
        </w:tc>
        <w:tc>
          <w:tcPr>
            <w:tcW w:w="1650" w:type="dxa"/>
            <w:vAlign w:val="center"/>
          </w:tcPr>
          <w:p w:rsidR="005B2D52" w:rsidRDefault="00DF7773">
            <w:pPr>
              <w:jc w:val="center"/>
            </w:pPr>
            <w:r>
              <w:rPr>
                <w:rFonts w:eastAsiaTheme="minorEastAsia"/>
                <w:szCs w:val="21"/>
              </w:rPr>
              <w:t>06886</w:t>
            </w:r>
          </w:p>
        </w:tc>
        <w:tc>
          <w:tcPr>
            <w:tcW w:w="1980" w:type="dxa"/>
            <w:vAlign w:val="center"/>
          </w:tcPr>
          <w:p w:rsidR="005B2D52" w:rsidRDefault="00DF7773">
            <w:pPr>
              <w:jc w:val="center"/>
            </w:pPr>
            <w:r>
              <w:rPr>
                <w:rFonts w:eastAsiaTheme="minorEastAsia"/>
                <w:szCs w:val="21"/>
              </w:rPr>
              <w:t>HTSC</w:t>
            </w:r>
          </w:p>
        </w:tc>
        <w:tc>
          <w:tcPr>
            <w:tcW w:w="2880" w:type="dxa"/>
            <w:vAlign w:val="center"/>
          </w:tcPr>
          <w:p w:rsidR="005B2D52" w:rsidRDefault="00DF7773">
            <w:pPr>
              <w:jc w:val="right"/>
            </w:pPr>
            <w:r>
              <w:rPr>
                <w:rFonts w:eastAsiaTheme="minorEastAsia"/>
                <w:szCs w:val="21"/>
              </w:rPr>
              <w:t>4,758,662.01</w:t>
            </w:r>
          </w:p>
        </w:tc>
        <w:tc>
          <w:tcPr>
            <w:tcW w:w="1620" w:type="dxa"/>
            <w:vAlign w:val="center"/>
          </w:tcPr>
          <w:p w:rsidR="005B2D52" w:rsidRDefault="00DF7773">
            <w:pPr>
              <w:jc w:val="right"/>
            </w:pPr>
            <w:r>
              <w:rPr>
                <w:rFonts w:eastAsiaTheme="minorEastAsia"/>
                <w:szCs w:val="21"/>
              </w:rPr>
              <w:t>3.38</w:t>
            </w:r>
          </w:p>
        </w:tc>
      </w:tr>
      <w:tr w:rsidR="005B2D52">
        <w:tc>
          <w:tcPr>
            <w:tcW w:w="870" w:type="dxa"/>
            <w:vAlign w:val="center"/>
          </w:tcPr>
          <w:p w:rsidR="005B2D52" w:rsidRDefault="00DF7773">
            <w:pPr>
              <w:jc w:val="center"/>
            </w:pPr>
            <w:r>
              <w:rPr>
                <w:rFonts w:eastAsiaTheme="minorEastAsia"/>
                <w:szCs w:val="21"/>
              </w:rPr>
              <w:t>4</w:t>
            </w:r>
          </w:p>
        </w:tc>
        <w:tc>
          <w:tcPr>
            <w:tcW w:w="1650" w:type="dxa"/>
            <w:vAlign w:val="center"/>
          </w:tcPr>
          <w:p w:rsidR="005B2D52" w:rsidRDefault="00DF7773">
            <w:pPr>
              <w:jc w:val="center"/>
            </w:pPr>
            <w:r>
              <w:rPr>
                <w:rFonts w:eastAsiaTheme="minorEastAsia"/>
                <w:szCs w:val="21"/>
              </w:rPr>
              <w:t>00941</w:t>
            </w:r>
          </w:p>
        </w:tc>
        <w:tc>
          <w:tcPr>
            <w:tcW w:w="1980" w:type="dxa"/>
            <w:vAlign w:val="center"/>
          </w:tcPr>
          <w:p w:rsidR="005B2D52" w:rsidRDefault="00DF7773">
            <w:pPr>
              <w:jc w:val="center"/>
            </w:pPr>
            <w:r>
              <w:rPr>
                <w:rFonts w:eastAsiaTheme="minorEastAsia"/>
                <w:szCs w:val="21"/>
              </w:rPr>
              <w:t>中国移动</w:t>
            </w:r>
          </w:p>
        </w:tc>
        <w:tc>
          <w:tcPr>
            <w:tcW w:w="2880" w:type="dxa"/>
            <w:vAlign w:val="center"/>
          </w:tcPr>
          <w:p w:rsidR="005B2D52" w:rsidRDefault="00DF7773">
            <w:pPr>
              <w:jc w:val="right"/>
            </w:pPr>
            <w:r>
              <w:rPr>
                <w:rFonts w:eastAsiaTheme="minorEastAsia"/>
                <w:szCs w:val="21"/>
              </w:rPr>
              <w:t>4,628,192.26</w:t>
            </w:r>
          </w:p>
        </w:tc>
        <w:tc>
          <w:tcPr>
            <w:tcW w:w="1620" w:type="dxa"/>
            <w:vAlign w:val="center"/>
          </w:tcPr>
          <w:p w:rsidR="005B2D52" w:rsidRDefault="00DF7773">
            <w:pPr>
              <w:jc w:val="right"/>
            </w:pPr>
            <w:r>
              <w:rPr>
                <w:rFonts w:eastAsiaTheme="minorEastAsia"/>
                <w:szCs w:val="21"/>
              </w:rPr>
              <w:t>3.28</w:t>
            </w:r>
          </w:p>
        </w:tc>
      </w:tr>
      <w:tr w:rsidR="005B2D52">
        <w:tc>
          <w:tcPr>
            <w:tcW w:w="870" w:type="dxa"/>
            <w:vAlign w:val="center"/>
          </w:tcPr>
          <w:p w:rsidR="005B2D52" w:rsidRDefault="00DF7773">
            <w:pPr>
              <w:jc w:val="center"/>
            </w:pPr>
            <w:r>
              <w:rPr>
                <w:rFonts w:eastAsiaTheme="minorEastAsia"/>
                <w:szCs w:val="21"/>
              </w:rPr>
              <w:t>5</w:t>
            </w:r>
          </w:p>
        </w:tc>
        <w:tc>
          <w:tcPr>
            <w:tcW w:w="1650" w:type="dxa"/>
            <w:vAlign w:val="center"/>
          </w:tcPr>
          <w:p w:rsidR="005B2D52" w:rsidRDefault="00DF7773">
            <w:pPr>
              <w:jc w:val="center"/>
            </w:pPr>
            <w:r>
              <w:rPr>
                <w:rFonts w:eastAsiaTheme="minorEastAsia"/>
                <w:szCs w:val="21"/>
              </w:rPr>
              <w:t>03888</w:t>
            </w:r>
          </w:p>
        </w:tc>
        <w:tc>
          <w:tcPr>
            <w:tcW w:w="1980" w:type="dxa"/>
            <w:vAlign w:val="center"/>
          </w:tcPr>
          <w:p w:rsidR="005B2D52" w:rsidRDefault="00DF7773">
            <w:pPr>
              <w:jc w:val="center"/>
            </w:pPr>
            <w:r>
              <w:rPr>
                <w:rFonts w:eastAsiaTheme="minorEastAsia"/>
                <w:szCs w:val="21"/>
              </w:rPr>
              <w:t>金山软件</w:t>
            </w:r>
          </w:p>
        </w:tc>
        <w:tc>
          <w:tcPr>
            <w:tcW w:w="2880" w:type="dxa"/>
            <w:vAlign w:val="center"/>
          </w:tcPr>
          <w:p w:rsidR="005B2D52" w:rsidRDefault="00DF7773">
            <w:pPr>
              <w:jc w:val="right"/>
            </w:pPr>
            <w:r>
              <w:rPr>
                <w:rFonts w:eastAsiaTheme="minorEastAsia"/>
                <w:szCs w:val="21"/>
              </w:rPr>
              <w:t>4,320,811.25</w:t>
            </w:r>
          </w:p>
        </w:tc>
        <w:tc>
          <w:tcPr>
            <w:tcW w:w="1620" w:type="dxa"/>
            <w:vAlign w:val="center"/>
          </w:tcPr>
          <w:p w:rsidR="005B2D52" w:rsidRDefault="00DF7773">
            <w:pPr>
              <w:jc w:val="right"/>
            </w:pPr>
            <w:r>
              <w:rPr>
                <w:rFonts w:eastAsiaTheme="minorEastAsia"/>
                <w:szCs w:val="21"/>
              </w:rPr>
              <w:t>3.07</w:t>
            </w:r>
          </w:p>
        </w:tc>
      </w:tr>
      <w:tr w:rsidR="005B2D52">
        <w:tc>
          <w:tcPr>
            <w:tcW w:w="870" w:type="dxa"/>
            <w:vAlign w:val="center"/>
          </w:tcPr>
          <w:p w:rsidR="005B2D52" w:rsidRDefault="00DF7773">
            <w:pPr>
              <w:jc w:val="center"/>
            </w:pPr>
            <w:r>
              <w:rPr>
                <w:rFonts w:eastAsiaTheme="minorEastAsia"/>
                <w:szCs w:val="21"/>
              </w:rPr>
              <w:t>6</w:t>
            </w:r>
          </w:p>
        </w:tc>
        <w:tc>
          <w:tcPr>
            <w:tcW w:w="1650" w:type="dxa"/>
            <w:vAlign w:val="center"/>
          </w:tcPr>
          <w:p w:rsidR="005B2D52" w:rsidRDefault="00DF7773">
            <w:pPr>
              <w:jc w:val="center"/>
            </w:pPr>
            <w:r>
              <w:rPr>
                <w:rFonts w:eastAsiaTheme="minorEastAsia"/>
                <w:szCs w:val="21"/>
              </w:rPr>
              <w:t>01336</w:t>
            </w:r>
          </w:p>
        </w:tc>
        <w:tc>
          <w:tcPr>
            <w:tcW w:w="1980" w:type="dxa"/>
            <w:vAlign w:val="center"/>
          </w:tcPr>
          <w:p w:rsidR="005B2D52" w:rsidRDefault="00DF7773">
            <w:pPr>
              <w:jc w:val="center"/>
            </w:pPr>
            <w:r>
              <w:rPr>
                <w:rFonts w:eastAsiaTheme="minorEastAsia"/>
                <w:szCs w:val="21"/>
              </w:rPr>
              <w:t>新华保险</w:t>
            </w:r>
          </w:p>
        </w:tc>
        <w:tc>
          <w:tcPr>
            <w:tcW w:w="2880" w:type="dxa"/>
            <w:vAlign w:val="center"/>
          </w:tcPr>
          <w:p w:rsidR="005B2D52" w:rsidRDefault="00DF7773">
            <w:pPr>
              <w:jc w:val="right"/>
            </w:pPr>
            <w:r>
              <w:rPr>
                <w:rFonts w:eastAsiaTheme="minorEastAsia"/>
                <w:szCs w:val="21"/>
              </w:rPr>
              <w:t>3,813,769.44</w:t>
            </w:r>
          </w:p>
        </w:tc>
        <w:tc>
          <w:tcPr>
            <w:tcW w:w="1620" w:type="dxa"/>
            <w:vAlign w:val="center"/>
          </w:tcPr>
          <w:p w:rsidR="005B2D52" w:rsidRDefault="00DF7773">
            <w:pPr>
              <w:jc w:val="right"/>
            </w:pPr>
            <w:r>
              <w:rPr>
                <w:rFonts w:eastAsiaTheme="minorEastAsia"/>
                <w:szCs w:val="21"/>
              </w:rPr>
              <w:t>2.71</w:t>
            </w:r>
          </w:p>
        </w:tc>
      </w:tr>
      <w:tr w:rsidR="005B2D52">
        <w:tc>
          <w:tcPr>
            <w:tcW w:w="870" w:type="dxa"/>
            <w:vAlign w:val="center"/>
          </w:tcPr>
          <w:p w:rsidR="005B2D52" w:rsidRDefault="00DF7773">
            <w:pPr>
              <w:jc w:val="center"/>
            </w:pPr>
            <w:r>
              <w:rPr>
                <w:rFonts w:eastAsiaTheme="minorEastAsia"/>
                <w:szCs w:val="21"/>
              </w:rPr>
              <w:t>7</w:t>
            </w:r>
          </w:p>
        </w:tc>
        <w:tc>
          <w:tcPr>
            <w:tcW w:w="1650" w:type="dxa"/>
            <w:vAlign w:val="center"/>
          </w:tcPr>
          <w:p w:rsidR="005B2D52" w:rsidRDefault="00DF7773">
            <w:pPr>
              <w:jc w:val="center"/>
            </w:pPr>
            <w:r>
              <w:rPr>
                <w:rFonts w:eastAsiaTheme="minorEastAsia"/>
                <w:szCs w:val="21"/>
              </w:rPr>
              <w:t>00288</w:t>
            </w:r>
          </w:p>
        </w:tc>
        <w:tc>
          <w:tcPr>
            <w:tcW w:w="1980" w:type="dxa"/>
            <w:vAlign w:val="center"/>
          </w:tcPr>
          <w:p w:rsidR="005B2D52" w:rsidRDefault="00DF7773">
            <w:pPr>
              <w:jc w:val="center"/>
            </w:pPr>
            <w:r>
              <w:rPr>
                <w:rFonts w:eastAsiaTheme="minorEastAsia"/>
                <w:szCs w:val="21"/>
              </w:rPr>
              <w:t>万洲国际</w:t>
            </w:r>
          </w:p>
        </w:tc>
        <w:tc>
          <w:tcPr>
            <w:tcW w:w="2880" w:type="dxa"/>
            <w:vAlign w:val="center"/>
          </w:tcPr>
          <w:p w:rsidR="005B2D52" w:rsidRDefault="00DF7773">
            <w:pPr>
              <w:jc w:val="right"/>
            </w:pPr>
            <w:r>
              <w:rPr>
                <w:rFonts w:eastAsiaTheme="minorEastAsia"/>
                <w:szCs w:val="21"/>
              </w:rPr>
              <w:t>3,657,483.48</w:t>
            </w:r>
          </w:p>
        </w:tc>
        <w:tc>
          <w:tcPr>
            <w:tcW w:w="1620" w:type="dxa"/>
            <w:vAlign w:val="center"/>
          </w:tcPr>
          <w:p w:rsidR="005B2D52" w:rsidRDefault="00DF7773">
            <w:pPr>
              <w:jc w:val="right"/>
            </w:pPr>
            <w:r>
              <w:rPr>
                <w:rFonts w:eastAsiaTheme="minorEastAsia"/>
                <w:szCs w:val="21"/>
              </w:rPr>
              <w:t>2.60</w:t>
            </w:r>
          </w:p>
        </w:tc>
      </w:tr>
      <w:tr w:rsidR="005B2D52">
        <w:tc>
          <w:tcPr>
            <w:tcW w:w="870" w:type="dxa"/>
            <w:vAlign w:val="center"/>
          </w:tcPr>
          <w:p w:rsidR="005B2D52" w:rsidRDefault="00DF7773">
            <w:pPr>
              <w:jc w:val="center"/>
            </w:pPr>
            <w:r>
              <w:rPr>
                <w:rFonts w:eastAsiaTheme="minorEastAsia"/>
                <w:szCs w:val="21"/>
              </w:rPr>
              <w:t>8</w:t>
            </w:r>
          </w:p>
        </w:tc>
        <w:tc>
          <w:tcPr>
            <w:tcW w:w="1650" w:type="dxa"/>
            <w:vAlign w:val="center"/>
          </w:tcPr>
          <w:p w:rsidR="005B2D52" w:rsidRDefault="00DF7773">
            <w:pPr>
              <w:jc w:val="center"/>
            </w:pPr>
            <w:r>
              <w:rPr>
                <w:rFonts w:eastAsiaTheme="minorEastAsia"/>
                <w:szCs w:val="21"/>
              </w:rPr>
              <w:t>00780</w:t>
            </w:r>
          </w:p>
        </w:tc>
        <w:tc>
          <w:tcPr>
            <w:tcW w:w="1980" w:type="dxa"/>
            <w:vAlign w:val="center"/>
          </w:tcPr>
          <w:p w:rsidR="005B2D52" w:rsidRDefault="00DF7773">
            <w:pPr>
              <w:jc w:val="center"/>
            </w:pPr>
            <w:r>
              <w:rPr>
                <w:rFonts w:eastAsiaTheme="minorEastAsia"/>
                <w:szCs w:val="21"/>
              </w:rPr>
              <w:t>同程艺龙</w:t>
            </w:r>
          </w:p>
        </w:tc>
        <w:tc>
          <w:tcPr>
            <w:tcW w:w="2880" w:type="dxa"/>
            <w:vAlign w:val="center"/>
          </w:tcPr>
          <w:p w:rsidR="005B2D52" w:rsidRDefault="00DF7773">
            <w:pPr>
              <w:jc w:val="right"/>
            </w:pPr>
            <w:r>
              <w:rPr>
                <w:rFonts w:eastAsiaTheme="minorEastAsia"/>
                <w:szCs w:val="21"/>
              </w:rPr>
              <w:t>3,609,506.67</w:t>
            </w:r>
          </w:p>
        </w:tc>
        <w:tc>
          <w:tcPr>
            <w:tcW w:w="1620" w:type="dxa"/>
            <w:vAlign w:val="center"/>
          </w:tcPr>
          <w:p w:rsidR="005B2D52" w:rsidRDefault="00DF7773">
            <w:pPr>
              <w:jc w:val="right"/>
            </w:pPr>
            <w:r>
              <w:rPr>
                <w:rFonts w:eastAsiaTheme="minorEastAsia"/>
                <w:szCs w:val="21"/>
              </w:rPr>
              <w:t>2.56</w:t>
            </w:r>
          </w:p>
        </w:tc>
      </w:tr>
      <w:tr w:rsidR="005B2D52">
        <w:tc>
          <w:tcPr>
            <w:tcW w:w="870" w:type="dxa"/>
            <w:vAlign w:val="center"/>
          </w:tcPr>
          <w:p w:rsidR="005B2D52" w:rsidRDefault="00DF7773">
            <w:pPr>
              <w:jc w:val="center"/>
            </w:pPr>
            <w:r>
              <w:rPr>
                <w:rFonts w:eastAsiaTheme="minorEastAsia"/>
                <w:szCs w:val="21"/>
              </w:rPr>
              <w:t>9</w:t>
            </w:r>
          </w:p>
        </w:tc>
        <w:tc>
          <w:tcPr>
            <w:tcW w:w="1650" w:type="dxa"/>
            <w:vAlign w:val="center"/>
          </w:tcPr>
          <w:p w:rsidR="005B2D52" w:rsidRDefault="00DF7773">
            <w:pPr>
              <w:jc w:val="center"/>
            </w:pPr>
            <w:r>
              <w:rPr>
                <w:rFonts w:eastAsiaTheme="minorEastAsia"/>
                <w:szCs w:val="21"/>
              </w:rPr>
              <w:t>00388</w:t>
            </w:r>
          </w:p>
        </w:tc>
        <w:tc>
          <w:tcPr>
            <w:tcW w:w="1980" w:type="dxa"/>
            <w:vAlign w:val="center"/>
          </w:tcPr>
          <w:p w:rsidR="005B2D52" w:rsidRDefault="00DF7773">
            <w:pPr>
              <w:jc w:val="center"/>
            </w:pPr>
            <w:r>
              <w:rPr>
                <w:rFonts w:eastAsiaTheme="minorEastAsia"/>
                <w:szCs w:val="21"/>
              </w:rPr>
              <w:t>香港交易所</w:t>
            </w:r>
          </w:p>
        </w:tc>
        <w:tc>
          <w:tcPr>
            <w:tcW w:w="2880" w:type="dxa"/>
            <w:vAlign w:val="center"/>
          </w:tcPr>
          <w:p w:rsidR="005B2D52" w:rsidRDefault="00DF7773">
            <w:pPr>
              <w:jc w:val="right"/>
            </w:pPr>
            <w:r>
              <w:rPr>
                <w:rFonts w:eastAsiaTheme="minorEastAsia"/>
                <w:szCs w:val="21"/>
              </w:rPr>
              <w:t>3,543,991.13</w:t>
            </w:r>
          </w:p>
        </w:tc>
        <w:tc>
          <w:tcPr>
            <w:tcW w:w="1620" w:type="dxa"/>
            <w:vAlign w:val="center"/>
          </w:tcPr>
          <w:p w:rsidR="005B2D52" w:rsidRDefault="00DF7773">
            <w:pPr>
              <w:jc w:val="right"/>
            </w:pPr>
            <w:r>
              <w:rPr>
                <w:rFonts w:eastAsiaTheme="minorEastAsia"/>
                <w:szCs w:val="21"/>
              </w:rPr>
              <w:t>2.51</w:t>
            </w:r>
          </w:p>
        </w:tc>
      </w:tr>
      <w:tr w:rsidR="005B2D52">
        <w:tc>
          <w:tcPr>
            <w:tcW w:w="870" w:type="dxa"/>
            <w:vAlign w:val="center"/>
          </w:tcPr>
          <w:p w:rsidR="005B2D52" w:rsidRDefault="00DF7773">
            <w:pPr>
              <w:jc w:val="center"/>
            </w:pPr>
            <w:r>
              <w:rPr>
                <w:rFonts w:eastAsiaTheme="minorEastAsia"/>
                <w:szCs w:val="21"/>
              </w:rPr>
              <w:t>10</w:t>
            </w:r>
          </w:p>
        </w:tc>
        <w:tc>
          <w:tcPr>
            <w:tcW w:w="1650" w:type="dxa"/>
            <w:vAlign w:val="center"/>
          </w:tcPr>
          <w:p w:rsidR="005B2D52" w:rsidRDefault="00DF7773">
            <w:pPr>
              <w:jc w:val="center"/>
            </w:pPr>
            <w:r>
              <w:rPr>
                <w:rFonts w:eastAsiaTheme="minorEastAsia"/>
                <w:szCs w:val="21"/>
              </w:rPr>
              <w:t>00354</w:t>
            </w:r>
          </w:p>
        </w:tc>
        <w:tc>
          <w:tcPr>
            <w:tcW w:w="1980" w:type="dxa"/>
            <w:vAlign w:val="center"/>
          </w:tcPr>
          <w:p w:rsidR="005B2D52" w:rsidRDefault="00DF7773">
            <w:pPr>
              <w:jc w:val="center"/>
            </w:pPr>
            <w:r>
              <w:rPr>
                <w:rFonts w:eastAsiaTheme="minorEastAsia"/>
                <w:szCs w:val="21"/>
              </w:rPr>
              <w:t>中国软件国际</w:t>
            </w:r>
          </w:p>
        </w:tc>
        <w:tc>
          <w:tcPr>
            <w:tcW w:w="2880" w:type="dxa"/>
            <w:vAlign w:val="center"/>
          </w:tcPr>
          <w:p w:rsidR="005B2D52" w:rsidRDefault="00DF7773">
            <w:pPr>
              <w:jc w:val="right"/>
            </w:pPr>
            <w:r>
              <w:rPr>
                <w:rFonts w:eastAsiaTheme="minorEastAsia"/>
                <w:szCs w:val="21"/>
              </w:rPr>
              <w:t>3,529,210.74</w:t>
            </w:r>
          </w:p>
        </w:tc>
        <w:tc>
          <w:tcPr>
            <w:tcW w:w="1620" w:type="dxa"/>
            <w:vAlign w:val="center"/>
          </w:tcPr>
          <w:p w:rsidR="005B2D52" w:rsidRDefault="00DF7773">
            <w:pPr>
              <w:jc w:val="right"/>
            </w:pPr>
            <w:r>
              <w:rPr>
                <w:rFonts w:eastAsiaTheme="minorEastAsia"/>
                <w:szCs w:val="21"/>
              </w:rPr>
              <w:t>2.50</w:t>
            </w:r>
          </w:p>
        </w:tc>
      </w:tr>
      <w:tr w:rsidR="005B2D52">
        <w:tc>
          <w:tcPr>
            <w:tcW w:w="870" w:type="dxa"/>
            <w:vAlign w:val="center"/>
          </w:tcPr>
          <w:p w:rsidR="005B2D52" w:rsidRDefault="00DF7773">
            <w:pPr>
              <w:jc w:val="center"/>
            </w:pPr>
            <w:r>
              <w:rPr>
                <w:rFonts w:eastAsiaTheme="minorEastAsia"/>
                <w:szCs w:val="21"/>
              </w:rPr>
              <w:t>11</w:t>
            </w:r>
          </w:p>
        </w:tc>
        <w:tc>
          <w:tcPr>
            <w:tcW w:w="1650" w:type="dxa"/>
            <w:vAlign w:val="center"/>
          </w:tcPr>
          <w:p w:rsidR="005B2D52" w:rsidRDefault="00DF7773">
            <w:pPr>
              <w:jc w:val="center"/>
            </w:pPr>
            <w:r>
              <w:rPr>
                <w:rFonts w:eastAsiaTheme="minorEastAsia"/>
                <w:szCs w:val="21"/>
              </w:rPr>
              <w:t>00966</w:t>
            </w:r>
          </w:p>
        </w:tc>
        <w:tc>
          <w:tcPr>
            <w:tcW w:w="1980" w:type="dxa"/>
            <w:vAlign w:val="center"/>
          </w:tcPr>
          <w:p w:rsidR="005B2D52" w:rsidRDefault="00DF7773">
            <w:pPr>
              <w:jc w:val="center"/>
            </w:pPr>
            <w:r>
              <w:rPr>
                <w:rFonts w:eastAsiaTheme="minorEastAsia"/>
                <w:szCs w:val="21"/>
              </w:rPr>
              <w:t>中国太平</w:t>
            </w:r>
          </w:p>
        </w:tc>
        <w:tc>
          <w:tcPr>
            <w:tcW w:w="2880" w:type="dxa"/>
            <w:vAlign w:val="center"/>
          </w:tcPr>
          <w:p w:rsidR="005B2D52" w:rsidRDefault="00DF7773">
            <w:pPr>
              <w:jc w:val="right"/>
            </w:pPr>
            <w:r>
              <w:rPr>
                <w:rFonts w:eastAsiaTheme="minorEastAsia"/>
                <w:szCs w:val="21"/>
              </w:rPr>
              <w:t>3,442,470.72</w:t>
            </w:r>
          </w:p>
        </w:tc>
        <w:tc>
          <w:tcPr>
            <w:tcW w:w="1620" w:type="dxa"/>
            <w:vAlign w:val="center"/>
          </w:tcPr>
          <w:p w:rsidR="005B2D52" w:rsidRDefault="00DF7773">
            <w:pPr>
              <w:jc w:val="right"/>
            </w:pPr>
            <w:r>
              <w:rPr>
                <w:rFonts w:eastAsiaTheme="minorEastAsia"/>
                <w:szCs w:val="21"/>
              </w:rPr>
              <w:t>2.44</w:t>
            </w:r>
          </w:p>
        </w:tc>
      </w:tr>
      <w:tr w:rsidR="005B2D52">
        <w:tc>
          <w:tcPr>
            <w:tcW w:w="870" w:type="dxa"/>
            <w:vAlign w:val="center"/>
          </w:tcPr>
          <w:p w:rsidR="005B2D52" w:rsidRDefault="00DF7773">
            <w:pPr>
              <w:jc w:val="center"/>
            </w:pPr>
            <w:r>
              <w:rPr>
                <w:rFonts w:eastAsiaTheme="minorEastAsia"/>
                <w:szCs w:val="21"/>
              </w:rPr>
              <w:t>12</w:t>
            </w:r>
          </w:p>
        </w:tc>
        <w:tc>
          <w:tcPr>
            <w:tcW w:w="1650" w:type="dxa"/>
            <w:vAlign w:val="center"/>
          </w:tcPr>
          <w:p w:rsidR="005B2D52" w:rsidRDefault="00DF7773">
            <w:pPr>
              <w:jc w:val="center"/>
            </w:pPr>
            <w:r>
              <w:rPr>
                <w:rFonts w:eastAsiaTheme="minorEastAsia"/>
                <w:szCs w:val="21"/>
              </w:rPr>
              <w:t>00551</w:t>
            </w:r>
          </w:p>
        </w:tc>
        <w:tc>
          <w:tcPr>
            <w:tcW w:w="1980" w:type="dxa"/>
            <w:vAlign w:val="center"/>
          </w:tcPr>
          <w:p w:rsidR="005B2D52" w:rsidRDefault="00DF7773">
            <w:pPr>
              <w:jc w:val="center"/>
            </w:pPr>
            <w:r>
              <w:rPr>
                <w:rFonts w:eastAsiaTheme="minorEastAsia"/>
                <w:szCs w:val="21"/>
              </w:rPr>
              <w:t>裕元集团</w:t>
            </w:r>
          </w:p>
        </w:tc>
        <w:tc>
          <w:tcPr>
            <w:tcW w:w="2880" w:type="dxa"/>
            <w:vAlign w:val="center"/>
          </w:tcPr>
          <w:p w:rsidR="005B2D52" w:rsidRDefault="00DF7773">
            <w:pPr>
              <w:jc w:val="right"/>
            </w:pPr>
            <w:r>
              <w:rPr>
                <w:rFonts w:eastAsiaTheme="minorEastAsia"/>
                <w:szCs w:val="21"/>
              </w:rPr>
              <w:t>3,379,916.50</w:t>
            </w:r>
          </w:p>
        </w:tc>
        <w:tc>
          <w:tcPr>
            <w:tcW w:w="1620" w:type="dxa"/>
            <w:vAlign w:val="center"/>
          </w:tcPr>
          <w:p w:rsidR="005B2D52" w:rsidRDefault="00DF7773">
            <w:pPr>
              <w:jc w:val="right"/>
            </w:pPr>
            <w:r>
              <w:rPr>
                <w:rFonts w:eastAsiaTheme="minorEastAsia"/>
                <w:szCs w:val="21"/>
              </w:rPr>
              <w:t>2.40</w:t>
            </w:r>
          </w:p>
        </w:tc>
      </w:tr>
      <w:tr w:rsidR="005B2D52">
        <w:tc>
          <w:tcPr>
            <w:tcW w:w="870" w:type="dxa"/>
            <w:vAlign w:val="center"/>
          </w:tcPr>
          <w:p w:rsidR="005B2D52" w:rsidRDefault="00DF7773">
            <w:pPr>
              <w:jc w:val="center"/>
            </w:pPr>
            <w:r>
              <w:rPr>
                <w:rFonts w:eastAsiaTheme="minorEastAsia"/>
                <w:szCs w:val="21"/>
              </w:rPr>
              <w:t>13</w:t>
            </w:r>
          </w:p>
        </w:tc>
        <w:tc>
          <w:tcPr>
            <w:tcW w:w="1650" w:type="dxa"/>
            <w:vAlign w:val="center"/>
          </w:tcPr>
          <w:p w:rsidR="005B2D52" w:rsidRDefault="00DF7773">
            <w:pPr>
              <w:jc w:val="center"/>
            </w:pPr>
            <w:r>
              <w:rPr>
                <w:rFonts w:eastAsiaTheme="minorEastAsia"/>
                <w:szCs w:val="21"/>
              </w:rPr>
              <w:t>01114</w:t>
            </w:r>
          </w:p>
        </w:tc>
        <w:tc>
          <w:tcPr>
            <w:tcW w:w="1980" w:type="dxa"/>
            <w:vAlign w:val="center"/>
          </w:tcPr>
          <w:p w:rsidR="005B2D52" w:rsidRDefault="00DF7773">
            <w:pPr>
              <w:jc w:val="center"/>
            </w:pPr>
            <w:r>
              <w:rPr>
                <w:rFonts w:eastAsiaTheme="minorEastAsia"/>
                <w:szCs w:val="21"/>
              </w:rPr>
              <w:t>BRILLIANCE CHI</w:t>
            </w:r>
          </w:p>
        </w:tc>
        <w:tc>
          <w:tcPr>
            <w:tcW w:w="2880" w:type="dxa"/>
            <w:vAlign w:val="center"/>
          </w:tcPr>
          <w:p w:rsidR="005B2D52" w:rsidRDefault="00DF7773">
            <w:pPr>
              <w:jc w:val="right"/>
            </w:pPr>
            <w:r>
              <w:rPr>
                <w:rFonts w:eastAsiaTheme="minorEastAsia"/>
                <w:szCs w:val="21"/>
              </w:rPr>
              <w:t>3,288,649.56</w:t>
            </w:r>
          </w:p>
        </w:tc>
        <w:tc>
          <w:tcPr>
            <w:tcW w:w="1620" w:type="dxa"/>
            <w:vAlign w:val="center"/>
          </w:tcPr>
          <w:p w:rsidR="005B2D52" w:rsidRDefault="00DF7773">
            <w:pPr>
              <w:jc w:val="right"/>
            </w:pPr>
            <w:r>
              <w:rPr>
                <w:rFonts w:eastAsiaTheme="minorEastAsia"/>
                <w:szCs w:val="21"/>
              </w:rPr>
              <w:t>2.33</w:t>
            </w:r>
          </w:p>
        </w:tc>
      </w:tr>
      <w:tr w:rsidR="005B2D52">
        <w:tc>
          <w:tcPr>
            <w:tcW w:w="870" w:type="dxa"/>
            <w:vAlign w:val="center"/>
          </w:tcPr>
          <w:p w:rsidR="005B2D52" w:rsidRDefault="00DF7773">
            <w:pPr>
              <w:jc w:val="center"/>
            </w:pPr>
            <w:r>
              <w:rPr>
                <w:rFonts w:eastAsiaTheme="minorEastAsia"/>
                <w:szCs w:val="21"/>
              </w:rPr>
              <w:t>14</w:t>
            </w:r>
          </w:p>
        </w:tc>
        <w:tc>
          <w:tcPr>
            <w:tcW w:w="1650" w:type="dxa"/>
            <w:vAlign w:val="center"/>
          </w:tcPr>
          <w:p w:rsidR="005B2D52" w:rsidRDefault="00DF7773">
            <w:pPr>
              <w:jc w:val="center"/>
            </w:pPr>
            <w:r>
              <w:rPr>
                <w:rFonts w:eastAsiaTheme="minorEastAsia"/>
                <w:szCs w:val="21"/>
              </w:rPr>
              <w:t>00291</w:t>
            </w:r>
          </w:p>
        </w:tc>
        <w:tc>
          <w:tcPr>
            <w:tcW w:w="1980" w:type="dxa"/>
            <w:vAlign w:val="center"/>
          </w:tcPr>
          <w:p w:rsidR="005B2D52" w:rsidRDefault="00DF7773">
            <w:pPr>
              <w:jc w:val="center"/>
            </w:pPr>
            <w:r>
              <w:rPr>
                <w:rFonts w:eastAsiaTheme="minorEastAsia"/>
                <w:szCs w:val="21"/>
              </w:rPr>
              <w:t>华润啤酒</w:t>
            </w:r>
          </w:p>
        </w:tc>
        <w:tc>
          <w:tcPr>
            <w:tcW w:w="2880" w:type="dxa"/>
            <w:vAlign w:val="center"/>
          </w:tcPr>
          <w:p w:rsidR="005B2D52" w:rsidRDefault="00DF7773">
            <w:pPr>
              <w:jc w:val="right"/>
            </w:pPr>
            <w:r>
              <w:rPr>
                <w:rFonts w:eastAsiaTheme="minorEastAsia"/>
                <w:szCs w:val="21"/>
              </w:rPr>
              <w:t>3,211,006.03</w:t>
            </w:r>
          </w:p>
        </w:tc>
        <w:tc>
          <w:tcPr>
            <w:tcW w:w="1620" w:type="dxa"/>
            <w:vAlign w:val="center"/>
          </w:tcPr>
          <w:p w:rsidR="005B2D52" w:rsidRDefault="00DF7773">
            <w:pPr>
              <w:jc w:val="right"/>
            </w:pPr>
            <w:r>
              <w:rPr>
                <w:rFonts w:eastAsiaTheme="minorEastAsia"/>
                <w:szCs w:val="21"/>
              </w:rPr>
              <w:t>2.28</w:t>
            </w:r>
          </w:p>
        </w:tc>
      </w:tr>
      <w:tr w:rsidR="005B2D52">
        <w:tc>
          <w:tcPr>
            <w:tcW w:w="870" w:type="dxa"/>
            <w:vAlign w:val="center"/>
          </w:tcPr>
          <w:p w:rsidR="005B2D52" w:rsidRDefault="00DF7773">
            <w:pPr>
              <w:jc w:val="center"/>
            </w:pPr>
            <w:r>
              <w:rPr>
                <w:rFonts w:eastAsiaTheme="minorEastAsia"/>
                <w:szCs w:val="21"/>
              </w:rPr>
              <w:t>15</w:t>
            </w:r>
          </w:p>
        </w:tc>
        <w:tc>
          <w:tcPr>
            <w:tcW w:w="1650" w:type="dxa"/>
            <w:vAlign w:val="center"/>
          </w:tcPr>
          <w:p w:rsidR="005B2D52" w:rsidRDefault="00DF7773">
            <w:pPr>
              <w:jc w:val="center"/>
            </w:pPr>
            <w:r>
              <w:rPr>
                <w:rFonts w:eastAsiaTheme="minorEastAsia"/>
                <w:szCs w:val="21"/>
              </w:rPr>
              <w:t>02269</w:t>
            </w:r>
          </w:p>
        </w:tc>
        <w:tc>
          <w:tcPr>
            <w:tcW w:w="1980" w:type="dxa"/>
            <w:vAlign w:val="center"/>
          </w:tcPr>
          <w:p w:rsidR="005B2D52" w:rsidRDefault="00DF7773">
            <w:pPr>
              <w:jc w:val="center"/>
            </w:pPr>
            <w:r>
              <w:rPr>
                <w:rFonts w:eastAsiaTheme="minorEastAsia"/>
                <w:szCs w:val="21"/>
              </w:rPr>
              <w:t>药明生物</w:t>
            </w:r>
          </w:p>
        </w:tc>
        <w:tc>
          <w:tcPr>
            <w:tcW w:w="2880" w:type="dxa"/>
            <w:vAlign w:val="center"/>
          </w:tcPr>
          <w:p w:rsidR="005B2D52" w:rsidRDefault="00DF7773">
            <w:pPr>
              <w:jc w:val="right"/>
            </w:pPr>
            <w:r>
              <w:rPr>
                <w:rFonts w:eastAsiaTheme="minorEastAsia"/>
                <w:szCs w:val="21"/>
              </w:rPr>
              <w:t>3,194,824.60</w:t>
            </w:r>
          </w:p>
        </w:tc>
        <w:tc>
          <w:tcPr>
            <w:tcW w:w="1620" w:type="dxa"/>
            <w:vAlign w:val="center"/>
          </w:tcPr>
          <w:p w:rsidR="005B2D52" w:rsidRDefault="00DF7773">
            <w:pPr>
              <w:jc w:val="right"/>
            </w:pPr>
            <w:r>
              <w:rPr>
                <w:rFonts w:eastAsiaTheme="minorEastAsia"/>
                <w:szCs w:val="21"/>
              </w:rPr>
              <w:t>2.27</w:t>
            </w:r>
          </w:p>
        </w:tc>
      </w:tr>
      <w:tr w:rsidR="005B2D52">
        <w:tc>
          <w:tcPr>
            <w:tcW w:w="870" w:type="dxa"/>
            <w:vAlign w:val="center"/>
          </w:tcPr>
          <w:p w:rsidR="005B2D52" w:rsidRDefault="00DF7773">
            <w:pPr>
              <w:jc w:val="center"/>
            </w:pPr>
            <w:r>
              <w:rPr>
                <w:rFonts w:eastAsiaTheme="minorEastAsia"/>
                <w:szCs w:val="21"/>
              </w:rPr>
              <w:t>16</w:t>
            </w:r>
          </w:p>
        </w:tc>
        <w:tc>
          <w:tcPr>
            <w:tcW w:w="1650" w:type="dxa"/>
            <w:vAlign w:val="center"/>
          </w:tcPr>
          <w:p w:rsidR="005B2D52" w:rsidRDefault="00DF7773">
            <w:pPr>
              <w:jc w:val="center"/>
            </w:pPr>
            <w:r>
              <w:rPr>
                <w:rFonts w:eastAsiaTheme="minorEastAsia"/>
                <w:szCs w:val="21"/>
              </w:rPr>
              <w:t>03380</w:t>
            </w:r>
          </w:p>
        </w:tc>
        <w:tc>
          <w:tcPr>
            <w:tcW w:w="1980" w:type="dxa"/>
            <w:vAlign w:val="center"/>
          </w:tcPr>
          <w:p w:rsidR="005B2D52" w:rsidRDefault="00DF7773">
            <w:pPr>
              <w:jc w:val="center"/>
            </w:pPr>
            <w:r>
              <w:rPr>
                <w:rFonts w:eastAsiaTheme="minorEastAsia"/>
                <w:szCs w:val="21"/>
              </w:rPr>
              <w:t>龙光地产</w:t>
            </w:r>
          </w:p>
        </w:tc>
        <w:tc>
          <w:tcPr>
            <w:tcW w:w="2880" w:type="dxa"/>
            <w:vAlign w:val="center"/>
          </w:tcPr>
          <w:p w:rsidR="005B2D52" w:rsidRDefault="00DF7773">
            <w:pPr>
              <w:jc w:val="right"/>
            </w:pPr>
            <w:r>
              <w:rPr>
                <w:rFonts w:eastAsiaTheme="minorEastAsia"/>
                <w:szCs w:val="21"/>
              </w:rPr>
              <w:t>3,193,522.04</w:t>
            </w:r>
          </w:p>
        </w:tc>
        <w:tc>
          <w:tcPr>
            <w:tcW w:w="1620" w:type="dxa"/>
            <w:vAlign w:val="center"/>
          </w:tcPr>
          <w:p w:rsidR="005B2D52" w:rsidRDefault="00DF7773">
            <w:pPr>
              <w:jc w:val="right"/>
            </w:pPr>
            <w:r>
              <w:rPr>
                <w:rFonts w:eastAsiaTheme="minorEastAsia"/>
                <w:szCs w:val="21"/>
              </w:rPr>
              <w:t>2.27</w:t>
            </w:r>
          </w:p>
        </w:tc>
      </w:tr>
      <w:tr w:rsidR="005B2D52">
        <w:tc>
          <w:tcPr>
            <w:tcW w:w="870" w:type="dxa"/>
            <w:vAlign w:val="center"/>
          </w:tcPr>
          <w:p w:rsidR="005B2D52" w:rsidRDefault="00DF7773">
            <w:pPr>
              <w:jc w:val="center"/>
            </w:pPr>
            <w:r>
              <w:rPr>
                <w:rFonts w:eastAsiaTheme="minorEastAsia"/>
                <w:szCs w:val="21"/>
              </w:rPr>
              <w:t>17</w:t>
            </w:r>
          </w:p>
        </w:tc>
        <w:tc>
          <w:tcPr>
            <w:tcW w:w="1650" w:type="dxa"/>
            <w:vAlign w:val="center"/>
          </w:tcPr>
          <w:p w:rsidR="005B2D52" w:rsidRDefault="00DF7773">
            <w:pPr>
              <w:jc w:val="center"/>
            </w:pPr>
            <w:r>
              <w:rPr>
                <w:rFonts w:eastAsiaTheme="minorEastAsia"/>
                <w:szCs w:val="21"/>
              </w:rPr>
              <w:t>00670</w:t>
            </w:r>
          </w:p>
        </w:tc>
        <w:tc>
          <w:tcPr>
            <w:tcW w:w="1980" w:type="dxa"/>
            <w:vAlign w:val="center"/>
          </w:tcPr>
          <w:p w:rsidR="005B2D52" w:rsidRDefault="00DF7773">
            <w:pPr>
              <w:jc w:val="center"/>
            </w:pPr>
            <w:r>
              <w:rPr>
                <w:rFonts w:eastAsiaTheme="minorEastAsia"/>
                <w:szCs w:val="21"/>
              </w:rPr>
              <w:t>中国东方航空股份</w:t>
            </w:r>
          </w:p>
        </w:tc>
        <w:tc>
          <w:tcPr>
            <w:tcW w:w="2880" w:type="dxa"/>
            <w:vAlign w:val="center"/>
          </w:tcPr>
          <w:p w:rsidR="005B2D52" w:rsidRDefault="00DF7773">
            <w:pPr>
              <w:jc w:val="right"/>
            </w:pPr>
            <w:r>
              <w:rPr>
                <w:rFonts w:eastAsiaTheme="minorEastAsia"/>
                <w:szCs w:val="21"/>
              </w:rPr>
              <w:t>3,190,746.35</w:t>
            </w:r>
          </w:p>
        </w:tc>
        <w:tc>
          <w:tcPr>
            <w:tcW w:w="1620" w:type="dxa"/>
            <w:vAlign w:val="center"/>
          </w:tcPr>
          <w:p w:rsidR="005B2D52" w:rsidRDefault="00DF7773">
            <w:pPr>
              <w:jc w:val="right"/>
            </w:pPr>
            <w:r>
              <w:rPr>
                <w:rFonts w:eastAsiaTheme="minorEastAsia"/>
                <w:szCs w:val="21"/>
              </w:rPr>
              <w:t>2.26</w:t>
            </w:r>
          </w:p>
        </w:tc>
      </w:tr>
      <w:tr w:rsidR="005B2D52">
        <w:tc>
          <w:tcPr>
            <w:tcW w:w="870" w:type="dxa"/>
            <w:vAlign w:val="center"/>
          </w:tcPr>
          <w:p w:rsidR="005B2D52" w:rsidRDefault="00DF7773">
            <w:pPr>
              <w:jc w:val="center"/>
            </w:pPr>
            <w:r>
              <w:rPr>
                <w:rFonts w:eastAsiaTheme="minorEastAsia"/>
                <w:szCs w:val="21"/>
              </w:rPr>
              <w:t>18</w:t>
            </w:r>
          </w:p>
        </w:tc>
        <w:tc>
          <w:tcPr>
            <w:tcW w:w="1650" w:type="dxa"/>
            <w:vAlign w:val="center"/>
          </w:tcPr>
          <w:p w:rsidR="005B2D52" w:rsidRDefault="00DF7773">
            <w:pPr>
              <w:jc w:val="center"/>
            </w:pPr>
            <w:r>
              <w:rPr>
                <w:rFonts w:eastAsiaTheme="minorEastAsia"/>
                <w:szCs w:val="21"/>
              </w:rPr>
              <w:t>002938</w:t>
            </w:r>
          </w:p>
        </w:tc>
        <w:tc>
          <w:tcPr>
            <w:tcW w:w="1980" w:type="dxa"/>
            <w:vAlign w:val="center"/>
          </w:tcPr>
          <w:p w:rsidR="005B2D52" w:rsidRDefault="00DF7773">
            <w:pPr>
              <w:jc w:val="center"/>
            </w:pPr>
            <w:r>
              <w:rPr>
                <w:rFonts w:eastAsiaTheme="minorEastAsia"/>
                <w:szCs w:val="21"/>
              </w:rPr>
              <w:t>鹏鼎控股</w:t>
            </w:r>
          </w:p>
        </w:tc>
        <w:tc>
          <w:tcPr>
            <w:tcW w:w="2880" w:type="dxa"/>
            <w:vAlign w:val="center"/>
          </w:tcPr>
          <w:p w:rsidR="005B2D52" w:rsidRDefault="00DF7773">
            <w:pPr>
              <w:jc w:val="right"/>
            </w:pPr>
            <w:r>
              <w:rPr>
                <w:rFonts w:eastAsiaTheme="minorEastAsia"/>
                <w:szCs w:val="21"/>
              </w:rPr>
              <w:t>3,170,690.00</w:t>
            </w:r>
          </w:p>
        </w:tc>
        <w:tc>
          <w:tcPr>
            <w:tcW w:w="1620" w:type="dxa"/>
            <w:vAlign w:val="center"/>
          </w:tcPr>
          <w:p w:rsidR="005B2D52" w:rsidRDefault="00DF7773">
            <w:pPr>
              <w:jc w:val="right"/>
            </w:pPr>
            <w:r>
              <w:rPr>
                <w:rFonts w:eastAsiaTheme="minorEastAsia"/>
                <w:szCs w:val="21"/>
              </w:rPr>
              <w:t>2.25</w:t>
            </w:r>
          </w:p>
        </w:tc>
      </w:tr>
      <w:tr w:rsidR="005B2D52">
        <w:tc>
          <w:tcPr>
            <w:tcW w:w="870" w:type="dxa"/>
            <w:vAlign w:val="center"/>
          </w:tcPr>
          <w:p w:rsidR="005B2D52" w:rsidRDefault="00DF7773">
            <w:pPr>
              <w:jc w:val="center"/>
            </w:pPr>
            <w:r>
              <w:rPr>
                <w:rFonts w:eastAsiaTheme="minorEastAsia"/>
                <w:szCs w:val="21"/>
              </w:rPr>
              <w:t>19</w:t>
            </w:r>
          </w:p>
        </w:tc>
        <w:tc>
          <w:tcPr>
            <w:tcW w:w="1650" w:type="dxa"/>
            <w:vAlign w:val="center"/>
          </w:tcPr>
          <w:p w:rsidR="005B2D52" w:rsidRDefault="00DF7773">
            <w:pPr>
              <w:jc w:val="center"/>
            </w:pPr>
            <w:r>
              <w:rPr>
                <w:rFonts w:eastAsiaTheme="minorEastAsia"/>
                <w:szCs w:val="21"/>
              </w:rPr>
              <w:t>00285</w:t>
            </w:r>
          </w:p>
        </w:tc>
        <w:tc>
          <w:tcPr>
            <w:tcW w:w="1980" w:type="dxa"/>
            <w:vAlign w:val="center"/>
          </w:tcPr>
          <w:p w:rsidR="005B2D52" w:rsidRDefault="00DF7773">
            <w:pPr>
              <w:jc w:val="center"/>
            </w:pPr>
            <w:r>
              <w:rPr>
                <w:rFonts w:eastAsiaTheme="minorEastAsia"/>
                <w:szCs w:val="21"/>
              </w:rPr>
              <w:t>比亚迪电子</w:t>
            </w:r>
          </w:p>
        </w:tc>
        <w:tc>
          <w:tcPr>
            <w:tcW w:w="2880" w:type="dxa"/>
            <w:vAlign w:val="center"/>
          </w:tcPr>
          <w:p w:rsidR="005B2D52" w:rsidRDefault="00DF7773">
            <w:pPr>
              <w:jc w:val="right"/>
            </w:pPr>
            <w:r>
              <w:rPr>
                <w:rFonts w:eastAsiaTheme="minorEastAsia"/>
                <w:szCs w:val="21"/>
              </w:rPr>
              <w:t>3,049,725.16</w:t>
            </w:r>
          </w:p>
        </w:tc>
        <w:tc>
          <w:tcPr>
            <w:tcW w:w="1620" w:type="dxa"/>
            <w:vAlign w:val="center"/>
          </w:tcPr>
          <w:p w:rsidR="005B2D52" w:rsidRDefault="00DF7773">
            <w:pPr>
              <w:jc w:val="right"/>
            </w:pPr>
            <w:r>
              <w:rPr>
                <w:rFonts w:eastAsiaTheme="minorEastAsia"/>
                <w:szCs w:val="21"/>
              </w:rPr>
              <w:t>2.16</w:t>
            </w:r>
          </w:p>
        </w:tc>
      </w:tr>
      <w:tr w:rsidR="005B2D52">
        <w:tc>
          <w:tcPr>
            <w:tcW w:w="870" w:type="dxa"/>
            <w:vAlign w:val="center"/>
          </w:tcPr>
          <w:p w:rsidR="005B2D52" w:rsidRDefault="00DF7773">
            <w:pPr>
              <w:jc w:val="center"/>
            </w:pPr>
            <w:r>
              <w:rPr>
                <w:rFonts w:eastAsiaTheme="minorEastAsia"/>
                <w:szCs w:val="21"/>
              </w:rPr>
              <w:t>20</w:t>
            </w:r>
          </w:p>
        </w:tc>
        <w:tc>
          <w:tcPr>
            <w:tcW w:w="1650" w:type="dxa"/>
            <w:vAlign w:val="center"/>
          </w:tcPr>
          <w:p w:rsidR="005B2D52" w:rsidRDefault="00DF7773">
            <w:pPr>
              <w:jc w:val="center"/>
            </w:pPr>
            <w:r>
              <w:rPr>
                <w:rFonts w:eastAsiaTheme="minorEastAsia"/>
                <w:szCs w:val="21"/>
              </w:rPr>
              <w:t>00839</w:t>
            </w:r>
          </w:p>
        </w:tc>
        <w:tc>
          <w:tcPr>
            <w:tcW w:w="1980" w:type="dxa"/>
            <w:vAlign w:val="center"/>
          </w:tcPr>
          <w:p w:rsidR="005B2D52" w:rsidRDefault="00DF7773">
            <w:pPr>
              <w:jc w:val="center"/>
            </w:pPr>
            <w:r>
              <w:rPr>
                <w:rFonts w:eastAsiaTheme="minorEastAsia"/>
                <w:szCs w:val="21"/>
              </w:rPr>
              <w:t>中教控股</w:t>
            </w:r>
          </w:p>
        </w:tc>
        <w:tc>
          <w:tcPr>
            <w:tcW w:w="2880" w:type="dxa"/>
            <w:vAlign w:val="center"/>
          </w:tcPr>
          <w:p w:rsidR="005B2D52" w:rsidRDefault="00DF7773">
            <w:pPr>
              <w:jc w:val="right"/>
            </w:pPr>
            <w:r>
              <w:rPr>
                <w:rFonts w:eastAsiaTheme="minorEastAsia"/>
                <w:szCs w:val="21"/>
              </w:rPr>
              <w:t>3,047,882.37</w:t>
            </w:r>
          </w:p>
        </w:tc>
        <w:tc>
          <w:tcPr>
            <w:tcW w:w="1620" w:type="dxa"/>
            <w:vAlign w:val="center"/>
          </w:tcPr>
          <w:p w:rsidR="005B2D52" w:rsidRDefault="00DF7773">
            <w:pPr>
              <w:jc w:val="right"/>
            </w:pPr>
            <w:r>
              <w:rPr>
                <w:rFonts w:eastAsiaTheme="minorEastAsia"/>
                <w:szCs w:val="21"/>
              </w:rPr>
              <w:t>2.16</w:t>
            </w:r>
          </w:p>
        </w:tc>
      </w:tr>
      <w:tr w:rsidR="005B2D52">
        <w:tc>
          <w:tcPr>
            <w:tcW w:w="870" w:type="dxa"/>
            <w:vAlign w:val="center"/>
          </w:tcPr>
          <w:p w:rsidR="005B2D52" w:rsidRDefault="00DF7773">
            <w:pPr>
              <w:jc w:val="center"/>
            </w:pPr>
            <w:r>
              <w:rPr>
                <w:rFonts w:eastAsiaTheme="minorEastAsia"/>
                <w:szCs w:val="21"/>
              </w:rPr>
              <w:t>21</w:t>
            </w:r>
          </w:p>
        </w:tc>
        <w:tc>
          <w:tcPr>
            <w:tcW w:w="1650" w:type="dxa"/>
            <w:vAlign w:val="center"/>
          </w:tcPr>
          <w:p w:rsidR="005B2D52" w:rsidRDefault="00DF7773">
            <w:pPr>
              <w:jc w:val="center"/>
            </w:pPr>
            <w:r>
              <w:rPr>
                <w:rFonts w:eastAsiaTheme="minorEastAsia"/>
                <w:szCs w:val="21"/>
              </w:rPr>
              <w:t>02899</w:t>
            </w:r>
          </w:p>
        </w:tc>
        <w:tc>
          <w:tcPr>
            <w:tcW w:w="1980" w:type="dxa"/>
            <w:vAlign w:val="center"/>
          </w:tcPr>
          <w:p w:rsidR="005B2D52" w:rsidRDefault="00DF7773">
            <w:pPr>
              <w:jc w:val="center"/>
            </w:pPr>
            <w:r>
              <w:rPr>
                <w:rFonts w:eastAsiaTheme="minorEastAsia"/>
                <w:szCs w:val="21"/>
              </w:rPr>
              <w:t>紫金矿业</w:t>
            </w:r>
          </w:p>
        </w:tc>
        <w:tc>
          <w:tcPr>
            <w:tcW w:w="2880" w:type="dxa"/>
            <w:vAlign w:val="center"/>
          </w:tcPr>
          <w:p w:rsidR="005B2D52" w:rsidRDefault="00DF7773">
            <w:pPr>
              <w:jc w:val="right"/>
            </w:pPr>
            <w:r>
              <w:rPr>
                <w:rFonts w:eastAsiaTheme="minorEastAsia"/>
                <w:szCs w:val="21"/>
              </w:rPr>
              <w:t>3,008,889.54</w:t>
            </w:r>
          </w:p>
        </w:tc>
        <w:tc>
          <w:tcPr>
            <w:tcW w:w="1620" w:type="dxa"/>
            <w:vAlign w:val="center"/>
          </w:tcPr>
          <w:p w:rsidR="005B2D52" w:rsidRDefault="00DF7773">
            <w:pPr>
              <w:jc w:val="right"/>
            </w:pPr>
            <w:r>
              <w:rPr>
                <w:rFonts w:eastAsiaTheme="minorEastAsia"/>
                <w:szCs w:val="21"/>
              </w:rPr>
              <w:t>2.13</w:t>
            </w:r>
          </w:p>
        </w:tc>
      </w:tr>
      <w:tr w:rsidR="005B2D52">
        <w:tc>
          <w:tcPr>
            <w:tcW w:w="870" w:type="dxa"/>
            <w:vAlign w:val="center"/>
          </w:tcPr>
          <w:p w:rsidR="005B2D52" w:rsidRDefault="00DF7773">
            <w:pPr>
              <w:jc w:val="center"/>
            </w:pPr>
            <w:r>
              <w:rPr>
                <w:rFonts w:eastAsiaTheme="minorEastAsia"/>
                <w:szCs w:val="21"/>
              </w:rPr>
              <w:t>22</w:t>
            </w:r>
          </w:p>
        </w:tc>
        <w:tc>
          <w:tcPr>
            <w:tcW w:w="1650" w:type="dxa"/>
            <w:vAlign w:val="center"/>
          </w:tcPr>
          <w:p w:rsidR="005B2D52" w:rsidRDefault="00DF7773">
            <w:pPr>
              <w:jc w:val="center"/>
            </w:pPr>
            <w:r>
              <w:rPr>
                <w:rFonts w:eastAsiaTheme="minorEastAsia"/>
                <w:szCs w:val="21"/>
              </w:rPr>
              <w:t>300413</w:t>
            </w:r>
          </w:p>
        </w:tc>
        <w:tc>
          <w:tcPr>
            <w:tcW w:w="1980" w:type="dxa"/>
            <w:vAlign w:val="center"/>
          </w:tcPr>
          <w:p w:rsidR="005B2D52" w:rsidRDefault="00DF7773">
            <w:pPr>
              <w:jc w:val="center"/>
            </w:pPr>
            <w:r>
              <w:rPr>
                <w:rFonts w:eastAsiaTheme="minorEastAsia"/>
                <w:szCs w:val="21"/>
              </w:rPr>
              <w:t>芒果超媒</w:t>
            </w:r>
          </w:p>
        </w:tc>
        <w:tc>
          <w:tcPr>
            <w:tcW w:w="2880" w:type="dxa"/>
            <w:vAlign w:val="center"/>
          </w:tcPr>
          <w:p w:rsidR="005B2D52" w:rsidRDefault="00DF7773">
            <w:pPr>
              <w:jc w:val="right"/>
            </w:pPr>
            <w:r>
              <w:rPr>
                <w:rFonts w:eastAsiaTheme="minorEastAsia"/>
                <w:szCs w:val="21"/>
              </w:rPr>
              <w:t>2,913,660.00</w:t>
            </w:r>
          </w:p>
        </w:tc>
        <w:tc>
          <w:tcPr>
            <w:tcW w:w="1620" w:type="dxa"/>
            <w:vAlign w:val="center"/>
          </w:tcPr>
          <w:p w:rsidR="005B2D52" w:rsidRDefault="00DF7773">
            <w:pPr>
              <w:jc w:val="right"/>
            </w:pPr>
            <w:r>
              <w:rPr>
                <w:rFonts w:eastAsiaTheme="minorEastAsia"/>
                <w:szCs w:val="21"/>
              </w:rPr>
              <w:t>2.07</w:t>
            </w:r>
          </w:p>
        </w:tc>
      </w:tr>
      <w:tr w:rsidR="005B2D52">
        <w:tc>
          <w:tcPr>
            <w:tcW w:w="870" w:type="dxa"/>
            <w:vAlign w:val="center"/>
          </w:tcPr>
          <w:p w:rsidR="005B2D52" w:rsidRDefault="00DF7773">
            <w:pPr>
              <w:jc w:val="center"/>
            </w:pPr>
            <w:r>
              <w:rPr>
                <w:rFonts w:eastAsiaTheme="minorEastAsia"/>
                <w:szCs w:val="21"/>
              </w:rPr>
              <w:t>23</w:t>
            </w:r>
          </w:p>
        </w:tc>
        <w:tc>
          <w:tcPr>
            <w:tcW w:w="1650" w:type="dxa"/>
            <w:vAlign w:val="center"/>
          </w:tcPr>
          <w:p w:rsidR="005B2D52" w:rsidRDefault="00DF7773">
            <w:pPr>
              <w:jc w:val="center"/>
            </w:pPr>
            <w:r>
              <w:rPr>
                <w:rFonts w:eastAsiaTheme="minorEastAsia"/>
                <w:szCs w:val="21"/>
              </w:rPr>
              <w:t>02238</w:t>
            </w:r>
          </w:p>
        </w:tc>
        <w:tc>
          <w:tcPr>
            <w:tcW w:w="1980" w:type="dxa"/>
            <w:vAlign w:val="center"/>
          </w:tcPr>
          <w:p w:rsidR="005B2D52" w:rsidRDefault="00DF7773">
            <w:pPr>
              <w:jc w:val="center"/>
            </w:pPr>
            <w:r>
              <w:rPr>
                <w:rFonts w:eastAsiaTheme="minorEastAsia"/>
                <w:szCs w:val="21"/>
              </w:rPr>
              <w:t>广汽集团</w:t>
            </w:r>
          </w:p>
        </w:tc>
        <w:tc>
          <w:tcPr>
            <w:tcW w:w="2880" w:type="dxa"/>
            <w:vAlign w:val="center"/>
          </w:tcPr>
          <w:p w:rsidR="005B2D52" w:rsidRDefault="00DF7773">
            <w:pPr>
              <w:jc w:val="right"/>
            </w:pPr>
            <w:r>
              <w:rPr>
                <w:rFonts w:eastAsiaTheme="minorEastAsia"/>
                <w:szCs w:val="21"/>
              </w:rPr>
              <w:t>2,855,098.29</w:t>
            </w:r>
          </w:p>
        </w:tc>
        <w:tc>
          <w:tcPr>
            <w:tcW w:w="1620" w:type="dxa"/>
            <w:vAlign w:val="center"/>
          </w:tcPr>
          <w:p w:rsidR="005B2D52" w:rsidRDefault="00DF7773">
            <w:pPr>
              <w:jc w:val="right"/>
            </w:pPr>
            <w:r>
              <w:rPr>
                <w:rFonts w:eastAsiaTheme="minorEastAsia"/>
                <w:szCs w:val="21"/>
              </w:rPr>
              <w:t>2.03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5B2D52">
        <w:tc>
          <w:tcPr>
            <w:tcW w:w="870" w:type="dxa"/>
            <w:vAlign w:val="center"/>
          </w:tcPr>
          <w:p w:rsidR="005B2D52" w:rsidRDefault="00DF7773">
            <w:pPr>
              <w:jc w:val="center"/>
            </w:pPr>
            <w:r>
              <w:rPr>
                <w:rFonts w:eastAsiaTheme="minorEastAsia"/>
                <w:szCs w:val="21"/>
              </w:rPr>
              <w:t>1</w:t>
            </w:r>
          </w:p>
        </w:tc>
        <w:tc>
          <w:tcPr>
            <w:tcW w:w="1650" w:type="dxa"/>
            <w:vAlign w:val="center"/>
          </w:tcPr>
          <w:p w:rsidR="005B2D52" w:rsidRDefault="00DF7773">
            <w:pPr>
              <w:jc w:val="center"/>
            </w:pPr>
            <w:r>
              <w:rPr>
                <w:rFonts w:eastAsiaTheme="minorEastAsia"/>
                <w:szCs w:val="21"/>
              </w:rPr>
              <w:t>03968</w:t>
            </w:r>
          </w:p>
        </w:tc>
        <w:tc>
          <w:tcPr>
            <w:tcW w:w="1980" w:type="dxa"/>
            <w:vAlign w:val="center"/>
          </w:tcPr>
          <w:p w:rsidR="005B2D52" w:rsidRDefault="00DF7773">
            <w:pPr>
              <w:jc w:val="center"/>
            </w:pPr>
            <w:r>
              <w:rPr>
                <w:rFonts w:eastAsiaTheme="minorEastAsia"/>
                <w:szCs w:val="21"/>
              </w:rPr>
              <w:t>招商银行</w:t>
            </w:r>
          </w:p>
        </w:tc>
        <w:tc>
          <w:tcPr>
            <w:tcW w:w="2880" w:type="dxa"/>
            <w:vAlign w:val="center"/>
          </w:tcPr>
          <w:p w:rsidR="005B2D52" w:rsidRDefault="00DF7773">
            <w:pPr>
              <w:jc w:val="right"/>
            </w:pPr>
            <w:r>
              <w:rPr>
                <w:rFonts w:eastAsiaTheme="minorEastAsia"/>
                <w:szCs w:val="21"/>
              </w:rPr>
              <w:t>6,148,652.21</w:t>
            </w:r>
          </w:p>
        </w:tc>
        <w:tc>
          <w:tcPr>
            <w:tcW w:w="1620" w:type="dxa"/>
            <w:vAlign w:val="center"/>
          </w:tcPr>
          <w:p w:rsidR="005B2D52" w:rsidRDefault="00DF7773">
            <w:pPr>
              <w:jc w:val="right"/>
            </w:pPr>
            <w:r>
              <w:rPr>
                <w:rFonts w:eastAsiaTheme="minorEastAsia"/>
                <w:szCs w:val="21"/>
              </w:rPr>
              <w:t>4.36</w:t>
            </w:r>
          </w:p>
        </w:tc>
      </w:tr>
      <w:tr w:rsidR="005B2D52">
        <w:tc>
          <w:tcPr>
            <w:tcW w:w="870" w:type="dxa"/>
            <w:vAlign w:val="center"/>
          </w:tcPr>
          <w:p w:rsidR="005B2D52" w:rsidRDefault="00DF7773">
            <w:pPr>
              <w:jc w:val="center"/>
            </w:pPr>
            <w:r>
              <w:rPr>
                <w:rFonts w:eastAsiaTheme="minorEastAsia"/>
                <w:szCs w:val="21"/>
              </w:rPr>
              <w:t>2</w:t>
            </w:r>
          </w:p>
        </w:tc>
        <w:tc>
          <w:tcPr>
            <w:tcW w:w="1650" w:type="dxa"/>
            <w:vAlign w:val="center"/>
          </w:tcPr>
          <w:p w:rsidR="005B2D52" w:rsidRDefault="00DF7773">
            <w:pPr>
              <w:jc w:val="center"/>
            </w:pPr>
            <w:r>
              <w:rPr>
                <w:rFonts w:eastAsiaTheme="minorEastAsia"/>
                <w:szCs w:val="21"/>
              </w:rPr>
              <w:t>00175</w:t>
            </w:r>
          </w:p>
        </w:tc>
        <w:tc>
          <w:tcPr>
            <w:tcW w:w="1980" w:type="dxa"/>
            <w:vAlign w:val="center"/>
          </w:tcPr>
          <w:p w:rsidR="005B2D52" w:rsidRDefault="00DF7773">
            <w:pPr>
              <w:jc w:val="center"/>
            </w:pPr>
            <w:r>
              <w:rPr>
                <w:rFonts w:eastAsiaTheme="minorEastAsia"/>
                <w:szCs w:val="21"/>
              </w:rPr>
              <w:t>吉利汽车</w:t>
            </w:r>
          </w:p>
        </w:tc>
        <w:tc>
          <w:tcPr>
            <w:tcW w:w="2880" w:type="dxa"/>
            <w:vAlign w:val="center"/>
          </w:tcPr>
          <w:p w:rsidR="005B2D52" w:rsidRDefault="00DF7773">
            <w:pPr>
              <w:jc w:val="right"/>
            </w:pPr>
            <w:r>
              <w:rPr>
                <w:rFonts w:eastAsiaTheme="minorEastAsia"/>
                <w:szCs w:val="21"/>
              </w:rPr>
              <w:t>6,139,427.18</w:t>
            </w:r>
          </w:p>
        </w:tc>
        <w:tc>
          <w:tcPr>
            <w:tcW w:w="1620" w:type="dxa"/>
            <w:vAlign w:val="center"/>
          </w:tcPr>
          <w:p w:rsidR="005B2D52" w:rsidRDefault="00DF7773">
            <w:pPr>
              <w:jc w:val="right"/>
            </w:pPr>
            <w:r>
              <w:rPr>
                <w:rFonts w:eastAsiaTheme="minorEastAsia"/>
                <w:szCs w:val="21"/>
              </w:rPr>
              <w:t>4.36</w:t>
            </w:r>
          </w:p>
        </w:tc>
      </w:tr>
      <w:tr w:rsidR="005B2D52">
        <w:tc>
          <w:tcPr>
            <w:tcW w:w="870" w:type="dxa"/>
            <w:vAlign w:val="center"/>
          </w:tcPr>
          <w:p w:rsidR="005B2D52" w:rsidRDefault="00DF7773">
            <w:pPr>
              <w:jc w:val="center"/>
            </w:pPr>
            <w:r>
              <w:rPr>
                <w:rFonts w:eastAsiaTheme="minorEastAsia"/>
                <w:szCs w:val="21"/>
              </w:rPr>
              <w:t>3</w:t>
            </w:r>
          </w:p>
        </w:tc>
        <w:tc>
          <w:tcPr>
            <w:tcW w:w="1650" w:type="dxa"/>
            <w:vAlign w:val="center"/>
          </w:tcPr>
          <w:p w:rsidR="005B2D52" w:rsidRDefault="00DF7773">
            <w:pPr>
              <w:jc w:val="center"/>
            </w:pPr>
            <w:r>
              <w:rPr>
                <w:rFonts w:eastAsiaTheme="minorEastAsia"/>
                <w:szCs w:val="21"/>
              </w:rPr>
              <w:t>01113</w:t>
            </w:r>
          </w:p>
        </w:tc>
        <w:tc>
          <w:tcPr>
            <w:tcW w:w="1980" w:type="dxa"/>
            <w:vAlign w:val="center"/>
          </w:tcPr>
          <w:p w:rsidR="005B2D52" w:rsidRDefault="00DF7773">
            <w:pPr>
              <w:jc w:val="center"/>
            </w:pPr>
            <w:r>
              <w:rPr>
                <w:rFonts w:eastAsiaTheme="minorEastAsia"/>
                <w:szCs w:val="21"/>
              </w:rPr>
              <w:t>长实集团</w:t>
            </w:r>
          </w:p>
        </w:tc>
        <w:tc>
          <w:tcPr>
            <w:tcW w:w="2880" w:type="dxa"/>
            <w:vAlign w:val="center"/>
          </w:tcPr>
          <w:p w:rsidR="005B2D52" w:rsidRDefault="00DF7773">
            <w:pPr>
              <w:jc w:val="right"/>
            </w:pPr>
            <w:r>
              <w:rPr>
                <w:rFonts w:eastAsiaTheme="minorEastAsia"/>
                <w:szCs w:val="21"/>
              </w:rPr>
              <w:t>5,785,837.11</w:t>
            </w:r>
          </w:p>
        </w:tc>
        <w:tc>
          <w:tcPr>
            <w:tcW w:w="1620" w:type="dxa"/>
            <w:vAlign w:val="center"/>
          </w:tcPr>
          <w:p w:rsidR="005B2D52" w:rsidRDefault="00DF7773">
            <w:pPr>
              <w:jc w:val="right"/>
            </w:pPr>
            <w:r>
              <w:rPr>
                <w:rFonts w:eastAsiaTheme="minorEastAsia"/>
                <w:szCs w:val="21"/>
              </w:rPr>
              <w:t>4.11</w:t>
            </w:r>
          </w:p>
        </w:tc>
      </w:tr>
      <w:tr w:rsidR="005B2D52">
        <w:tc>
          <w:tcPr>
            <w:tcW w:w="870" w:type="dxa"/>
            <w:vAlign w:val="center"/>
          </w:tcPr>
          <w:p w:rsidR="005B2D52" w:rsidRDefault="00DF7773">
            <w:pPr>
              <w:jc w:val="center"/>
            </w:pPr>
            <w:r>
              <w:rPr>
                <w:rFonts w:eastAsiaTheme="minorEastAsia"/>
                <w:szCs w:val="21"/>
              </w:rPr>
              <w:t>4</w:t>
            </w:r>
          </w:p>
        </w:tc>
        <w:tc>
          <w:tcPr>
            <w:tcW w:w="1650" w:type="dxa"/>
            <w:vAlign w:val="center"/>
          </w:tcPr>
          <w:p w:rsidR="005B2D52" w:rsidRDefault="00DF7773">
            <w:pPr>
              <w:jc w:val="center"/>
            </w:pPr>
            <w:r>
              <w:rPr>
                <w:rFonts w:eastAsiaTheme="minorEastAsia"/>
                <w:szCs w:val="21"/>
              </w:rPr>
              <w:t>02020</w:t>
            </w:r>
          </w:p>
        </w:tc>
        <w:tc>
          <w:tcPr>
            <w:tcW w:w="1980" w:type="dxa"/>
            <w:vAlign w:val="center"/>
          </w:tcPr>
          <w:p w:rsidR="005B2D52" w:rsidRDefault="00DF7773">
            <w:pPr>
              <w:jc w:val="center"/>
            </w:pPr>
            <w:r>
              <w:rPr>
                <w:rFonts w:eastAsiaTheme="minorEastAsia"/>
                <w:szCs w:val="21"/>
              </w:rPr>
              <w:t>安踏体育</w:t>
            </w:r>
          </w:p>
        </w:tc>
        <w:tc>
          <w:tcPr>
            <w:tcW w:w="2880" w:type="dxa"/>
            <w:vAlign w:val="center"/>
          </w:tcPr>
          <w:p w:rsidR="005B2D52" w:rsidRDefault="00DF7773">
            <w:pPr>
              <w:jc w:val="right"/>
            </w:pPr>
            <w:r>
              <w:rPr>
                <w:rFonts w:eastAsiaTheme="minorEastAsia"/>
                <w:szCs w:val="21"/>
              </w:rPr>
              <w:t>5,745,520.04</w:t>
            </w:r>
          </w:p>
        </w:tc>
        <w:tc>
          <w:tcPr>
            <w:tcW w:w="1620" w:type="dxa"/>
            <w:vAlign w:val="center"/>
          </w:tcPr>
          <w:p w:rsidR="005B2D52" w:rsidRDefault="00DF7773">
            <w:pPr>
              <w:jc w:val="right"/>
            </w:pPr>
            <w:r>
              <w:rPr>
                <w:rFonts w:eastAsiaTheme="minorEastAsia"/>
                <w:szCs w:val="21"/>
              </w:rPr>
              <w:t>4.08</w:t>
            </w:r>
          </w:p>
        </w:tc>
      </w:tr>
      <w:tr w:rsidR="005B2D52">
        <w:tc>
          <w:tcPr>
            <w:tcW w:w="870" w:type="dxa"/>
            <w:vAlign w:val="center"/>
          </w:tcPr>
          <w:p w:rsidR="005B2D52" w:rsidRDefault="00DF7773">
            <w:pPr>
              <w:jc w:val="center"/>
            </w:pPr>
            <w:r>
              <w:rPr>
                <w:rFonts w:eastAsiaTheme="minorEastAsia"/>
                <w:szCs w:val="21"/>
              </w:rPr>
              <w:t>5</w:t>
            </w:r>
          </w:p>
        </w:tc>
        <w:tc>
          <w:tcPr>
            <w:tcW w:w="1650" w:type="dxa"/>
            <w:vAlign w:val="center"/>
          </w:tcPr>
          <w:p w:rsidR="005B2D52" w:rsidRDefault="00DF7773">
            <w:pPr>
              <w:jc w:val="center"/>
            </w:pPr>
            <w:r>
              <w:rPr>
                <w:rFonts w:eastAsiaTheme="minorEastAsia"/>
                <w:szCs w:val="21"/>
              </w:rPr>
              <w:t>03311</w:t>
            </w:r>
          </w:p>
        </w:tc>
        <w:tc>
          <w:tcPr>
            <w:tcW w:w="1980" w:type="dxa"/>
            <w:vAlign w:val="center"/>
          </w:tcPr>
          <w:p w:rsidR="005B2D52" w:rsidRDefault="00DF7773">
            <w:pPr>
              <w:jc w:val="center"/>
            </w:pPr>
            <w:r>
              <w:rPr>
                <w:rFonts w:eastAsiaTheme="minorEastAsia"/>
                <w:szCs w:val="21"/>
              </w:rPr>
              <w:t>中国建筑国际</w:t>
            </w:r>
          </w:p>
        </w:tc>
        <w:tc>
          <w:tcPr>
            <w:tcW w:w="2880" w:type="dxa"/>
            <w:vAlign w:val="center"/>
          </w:tcPr>
          <w:p w:rsidR="005B2D52" w:rsidRDefault="00DF7773">
            <w:pPr>
              <w:jc w:val="right"/>
            </w:pPr>
            <w:r>
              <w:rPr>
                <w:rFonts w:eastAsiaTheme="minorEastAsia"/>
                <w:szCs w:val="21"/>
              </w:rPr>
              <w:t>5,602,689.67</w:t>
            </w:r>
          </w:p>
        </w:tc>
        <w:tc>
          <w:tcPr>
            <w:tcW w:w="1620" w:type="dxa"/>
            <w:vAlign w:val="center"/>
          </w:tcPr>
          <w:p w:rsidR="005B2D52" w:rsidRDefault="00DF7773">
            <w:pPr>
              <w:jc w:val="right"/>
            </w:pPr>
            <w:r>
              <w:rPr>
                <w:rFonts w:eastAsiaTheme="minorEastAsia"/>
                <w:szCs w:val="21"/>
              </w:rPr>
              <w:t>3.98</w:t>
            </w:r>
          </w:p>
        </w:tc>
      </w:tr>
      <w:tr w:rsidR="005B2D52">
        <w:tc>
          <w:tcPr>
            <w:tcW w:w="870" w:type="dxa"/>
            <w:vAlign w:val="center"/>
          </w:tcPr>
          <w:p w:rsidR="005B2D52" w:rsidRDefault="00DF7773">
            <w:pPr>
              <w:jc w:val="center"/>
            </w:pPr>
            <w:r>
              <w:rPr>
                <w:rFonts w:eastAsiaTheme="minorEastAsia"/>
                <w:szCs w:val="21"/>
              </w:rPr>
              <w:t>6</w:t>
            </w:r>
          </w:p>
        </w:tc>
        <w:tc>
          <w:tcPr>
            <w:tcW w:w="1650" w:type="dxa"/>
            <w:vAlign w:val="center"/>
          </w:tcPr>
          <w:p w:rsidR="005B2D52" w:rsidRDefault="00DF7773">
            <w:pPr>
              <w:jc w:val="center"/>
            </w:pPr>
            <w:r>
              <w:rPr>
                <w:rFonts w:eastAsiaTheme="minorEastAsia"/>
                <w:szCs w:val="21"/>
              </w:rPr>
              <w:t>02196</w:t>
            </w:r>
          </w:p>
        </w:tc>
        <w:tc>
          <w:tcPr>
            <w:tcW w:w="1980" w:type="dxa"/>
            <w:vAlign w:val="center"/>
          </w:tcPr>
          <w:p w:rsidR="005B2D52" w:rsidRDefault="00DF7773">
            <w:pPr>
              <w:jc w:val="center"/>
            </w:pPr>
            <w:r>
              <w:rPr>
                <w:rFonts w:eastAsiaTheme="minorEastAsia"/>
                <w:szCs w:val="21"/>
              </w:rPr>
              <w:t>复星医药</w:t>
            </w:r>
          </w:p>
        </w:tc>
        <w:tc>
          <w:tcPr>
            <w:tcW w:w="2880" w:type="dxa"/>
            <w:vAlign w:val="center"/>
          </w:tcPr>
          <w:p w:rsidR="005B2D52" w:rsidRDefault="00DF7773">
            <w:pPr>
              <w:jc w:val="right"/>
            </w:pPr>
            <w:r>
              <w:rPr>
                <w:rFonts w:eastAsiaTheme="minorEastAsia"/>
                <w:szCs w:val="21"/>
              </w:rPr>
              <w:t>5,475,813.89</w:t>
            </w:r>
          </w:p>
        </w:tc>
        <w:tc>
          <w:tcPr>
            <w:tcW w:w="1620" w:type="dxa"/>
            <w:vAlign w:val="center"/>
          </w:tcPr>
          <w:p w:rsidR="005B2D52" w:rsidRDefault="00DF7773">
            <w:pPr>
              <w:jc w:val="right"/>
            </w:pPr>
            <w:r>
              <w:rPr>
                <w:rFonts w:eastAsiaTheme="minorEastAsia"/>
                <w:szCs w:val="21"/>
              </w:rPr>
              <w:t>3.89</w:t>
            </w:r>
          </w:p>
        </w:tc>
      </w:tr>
      <w:tr w:rsidR="005B2D52">
        <w:tc>
          <w:tcPr>
            <w:tcW w:w="870" w:type="dxa"/>
            <w:vAlign w:val="center"/>
          </w:tcPr>
          <w:p w:rsidR="005B2D52" w:rsidRDefault="00DF7773">
            <w:pPr>
              <w:jc w:val="center"/>
            </w:pPr>
            <w:r>
              <w:rPr>
                <w:rFonts w:eastAsiaTheme="minorEastAsia"/>
                <w:szCs w:val="21"/>
              </w:rPr>
              <w:t>7</w:t>
            </w:r>
          </w:p>
        </w:tc>
        <w:tc>
          <w:tcPr>
            <w:tcW w:w="1650" w:type="dxa"/>
            <w:vAlign w:val="center"/>
          </w:tcPr>
          <w:p w:rsidR="005B2D52" w:rsidRDefault="00DF7773">
            <w:pPr>
              <w:jc w:val="center"/>
            </w:pPr>
            <w:r>
              <w:rPr>
                <w:rFonts w:eastAsiaTheme="minorEastAsia"/>
                <w:szCs w:val="21"/>
              </w:rPr>
              <w:t>00941</w:t>
            </w:r>
          </w:p>
        </w:tc>
        <w:tc>
          <w:tcPr>
            <w:tcW w:w="1980" w:type="dxa"/>
            <w:vAlign w:val="center"/>
          </w:tcPr>
          <w:p w:rsidR="005B2D52" w:rsidRDefault="00DF7773">
            <w:pPr>
              <w:jc w:val="center"/>
            </w:pPr>
            <w:r>
              <w:rPr>
                <w:rFonts w:eastAsiaTheme="minorEastAsia"/>
                <w:szCs w:val="21"/>
              </w:rPr>
              <w:t>中国移动</w:t>
            </w:r>
          </w:p>
        </w:tc>
        <w:tc>
          <w:tcPr>
            <w:tcW w:w="2880" w:type="dxa"/>
            <w:vAlign w:val="center"/>
          </w:tcPr>
          <w:p w:rsidR="005B2D52" w:rsidRDefault="00DF7773">
            <w:pPr>
              <w:jc w:val="right"/>
            </w:pPr>
            <w:r>
              <w:rPr>
                <w:rFonts w:eastAsiaTheme="minorEastAsia"/>
                <w:szCs w:val="21"/>
              </w:rPr>
              <w:t>4,269,736.51</w:t>
            </w:r>
          </w:p>
        </w:tc>
        <w:tc>
          <w:tcPr>
            <w:tcW w:w="1620" w:type="dxa"/>
            <w:vAlign w:val="center"/>
          </w:tcPr>
          <w:p w:rsidR="005B2D52" w:rsidRDefault="00DF7773">
            <w:pPr>
              <w:jc w:val="right"/>
            </w:pPr>
            <w:r>
              <w:rPr>
                <w:rFonts w:eastAsiaTheme="minorEastAsia"/>
                <w:szCs w:val="21"/>
              </w:rPr>
              <w:t>3.03</w:t>
            </w:r>
          </w:p>
        </w:tc>
      </w:tr>
      <w:tr w:rsidR="005B2D52">
        <w:tc>
          <w:tcPr>
            <w:tcW w:w="870" w:type="dxa"/>
            <w:vAlign w:val="center"/>
          </w:tcPr>
          <w:p w:rsidR="005B2D52" w:rsidRDefault="00DF7773">
            <w:pPr>
              <w:jc w:val="center"/>
            </w:pPr>
            <w:r>
              <w:rPr>
                <w:rFonts w:eastAsiaTheme="minorEastAsia"/>
                <w:szCs w:val="21"/>
              </w:rPr>
              <w:lastRenderedPageBreak/>
              <w:t>8</w:t>
            </w:r>
          </w:p>
        </w:tc>
        <w:tc>
          <w:tcPr>
            <w:tcW w:w="1650" w:type="dxa"/>
            <w:vAlign w:val="center"/>
          </w:tcPr>
          <w:p w:rsidR="005B2D52" w:rsidRDefault="00DF7773">
            <w:pPr>
              <w:jc w:val="center"/>
            </w:pPr>
            <w:r>
              <w:rPr>
                <w:rFonts w:eastAsiaTheme="minorEastAsia"/>
                <w:szCs w:val="21"/>
              </w:rPr>
              <w:t>601012</w:t>
            </w:r>
          </w:p>
        </w:tc>
        <w:tc>
          <w:tcPr>
            <w:tcW w:w="1980" w:type="dxa"/>
            <w:vAlign w:val="center"/>
          </w:tcPr>
          <w:p w:rsidR="005B2D52" w:rsidRDefault="00DF7773">
            <w:pPr>
              <w:jc w:val="center"/>
            </w:pPr>
            <w:r>
              <w:rPr>
                <w:rFonts w:eastAsiaTheme="minorEastAsia"/>
                <w:szCs w:val="21"/>
              </w:rPr>
              <w:t>隆基股份</w:t>
            </w:r>
          </w:p>
        </w:tc>
        <w:tc>
          <w:tcPr>
            <w:tcW w:w="2880" w:type="dxa"/>
            <w:vAlign w:val="center"/>
          </w:tcPr>
          <w:p w:rsidR="005B2D52" w:rsidRDefault="00DF7773">
            <w:pPr>
              <w:jc w:val="right"/>
            </w:pPr>
            <w:r>
              <w:rPr>
                <w:rFonts w:eastAsiaTheme="minorEastAsia"/>
                <w:szCs w:val="21"/>
              </w:rPr>
              <w:t>4,257,791.00</w:t>
            </w:r>
          </w:p>
        </w:tc>
        <w:tc>
          <w:tcPr>
            <w:tcW w:w="1620" w:type="dxa"/>
            <w:vAlign w:val="center"/>
          </w:tcPr>
          <w:p w:rsidR="005B2D52" w:rsidRDefault="00DF7773">
            <w:pPr>
              <w:jc w:val="right"/>
            </w:pPr>
            <w:r>
              <w:rPr>
                <w:rFonts w:eastAsiaTheme="minorEastAsia"/>
                <w:szCs w:val="21"/>
              </w:rPr>
              <w:t>3.02</w:t>
            </w:r>
          </w:p>
        </w:tc>
      </w:tr>
      <w:tr w:rsidR="005B2D52">
        <w:tc>
          <w:tcPr>
            <w:tcW w:w="870" w:type="dxa"/>
            <w:vAlign w:val="center"/>
          </w:tcPr>
          <w:p w:rsidR="005B2D52" w:rsidRDefault="00DF7773">
            <w:pPr>
              <w:jc w:val="center"/>
            </w:pPr>
            <w:r>
              <w:rPr>
                <w:rFonts w:eastAsiaTheme="minorEastAsia"/>
                <w:szCs w:val="21"/>
              </w:rPr>
              <w:t>9</w:t>
            </w:r>
          </w:p>
        </w:tc>
        <w:tc>
          <w:tcPr>
            <w:tcW w:w="1650" w:type="dxa"/>
            <w:vAlign w:val="center"/>
          </w:tcPr>
          <w:p w:rsidR="005B2D52" w:rsidRDefault="00DF7773">
            <w:pPr>
              <w:jc w:val="center"/>
            </w:pPr>
            <w:r>
              <w:rPr>
                <w:rFonts w:eastAsiaTheme="minorEastAsia"/>
                <w:szCs w:val="21"/>
              </w:rPr>
              <w:t>01093</w:t>
            </w:r>
          </w:p>
        </w:tc>
        <w:tc>
          <w:tcPr>
            <w:tcW w:w="1980" w:type="dxa"/>
            <w:vAlign w:val="center"/>
          </w:tcPr>
          <w:p w:rsidR="005B2D52" w:rsidRDefault="00DF7773">
            <w:pPr>
              <w:jc w:val="center"/>
            </w:pPr>
            <w:r>
              <w:rPr>
                <w:rFonts w:eastAsiaTheme="minorEastAsia"/>
                <w:szCs w:val="21"/>
              </w:rPr>
              <w:t>石药集团</w:t>
            </w:r>
          </w:p>
        </w:tc>
        <w:tc>
          <w:tcPr>
            <w:tcW w:w="2880" w:type="dxa"/>
            <w:vAlign w:val="center"/>
          </w:tcPr>
          <w:p w:rsidR="005B2D52" w:rsidRDefault="00DF7773">
            <w:pPr>
              <w:jc w:val="right"/>
            </w:pPr>
            <w:r>
              <w:rPr>
                <w:rFonts w:eastAsiaTheme="minorEastAsia"/>
                <w:szCs w:val="21"/>
              </w:rPr>
              <w:t>4,221,610.13</w:t>
            </w:r>
          </w:p>
        </w:tc>
        <w:tc>
          <w:tcPr>
            <w:tcW w:w="1620" w:type="dxa"/>
            <w:vAlign w:val="center"/>
          </w:tcPr>
          <w:p w:rsidR="005B2D52" w:rsidRDefault="00DF7773">
            <w:pPr>
              <w:jc w:val="right"/>
            </w:pPr>
            <w:r>
              <w:rPr>
                <w:rFonts w:eastAsiaTheme="minorEastAsia"/>
                <w:szCs w:val="21"/>
              </w:rPr>
              <w:t>3.00</w:t>
            </w:r>
          </w:p>
        </w:tc>
      </w:tr>
      <w:tr w:rsidR="005B2D52">
        <w:tc>
          <w:tcPr>
            <w:tcW w:w="870" w:type="dxa"/>
            <w:vAlign w:val="center"/>
          </w:tcPr>
          <w:p w:rsidR="005B2D52" w:rsidRDefault="00DF7773">
            <w:pPr>
              <w:jc w:val="center"/>
            </w:pPr>
            <w:r>
              <w:rPr>
                <w:rFonts w:eastAsiaTheme="minorEastAsia"/>
                <w:szCs w:val="21"/>
              </w:rPr>
              <w:t>10</w:t>
            </w:r>
          </w:p>
        </w:tc>
        <w:tc>
          <w:tcPr>
            <w:tcW w:w="1650" w:type="dxa"/>
            <w:vAlign w:val="center"/>
          </w:tcPr>
          <w:p w:rsidR="005B2D52" w:rsidRDefault="00DF7773">
            <w:pPr>
              <w:jc w:val="center"/>
            </w:pPr>
            <w:r>
              <w:rPr>
                <w:rFonts w:eastAsiaTheme="minorEastAsia"/>
                <w:szCs w:val="21"/>
              </w:rPr>
              <w:t>000651</w:t>
            </w:r>
          </w:p>
        </w:tc>
        <w:tc>
          <w:tcPr>
            <w:tcW w:w="1980" w:type="dxa"/>
            <w:vAlign w:val="center"/>
          </w:tcPr>
          <w:p w:rsidR="005B2D52" w:rsidRDefault="00DF7773">
            <w:pPr>
              <w:jc w:val="center"/>
            </w:pPr>
            <w:r>
              <w:rPr>
                <w:rFonts w:eastAsiaTheme="minorEastAsia"/>
                <w:szCs w:val="21"/>
              </w:rPr>
              <w:t>格力电器</w:t>
            </w:r>
          </w:p>
        </w:tc>
        <w:tc>
          <w:tcPr>
            <w:tcW w:w="2880" w:type="dxa"/>
            <w:vAlign w:val="center"/>
          </w:tcPr>
          <w:p w:rsidR="005B2D52" w:rsidRDefault="00DF7773">
            <w:pPr>
              <w:jc w:val="right"/>
            </w:pPr>
            <w:r>
              <w:rPr>
                <w:rFonts w:eastAsiaTheme="minorEastAsia"/>
                <w:szCs w:val="21"/>
              </w:rPr>
              <w:t>3,966,189.00</w:t>
            </w:r>
          </w:p>
        </w:tc>
        <w:tc>
          <w:tcPr>
            <w:tcW w:w="1620" w:type="dxa"/>
            <w:vAlign w:val="center"/>
          </w:tcPr>
          <w:p w:rsidR="005B2D52" w:rsidRDefault="00DF7773">
            <w:pPr>
              <w:jc w:val="right"/>
            </w:pPr>
            <w:r>
              <w:rPr>
                <w:rFonts w:eastAsiaTheme="minorEastAsia"/>
                <w:szCs w:val="21"/>
              </w:rPr>
              <w:t>2.81</w:t>
            </w:r>
          </w:p>
        </w:tc>
      </w:tr>
      <w:tr w:rsidR="005B2D52">
        <w:tc>
          <w:tcPr>
            <w:tcW w:w="870" w:type="dxa"/>
            <w:vAlign w:val="center"/>
          </w:tcPr>
          <w:p w:rsidR="005B2D52" w:rsidRDefault="00DF7773">
            <w:pPr>
              <w:jc w:val="center"/>
            </w:pPr>
            <w:r>
              <w:rPr>
                <w:rFonts w:eastAsiaTheme="minorEastAsia"/>
                <w:szCs w:val="21"/>
              </w:rPr>
              <w:t>11</w:t>
            </w:r>
          </w:p>
        </w:tc>
        <w:tc>
          <w:tcPr>
            <w:tcW w:w="1650" w:type="dxa"/>
            <w:vAlign w:val="center"/>
          </w:tcPr>
          <w:p w:rsidR="005B2D52" w:rsidRDefault="00DF7773">
            <w:pPr>
              <w:jc w:val="center"/>
            </w:pPr>
            <w:r>
              <w:rPr>
                <w:rFonts w:eastAsiaTheme="minorEastAsia"/>
                <w:szCs w:val="21"/>
              </w:rPr>
              <w:t>00001</w:t>
            </w:r>
          </w:p>
        </w:tc>
        <w:tc>
          <w:tcPr>
            <w:tcW w:w="1980" w:type="dxa"/>
            <w:vAlign w:val="center"/>
          </w:tcPr>
          <w:p w:rsidR="005B2D52" w:rsidRDefault="00DF7773">
            <w:pPr>
              <w:jc w:val="center"/>
            </w:pPr>
            <w:r>
              <w:rPr>
                <w:rFonts w:eastAsiaTheme="minorEastAsia"/>
                <w:szCs w:val="21"/>
              </w:rPr>
              <w:t>长和</w:t>
            </w:r>
          </w:p>
        </w:tc>
        <w:tc>
          <w:tcPr>
            <w:tcW w:w="2880" w:type="dxa"/>
            <w:vAlign w:val="center"/>
          </w:tcPr>
          <w:p w:rsidR="005B2D52" w:rsidRDefault="00DF7773">
            <w:pPr>
              <w:jc w:val="right"/>
            </w:pPr>
            <w:r>
              <w:rPr>
                <w:rFonts w:eastAsiaTheme="minorEastAsia"/>
                <w:szCs w:val="21"/>
              </w:rPr>
              <w:t>3,955,242.09</w:t>
            </w:r>
          </w:p>
        </w:tc>
        <w:tc>
          <w:tcPr>
            <w:tcW w:w="1620" w:type="dxa"/>
            <w:vAlign w:val="center"/>
          </w:tcPr>
          <w:p w:rsidR="005B2D52" w:rsidRDefault="00DF7773">
            <w:pPr>
              <w:jc w:val="right"/>
            </w:pPr>
            <w:r>
              <w:rPr>
                <w:rFonts w:eastAsiaTheme="minorEastAsia"/>
                <w:szCs w:val="21"/>
              </w:rPr>
              <w:t>2.81</w:t>
            </w:r>
          </w:p>
        </w:tc>
      </w:tr>
      <w:tr w:rsidR="005B2D52">
        <w:tc>
          <w:tcPr>
            <w:tcW w:w="870" w:type="dxa"/>
            <w:vAlign w:val="center"/>
          </w:tcPr>
          <w:p w:rsidR="005B2D52" w:rsidRDefault="00DF7773">
            <w:pPr>
              <w:jc w:val="center"/>
            </w:pPr>
            <w:r>
              <w:rPr>
                <w:rFonts w:eastAsiaTheme="minorEastAsia"/>
                <w:szCs w:val="21"/>
              </w:rPr>
              <w:t>12</w:t>
            </w:r>
          </w:p>
        </w:tc>
        <w:tc>
          <w:tcPr>
            <w:tcW w:w="1650" w:type="dxa"/>
            <w:vAlign w:val="center"/>
          </w:tcPr>
          <w:p w:rsidR="005B2D52" w:rsidRDefault="00DF7773">
            <w:pPr>
              <w:jc w:val="center"/>
            </w:pPr>
            <w:r>
              <w:rPr>
                <w:rFonts w:eastAsiaTheme="minorEastAsia"/>
                <w:szCs w:val="21"/>
              </w:rPr>
              <w:t>01299</w:t>
            </w:r>
          </w:p>
        </w:tc>
        <w:tc>
          <w:tcPr>
            <w:tcW w:w="1980" w:type="dxa"/>
            <w:vAlign w:val="center"/>
          </w:tcPr>
          <w:p w:rsidR="005B2D52" w:rsidRDefault="00DF7773">
            <w:pPr>
              <w:jc w:val="center"/>
            </w:pPr>
            <w:r>
              <w:rPr>
                <w:rFonts w:eastAsiaTheme="minorEastAsia"/>
                <w:szCs w:val="21"/>
              </w:rPr>
              <w:t>友邦保险</w:t>
            </w:r>
          </w:p>
        </w:tc>
        <w:tc>
          <w:tcPr>
            <w:tcW w:w="2880" w:type="dxa"/>
            <w:vAlign w:val="center"/>
          </w:tcPr>
          <w:p w:rsidR="005B2D52" w:rsidRDefault="00DF7773">
            <w:pPr>
              <w:jc w:val="right"/>
            </w:pPr>
            <w:r>
              <w:rPr>
                <w:rFonts w:eastAsiaTheme="minorEastAsia"/>
                <w:szCs w:val="21"/>
              </w:rPr>
              <w:t>3,854,353.48</w:t>
            </w:r>
          </w:p>
        </w:tc>
        <w:tc>
          <w:tcPr>
            <w:tcW w:w="1620" w:type="dxa"/>
            <w:vAlign w:val="center"/>
          </w:tcPr>
          <w:p w:rsidR="005B2D52" w:rsidRDefault="00DF7773">
            <w:pPr>
              <w:jc w:val="right"/>
            </w:pPr>
            <w:r>
              <w:rPr>
                <w:rFonts w:eastAsiaTheme="minorEastAsia"/>
                <w:szCs w:val="21"/>
              </w:rPr>
              <w:t>2.73</w:t>
            </w:r>
          </w:p>
        </w:tc>
      </w:tr>
      <w:tr w:rsidR="005B2D52">
        <w:tc>
          <w:tcPr>
            <w:tcW w:w="870" w:type="dxa"/>
            <w:vAlign w:val="center"/>
          </w:tcPr>
          <w:p w:rsidR="005B2D52" w:rsidRDefault="00DF7773">
            <w:pPr>
              <w:jc w:val="center"/>
            </w:pPr>
            <w:r>
              <w:rPr>
                <w:rFonts w:eastAsiaTheme="minorEastAsia"/>
                <w:szCs w:val="21"/>
              </w:rPr>
              <w:t>13</w:t>
            </w:r>
          </w:p>
        </w:tc>
        <w:tc>
          <w:tcPr>
            <w:tcW w:w="1650" w:type="dxa"/>
            <w:vAlign w:val="center"/>
          </w:tcPr>
          <w:p w:rsidR="005B2D52" w:rsidRDefault="00DF7773">
            <w:pPr>
              <w:jc w:val="center"/>
            </w:pPr>
            <w:r>
              <w:rPr>
                <w:rFonts w:eastAsiaTheme="minorEastAsia"/>
                <w:szCs w:val="21"/>
              </w:rPr>
              <w:t>01186</w:t>
            </w:r>
          </w:p>
        </w:tc>
        <w:tc>
          <w:tcPr>
            <w:tcW w:w="1980" w:type="dxa"/>
            <w:vAlign w:val="center"/>
          </w:tcPr>
          <w:p w:rsidR="005B2D52" w:rsidRDefault="00DF7773">
            <w:pPr>
              <w:jc w:val="center"/>
            </w:pPr>
            <w:r>
              <w:rPr>
                <w:rFonts w:eastAsiaTheme="minorEastAsia"/>
                <w:szCs w:val="21"/>
              </w:rPr>
              <w:t>中国铁建</w:t>
            </w:r>
          </w:p>
        </w:tc>
        <w:tc>
          <w:tcPr>
            <w:tcW w:w="2880" w:type="dxa"/>
            <w:vAlign w:val="center"/>
          </w:tcPr>
          <w:p w:rsidR="005B2D52" w:rsidRDefault="00DF7773">
            <w:pPr>
              <w:jc w:val="right"/>
            </w:pPr>
            <w:r>
              <w:rPr>
                <w:rFonts w:eastAsiaTheme="minorEastAsia"/>
                <w:szCs w:val="21"/>
              </w:rPr>
              <w:t>3,755,754.82</w:t>
            </w:r>
          </w:p>
        </w:tc>
        <w:tc>
          <w:tcPr>
            <w:tcW w:w="1620" w:type="dxa"/>
            <w:vAlign w:val="center"/>
          </w:tcPr>
          <w:p w:rsidR="005B2D52" w:rsidRDefault="00DF7773">
            <w:pPr>
              <w:jc w:val="right"/>
            </w:pPr>
            <w:r>
              <w:rPr>
                <w:rFonts w:eastAsiaTheme="minorEastAsia"/>
                <w:szCs w:val="21"/>
              </w:rPr>
              <w:t>2.66</w:t>
            </w:r>
          </w:p>
        </w:tc>
      </w:tr>
      <w:tr w:rsidR="005B2D52">
        <w:tc>
          <w:tcPr>
            <w:tcW w:w="870" w:type="dxa"/>
            <w:vAlign w:val="center"/>
          </w:tcPr>
          <w:p w:rsidR="005B2D52" w:rsidRDefault="00DF7773">
            <w:pPr>
              <w:jc w:val="center"/>
            </w:pPr>
            <w:r>
              <w:rPr>
                <w:rFonts w:eastAsiaTheme="minorEastAsia"/>
                <w:szCs w:val="21"/>
              </w:rPr>
              <w:t>14</w:t>
            </w:r>
          </w:p>
        </w:tc>
        <w:tc>
          <w:tcPr>
            <w:tcW w:w="1650" w:type="dxa"/>
            <w:vAlign w:val="center"/>
          </w:tcPr>
          <w:p w:rsidR="005B2D52" w:rsidRDefault="00DF7773">
            <w:pPr>
              <w:jc w:val="center"/>
            </w:pPr>
            <w:r>
              <w:rPr>
                <w:rFonts w:eastAsiaTheme="minorEastAsia"/>
                <w:szCs w:val="21"/>
              </w:rPr>
              <w:t>00700</w:t>
            </w:r>
          </w:p>
        </w:tc>
        <w:tc>
          <w:tcPr>
            <w:tcW w:w="1980" w:type="dxa"/>
            <w:vAlign w:val="center"/>
          </w:tcPr>
          <w:p w:rsidR="005B2D52" w:rsidRDefault="00DF7773">
            <w:pPr>
              <w:jc w:val="center"/>
            </w:pPr>
            <w:r>
              <w:rPr>
                <w:rFonts w:eastAsiaTheme="minorEastAsia"/>
                <w:szCs w:val="21"/>
              </w:rPr>
              <w:t>腾讯控股</w:t>
            </w:r>
          </w:p>
        </w:tc>
        <w:tc>
          <w:tcPr>
            <w:tcW w:w="2880" w:type="dxa"/>
            <w:vAlign w:val="center"/>
          </w:tcPr>
          <w:p w:rsidR="005B2D52" w:rsidRDefault="00DF7773">
            <w:pPr>
              <w:jc w:val="right"/>
            </w:pPr>
            <w:r>
              <w:rPr>
                <w:rFonts w:eastAsiaTheme="minorEastAsia"/>
                <w:szCs w:val="21"/>
              </w:rPr>
              <w:t>3,750,247.79</w:t>
            </w:r>
          </w:p>
        </w:tc>
        <w:tc>
          <w:tcPr>
            <w:tcW w:w="1620" w:type="dxa"/>
            <w:vAlign w:val="center"/>
          </w:tcPr>
          <w:p w:rsidR="005B2D52" w:rsidRDefault="00DF7773">
            <w:pPr>
              <w:jc w:val="right"/>
            </w:pPr>
            <w:r>
              <w:rPr>
                <w:rFonts w:eastAsiaTheme="minorEastAsia"/>
                <w:szCs w:val="21"/>
              </w:rPr>
              <w:t>2.66</w:t>
            </w:r>
          </w:p>
        </w:tc>
      </w:tr>
      <w:tr w:rsidR="005B2D52">
        <w:tc>
          <w:tcPr>
            <w:tcW w:w="870" w:type="dxa"/>
            <w:vAlign w:val="center"/>
          </w:tcPr>
          <w:p w:rsidR="005B2D52" w:rsidRDefault="00DF7773">
            <w:pPr>
              <w:jc w:val="center"/>
            </w:pPr>
            <w:r>
              <w:rPr>
                <w:rFonts w:eastAsiaTheme="minorEastAsia"/>
                <w:szCs w:val="21"/>
              </w:rPr>
              <w:t>15</w:t>
            </w:r>
          </w:p>
        </w:tc>
        <w:tc>
          <w:tcPr>
            <w:tcW w:w="1650" w:type="dxa"/>
            <w:vAlign w:val="center"/>
          </w:tcPr>
          <w:p w:rsidR="005B2D52" w:rsidRDefault="00DF7773">
            <w:pPr>
              <w:jc w:val="center"/>
            </w:pPr>
            <w:r>
              <w:rPr>
                <w:rFonts w:eastAsiaTheme="minorEastAsia"/>
                <w:szCs w:val="21"/>
              </w:rPr>
              <w:t>00354</w:t>
            </w:r>
          </w:p>
        </w:tc>
        <w:tc>
          <w:tcPr>
            <w:tcW w:w="1980" w:type="dxa"/>
            <w:vAlign w:val="center"/>
          </w:tcPr>
          <w:p w:rsidR="005B2D52" w:rsidRDefault="00DF7773">
            <w:pPr>
              <w:jc w:val="center"/>
            </w:pPr>
            <w:r>
              <w:rPr>
                <w:rFonts w:eastAsiaTheme="minorEastAsia"/>
                <w:szCs w:val="21"/>
              </w:rPr>
              <w:t>中国软件国际</w:t>
            </w:r>
          </w:p>
        </w:tc>
        <w:tc>
          <w:tcPr>
            <w:tcW w:w="2880" w:type="dxa"/>
            <w:vAlign w:val="center"/>
          </w:tcPr>
          <w:p w:rsidR="005B2D52" w:rsidRDefault="00DF7773">
            <w:pPr>
              <w:jc w:val="right"/>
            </w:pPr>
            <w:r>
              <w:rPr>
                <w:rFonts w:eastAsiaTheme="minorEastAsia"/>
                <w:szCs w:val="21"/>
              </w:rPr>
              <w:t>3,627,994.28</w:t>
            </w:r>
          </w:p>
        </w:tc>
        <w:tc>
          <w:tcPr>
            <w:tcW w:w="1620" w:type="dxa"/>
            <w:vAlign w:val="center"/>
          </w:tcPr>
          <w:p w:rsidR="005B2D52" w:rsidRDefault="00DF7773">
            <w:pPr>
              <w:jc w:val="right"/>
            </w:pPr>
            <w:r>
              <w:rPr>
                <w:rFonts w:eastAsiaTheme="minorEastAsia"/>
                <w:szCs w:val="21"/>
              </w:rPr>
              <w:t>2.57</w:t>
            </w:r>
          </w:p>
        </w:tc>
      </w:tr>
      <w:tr w:rsidR="005B2D52">
        <w:tc>
          <w:tcPr>
            <w:tcW w:w="870" w:type="dxa"/>
            <w:vAlign w:val="center"/>
          </w:tcPr>
          <w:p w:rsidR="005B2D52" w:rsidRDefault="00DF7773">
            <w:pPr>
              <w:jc w:val="center"/>
            </w:pPr>
            <w:r>
              <w:rPr>
                <w:rFonts w:eastAsiaTheme="minorEastAsia"/>
                <w:szCs w:val="21"/>
              </w:rPr>
              <w:t>16</w:t>
            </w:r>
          </w:p>
        </w:tc>
        <w:tc>
          <w:tcPr>
            <w:tcW w:w="1650" w:type="dxa"/>
            <w:vAlign w:val="center"/>
          </w:tcPr>
          <w:p w:rsidR="005B2D52" w:rsidRDefault="00DF7773">
            <w:pPr>
              <w:jc w:val="center"/>
            </w:pPr>
            <w:r>
              <w:rPr>
                <w:rFonts w:eastAsiaTheme="minorEastAsia"/>
                <w:szCs w:val="21"/>
              </w:rPr>
              <w:t>02018</w:t>
            </w:r>
          </w:p>
        </w:tc>
        <w:tc>
          <w:tcPr>
            <w:tcW w:w="1980" w:type="dxa"/>
            <w:vAlign w:val="center"/>
          </w:tcPr>
          <w:p w:rsidR="005B2D52" w:rsidRDefault="00DF7773">
            <w:pPr>
              <w:jc w:val="center"/>
            </w:pPr>
            <w:r>
              <w:rPr>
                <w:rFonts w:eastAsiaTheme="minorEastAsia"/>
                <w:szCs w:val="21"/>
              </w:rPr>
              <w:t>瑞声科技</w:t>
            </w:r>
          </w:p>
        </w:tc>
        <w:tc>
          <w:tcPr>
            <w:tcW w:w="2880" w:type="dxa"/>
            <w:vAlign w:val="center"/>
          </w:tcPr>
          <w:p w:rsidR="005B2D52" w:rsidRDefault="00DF7773">
            <w:pPr>
              <w:jc w:val="right"/>
            </w:pPr>
            <w:r>
              <w:rPr>
                <w:rFonts w:eastAsiaTheme="minorEastAsia"/>
                <w:szCs w:val="21"/>
              </w:rPr>
              <w:t>3,514,733.23</w:t>
            </w:r>
          </w:p>
        </w:tc>
        <w:tc>
          <w:tcPr>
            <w:tcW w:w="1620" w:type="dxa"/>
            <w:vAlign w:val="center"/>
          </w:tcPr>
          <w:p w:rsidR="005B2D52" w:rsidRDefault="00DF7773">
            <w:pPr>
              <w:jc w:val="right"/>
            </w:pPr>
            <w:r>
              <w:rPr>
                <w:rFonts w:eastAsiaTheme="minorEastAsia"/>
                <w:szCs w:val="21"/>
              </w:rPr>
              <w:t>2.49</w:t>
            </w:r>
          </w:p>
        </w:tc>
      </w:tr>
      <w:tr w:rsidR="005B2D52">
        <w:tc>
          <w:tcPr>
            <w:tcW w:w="870" w:type="dxa"/>
            <w:vAlign w:val="center"/>
          </w:tcPr>
          <w:p w:rsidR="005B2D52" w:rsidRDefault="00DF7773">
            <w:pPr>
              <w:jc w:val="center"/>
            </w:pPr>
            <w:r>
              <w:rPr>
                <w:rFonts w:eastAsiaTheme="minorEastAsia"/>
                <w:szCs w:val="21"/>
              </w:rPr>
              <w:t>17</w:t>
            </w:r>
          </w:p>
        </w:tc>
        <w:tc>
          <w:tcPr>
            <w:tcW w:w="1650" w:type="dxa"/>
            <w:vAlign w:val="center"/>
          </w:tcPr>
          <w:p w:rsidR="005B2D52" w:rsidRDefault="00DF7773">
            <w:pPr>
              <w:jc w:val="center"/>
            </w:pPr>
            <w:r>
              <w:rPr>
                <w:rFonts w:eastAsiaTheme="minorEastAsia"/>
                <w:szCs w:val="21"/>
              </w:rPr>
              <w:t>00551</w:t>
            </w:r>
          </w:p>
        </w:tc>
        <w:tc>
          <w:tcPr>
            <w:tcW w:w="1980" w:type="dxa"/>
            <w:vAlign w:val="center"/>
          </w:tcPr>
          <w:p w:rsidR="005B2D52" w:rsidRDefault="00DF7773">
            <w:pPr>
              <w:jc w:val="center"/>
            </w:pPr>
            <w:r>
              <w:rPr>
                <w:rFonts w:eastAsiaTheme="minorEastAsia"/>
                <w:szCs w:val="21"/>
              </w:rPr>
              <w:t>裕元集团</w:t>
            </w:r>
          </w:p>
        </w:tc>
        <w:tc>
          <w:tcPr>
            <w:tcW w:w="2880" w:type="dxa"/>
            <w:vAlign w:val="center"/>
          </w:tcPr>
          <w:p w:rsidR="005B2D52" w:rsidRDefault="00DF7773">
            <w:pPr>
              <w:jc w:val="right"/>
            </w:pPr>
            <w:r>
              <w:rPr>
                <w:rFonts w:eastAsiaTheme="minorEastAsia"/>
                <w:szCs w:val="21"/>
              </w:rPr>
              <w:t>3,359,619.31</w:t>
            </w:r>
          </w:p>
        </w:tc>
        <w:tc>
          <w:tcPr>
            <w:tcW w:w="1620" w:type="dxa"/>
            <w:vAlign w:val="center"/>
          </w:tcPr>
          <w:p w:rsidR="005B2D52" w:rsidRDefault="00DF7773">
            <w:pPr>
              <w:jc w:val="right"/>
            </w:pPr>
            <w:r>
              <w:rPr>
                <w:rFonts w:eastAsiaTheme="minorEastAsia"/>
                <w:szCs w:val="21"/>
              </w:rPr>
              <w:t>2.38</w:t>
            </w:r>
          </w:p>
        </w:tc>
      </w:tr>
      <w:tr w:rsidR="005B2D52">
        <w:tc>
          <w:tcPr>
            <w:tcW w:w="870" w:type="dxa"/>
            <w:vAlign w:val="center"/>
          </w:tcPr>
          <w:p w:rsidR="005B2D52" w:rsidRDefault="00DF7773">
            <w:pPr>
              <w:jc w:val="center"/>
            </w:pPr>
            <w:r>
              <w:rPr>
                <w:rFonts w:eastAsiaTheme="minorEastAsia"/>
                <w:szCs w:val="21"/>
              </w:rPr>
              <w:t>18</w:t>
            </w:r>
          </w:p>
        </w:tc>
        <w:tc>
          <w:tcPr>
            <w:tcW w:w="1650" w:type="dxa"/>
            <w:vAlign w:val="center"/>
          </w:tcPr>
          <w:p w:rsidR="005B2D52" w:rsidRDefault="00DF7773">
            <w:pPr>
              <w:jc w:val="center"/>
            </w:pPr>
            <w:r>
              <w:rPr>
                <w:rFonts w:eastAsiaTheme="minorEastAsia"/>
                <w:szCs w:val="21"/>
              </w:rPr>
              <w:t>01114</w:t>
            </w:r>
          </w:p>
        </w:tc>
        <w:tc>
          <w:tcPr>
            <w:tcW w:w="1980" w:type="dxa"/>
            <w:vAlign w:val="center"/>
          </w:tcPr>
          <w:p w:rsidR="005B2D52" w:rsidRDefault="00DF7773">
            <w:pPr>
              <w:jc w:val="center"/>
            </w:pPr>
            <w:r>
              <w:rPr>
                <w:rFonts w:eastAsiaTheme="minorEastAsia"/>
                <w:szCs w:val="21"/>
              </w:rPr>
              <w:t>BRILLIANCE CHI</w:t>
            </w:r>
          </w:p>
        </w:tc>
        <w:tc>
          <w:tcPr>
            <w:tcW w:w="2880" w:type="dxa"/>
            <w:vAlign w:val="center"/>
          </w:tcPr>
          <w:p w:rsidR="005B2D52" w:rsidRDefault="00DF7773">
            <w:pPr>
              <w:jc w:val="right"/>
            </w:pPr>
            <w:r>
              <w:rPr>
                <w:rFonts w:eastAsiaTheme="minorEastAsia"/>
                <w:szCs w:val="21"/>
              </w:rPr>
              <w:t>3,319,975.59</w:t>
            </w:r>
          </w:p>
        </w:tc>
        <w:tc>
          <w:tcPr>
            <w:tcW w:w="1620" w:type="dxa"/>
            <w:vAlign w:val="center"/>
          </w:tcPr>
          <w:p w:rsidR="005B2D52" w:rsidRDefault="00DF7773">
            <w:pPr>
              <w:jc w:val="right"/>
            </w:pPr>
            <w:r>
              <w:rPr>
                <w:rFonts w:eastAsiaTheme="minorEastAsia"/>
                <w:szCs w:val="21"/>
              </w:rPr>
              <w:t>2.36</w:t>
            </w:r>
          </w:p>
        </w:tc>
      </w:tr>
      <w:tr w:rsidR="005B2D52">
        <w:tc>
          <w:tcPr>
            <w:tcW w:w="870" w:type="dxa"/>
            <w:vAlign w:val="center"/>
          </w:tcPr>
          <w:p w:rsidR="005B2D52" w:rsidRDefault="00DF7773">
            <w:pPr>
              <w:jc w:val="center"/>
            </w:pPr>
            <w:r>
              <w:rPr>
                <w:rFonts w:eastAsiaTheme="minorEastAsia"/>
                <w:szCs w:val="21"/>
              </w:rPr>
              <w:t>19</w:t>
            </w:r>
          </w:p>
        </w:tc>
        <w:tc>
          <w:tcPr>
            <w:tcW w:w="1650" w:type="dxa"/>
            <w:vAlign w:val="center"/>
          </w:tcPr>
          <w:p w:rsidR="005B2D52" w:rsidRDefault="00DF7773">
            <w:pPr>
              <w:jc w:val="center"/>
            </w:pPr>
            <w:r>
              <w:rPr>
                <w:rFonts w:eastAsiaTheme="minorEastAsia"/>
                <w:szCs w:val="21"/>
              </w:rPr>
              <w:t>00914</w:t>
            </w:r>
          </w:p>
        </w:tc>
        <w:tc>
          <w:tcPr>
            <w:tcW w:w="1980" w:type="dxa"/>
            <w:vAlign w:val="center"/>
          </w:tcPr>
          <w:p w:rsidR="005B2D52" w:rsidRDefault="00DF7773">
            <w:pPr>
              <w:jc w:val="center"/>
            </w:pPr>
            <w:r>
              <w:rPr>
                <w:rFonts w:eastAsiaTheme="minorEastAsia"/>
                <w:szCs w:val="21"/>
              </w:rPr>
              <w:t>海螺水泥</w:t>
            </w:r>
          </w:p>
        </w:tc>
        <w:tc>
          <w:tcPr>
            <w:tcW w:w="2880" w:type="dxa"/>
            <w:vAlign w:val="center"/>
          </w:tcPr>
          <w:p w:rsidR="005B2D52" w:rsidRDefault="00DF7773">
            <w:pPr>
              <w:jc w:val="right"/>
            </w:pPr>
            <w:r>
              <w:rPr>
                <w:rFonts w:eastAsiaTheme="minorEastAsia"/>
                <w:szCs w:val="21"/>
              </w:rPr>
              <w:t>3,277,274.70</w:t>
            </w:r>
          </w:p>
        </w:tc>
        <w:tc>
          <w:tcPr>
            <w:tcW w:w="1620" w:type="dxa"/>
            <w:vAlign w:val="center"/>
          </w:tcPr>
          <w:p w:rsidR="005B2D52" w:rsidRDefault="00DF7773">
            <w:pPr>
              <w:jc w:val="right"/>
            </w:pPr>
            <w:r>
              <w:rPr>
                <w:rFonts w:eastAsiaTheme="minorEastAsia"/>
                <w:szCs w:val="21"/>
              </w:rPr>
              <w:t>2.33</w:t>
            </w:r>
          </w:p>
        </w:tc>
      </w:tr>
      <w:tr w:rsidR="005B2D52">
        <w:tc>
          <w:tcPr>
            <w:tcW w:w="870" w:type="dxa"/>
            <w:vAlign w:val="center"/>
          </w:tcPr>
          <w:p w:rsidR="005B2D52" w:rsidRDefault="00DF7773">
            <w:pPr>
              <w:jc w:val="center"/>
            </w:pPr>
            <w:r>
              <w:rPr>
                <w:rFonts w:eastAsiaTheme="minorEastAsia"/>
                <w:szCs w:val="21"/>
              </w:rPr>
              <w:t>20</w:t>
            </w:r>
          </w:p>
        </w:tc>
        <w:tc>
          <w:tcPr>
            <w:tcW w:w="1650" w:type="dxa"/>
            <w:vAlign w:val="center"/>
          </w:tcPr>
          <w:p w:rsidR="005B2D52" w:rsidRDefault="00DF7773">
            <w:pPr>
              <w:jc w:val="center"/>
            </w:pPr>
            <w:r>
              <w:rPr>
                <w:rFonts w:eastAsiaTheme="minorEastAsia"/>
                <w:szCs w:val="21"/>
              </w:rPr>
              <w:t>02238</w:t>
            </w:r>
          </w:p>
        </w:tc>
        <w:tc>
          <w:tcPr>
            <w:tcW w:w="1980" w:type="dxa"/>
            <w:vAlign w:val="center"/>
          </w:tcPr>
          <w:p w:rsidR="005B2D52" w:rsidRDefault="00DF7773">
            <w:pPr>
              <w:jc w:val="center"/>
            </w:pPr>
            <w:r>
              <w:rPr>
                <w:rFonts w:eastAsiaTheme="minorEastAsia"/>
                <w:szCs w:val="21"/>
              </w:rPr>
              <w:t>广汽集团</w:t>
            </w:r>
          </w:p>
        </w:tc>
        <w:tc>
          <w:tcPr>
            <w:tcW w:w="2880" w:type="dxa"/>
            <w:vAlign w:val="center"/>
          </w:tcPr>
          <w:p w:rsidR="005B2D52" w:rsidRDefault="00DF7773">
            <w:pPr>
              <w:jc w:val="right"/>
            </w:pPr>
            <w:r>
              <w:rPr>
                <w:rFonts w:eastAsiaTheme="minorEastAsia"/>
                <w:szCs w:val="21"/>
              </w:rPr>
              <w:t>3,223,376.18</w:t>
            </w:r>
          </w:p>
        </w:tc>
        <w:tc>
          <w:tcPr>
            <w:tcW w:w="1620" w:type="dxa"/>
            <w:vAlign w:val="center"/>
          </w:tcPr>
          <w:p w:rsidR="005B2D52" w:rsidRDefault="00DF7773">
            <w:pPr>
              <w:jc w:val="right"/>
            </w:pPr>
            <w:r>
              <w:rPr>
                <w:rFonts w:eastAsiaTheme="minorEastAsia"/>
                <w:szCs w:val="21"/>
              </w:rPr>
              <w:t>2.29</w:t>
            </w:r>
          </w:p>
        </w:tc>
      </w:tr>
      <w:tr w:rsidR="005B2D52">
        <w:tc>
          <w:tcPr>
            <w:tcW w:w="870" w:type="dxa"/>
            <w:vAlign w:val="center"/>
          </w:tcPr>
          <w:p w:rsidR="005B2D52" w:rsidRDefault="00DF7773">
            <w:pPr>
              <w:jc w:val="center"/>
            </w:pPr>
            <w:r>
              <w:rPr>
                <w:rFonts w:eastAsiaTheme="minorEastAsia"/>
                <w:szCs w:val="21"/>
              </w:rPr>
              <w:t>21</w:t>
            </w:r>
          </w:p>
        </w:tc>
        <w:tc>
          <w:tcPr>
            <w:tcW w:w="1650" w:type="dxa"/>
            <w:vAlign w:val="center"/>
          </w:tcPr>
          <w:p w:rsidR="005B2D52" w:rsidRDefault="00DF7773">
            <w:pPr>
              <w:jc w:val="center"/>
            </w:pPr>
            <w:r>
              <w:rPr>
                <w:rFonts w:eastAsiaTheme="minorEastAsia"/>
                <w:szCs w:val="21"/>
              </w:rPr>
              <w:t>00285</w:t>
            </w:r>
          </w:p>
        </w:tc>
        <w:tc>
          <w:tcPr>
            <w:tcW w:w="1980" w:type="dxa"/>
            <w:vAlign w:val="center"/>
          </w:tcPr>
          <w:p w:rsidR="005B2D52" w:rsidRDefault="00DF7773">
            <w:pPr>
              <w:jc w:val="center"/>
            </w:pPr>
            <w:r>
              <w:rPr>
                <w:rFonts w:eastAsiaTheme="minorEastAsia"/>
                <w:szCs w:val="21"/>
              </w:rPr>
              <w:t>比亚迪电子</w:t>
            </w:r>
          </w:p>
        </w:tc>
        <w:tc>
          <w:tcPr>
            <w:tcW w:w="2880" w:type="dxa"/>
            <w:vAlign w:val="center"/>
          </w:tcPr>
          <w:p w:rsidR="005B2D52" w:rsidRDefault="00DF7773">
            <w:pPr>
              <w:jc w:val="right"/>
            </w:pPr>
            <w:r>
              <w:rPr>
                <w:rFonts w:eastAsiaTheme="minorEastAsia"/>
                <w:szCs w:val="21"/>
              </w:rPr>
              <w:t>3,183,645.29</w:t>
            </w:r>
          </w:p>
        </w:tc>
        <w:tc>
          <w:tcPr>
            <w:tcW w:w="1620" w:type="dxa"/>
            <w:vAlign w:val="center"/>
          </w:tcPr>
          <w:p w:rsidR="005B2D52" w:rsidRDefault="00DF7773">
            <w:pPr>
              <w:jc w:val="right"/>
            </w:pPr>
            <w:r>
              <w:rPr>
                <w:rFonts w:eastAsiaTheme="minorEastAsia"/>
                <w:szCs w:val="21"/>
              </w:rPr>
              <w:t>2.26</w:t>
            </w:r>
          </w:p>
        </w:tc>
      </w:tr>
      <w:tr w:rsidR="005B2D52">
        <w:tc>
          <w:tcPr>
            <w:tcW w:w="870" w:type="dxa"/>
            <w:vAlign w:val="center"/>
          </w:tcPr>
          <w:p w:rsidR="005B2D52" w:rsidRDefault="00DF7773">
            <w:pPr>
              <w:jc w:val="center"/>
            </w:pPr>
            <w:r>
              <w:rPr>
                <w:rFonts w:eastAsiaTheme="minorEastAsia"/>
                <w:szCs w:val="21"/>
              </w:rPr>
              <w:t>22</w:t>
            </w:r>
          </w:p>
        </w:tc>
        <w:tc>
          <w:tcPr>
            <w:tcW w:w="1650" w:type="dxa"/>
            <w:vAlign w:val="center"/>
          </w:tcPr>
          <w:p w:rsidR="005B2D52" w:rsidRDefault="00DF7773">
            <w:pPr>
              <w:jc w:val="center"/>
            </w:pPr>
            <w:r>
              <w:rPr>
                <w:rFonts w:eastAsiaTheme="minorEastAsia"/>
                <w:szCs w:val="21"/>
              </w:rPr>
              <w:t>02319</w:t>
            </w:r>
          </w:p>
        </w:tc>
        <w:tc>
          <w:tcPr>
            <w:tcW w:w="1980" w:type="dxa"/>
            <w:vAlign w:val="center"/>
          </w:tcPr>
          <w:p w:rsidR="005B2D52" w:rsidRDefault="00DF7773">
            <w:pPr>
              <w:jc w:val="center"/>
            </w:pPr>
            <w:r>
              <w:rPr>
                <w:rFonts w:eastAsiaTheme="minorEastAsia"/>
                <w:szCs w:val="21"/>
              </w:rPr>
              <w:t>蒙牛乳业</w:t>
            </w:r>
          </w:p>
        </w:tc>
        <w:tc>
          <w:tcPr>
            <w:tcW w:w="2880" w:type="dxa"/>
            <w:vAlign w:val="center"/>
          </w:tcPr>
          <w:p w:rsidR="005B2D52" w:rsidRDefault="00DF7773">
            <w:pPr>
              <w:jc w:val="right"/>
            </w:pPr>
            <w:r>
              <w:rPr>
                <w:rFonts w:eastAsiaTheme="minorEastAsia"/>
                <w:szCs w:val="21"/>
              </w:rPr>
              <w:t>3,170,604.72</w:t>
            </w:r>
          </w:p>
        </w:tc>
        <w:tc>
          <w:tcPr>
            <w:tcW w:w="1620" w:type="dxa"/>
            <w:vAlign w:val="center"/>
          </w:tcPr>
          <w:p w:rsidR="005B2D52" w:rsidRDefault="00DF7773">
            <w:pPr>
              <w:jc w:val="right"/>
            </w:pPr>
            <w:r>
              <w:rPr>
                <w:rFonts w:eastAsiaTheme="minorEastAsia"/>
                <w:szCs w:val="21"/>
              </w:rPr>
              <w:t>2.25</w:t>
            </w:r>
          </w:p>
        </w:tc>
      </w:tr>
      <w:tr w:rsidR="005B2D52">
        <w:tc>
          <w:tcPr>
            <w:tcW w:w="870" w:type="dxa"/>
            <w:vAlign w:val="center"/>
          </w:tcPr>
          <w:p w:rsidR="005B2D52" w:rsidRDefault="00DF7773">
            <w:pPr>
              <w:jc w:val="center"/>
            </w:pPr>
            <w:r>
              <w:rPr>
                <w:rFonts w:eastAsiaTheme="minorEastAsia"/>
                <w:szCs w:val="21"/>
              </w:rPr>
              <w:t>23</w:t>
            </w:r>
          </w:p>
        </w:tc>
        <w:tc>
          <w:tcPr>
            <w:tcW w:w="1650" w:type="dxa"/>
            <w:vAlign w:val="center"/>
          </w:tcPr>
          <w:p w:rsidR="005B2D52" w:rsidRDefault="00DF7773">
            <w:pPr>
              <w:jc w:val="center"/>
            </w:pPr>
            <w:r>
              <w:rPr>
                <w:rFonts w:eastAsiaTheme="minorEastAsia"/>
                <w:szCs w:val="21"/>
              </w:rPr>
              <w:t>00017</w:t>
            </w:r>
          </w:p>
        </w:tc>
        <w:tc>
          <w:tcPr>
            <w:tcW w:w="1980" w:type="dxa"/>
            <w:vAlign w:val="center"/>
          </w:tcPr>
          <w:p w:rsidR="005B2D52" w:rsidRDefault="00DF7773">
            <w:pPr>
              <w:jc w:val="center"/>
            </w:pPr>
            <w:r>
              <w:rPr>
                <w:rFonts w:eastAsiaTheme="minorEastAsia"/>
                <w:szCs w:val="21"/>
              </w:rPr>
              <w:t>新世界发展</w:t>
            </w:r>
          </w:p>
        </w:tc>
        <w:tc>
          <w:tcPr>
            <w:tcW w:w="2880" w:type="dxa"/>
            <w:vAlign w:val="center"/>
          </w:tcPr>
          <w:p w:rsidR="005B2D52" w:rsidRDefault="00DF7773">
            <w:pPr>
              <w:jc w:val="right"/>
            </w:pPr>
            <w:r>
              <w:rPr>
                <w:rFonts w:eastAsiaTheme="minorEastAsia"/>
                <w:szCs w:val="21"/>
              </w:rPr>
              <w:t>3,089,444.34</w:t>
            </w:r>
          </w:p>
        </w:tc>
        <w:tc>
          <w:tcPr>
            <w:tcW w:w="1620" w:type="dxa"/>
            <w:vAlign w:val="center"/>
          </w:tcPr>
          <w:p w:rsidR="005B2D52" w:rsidRDefault="00DF7773">
            <w:pPr>
              <w:jc w:val="right"/>
            </w:pPr>
            <w:r>
              <w:rPr>
                <w:rFonts w:eastAsiaTheme="minorEastAsia"/>
                <w:szCs w:val="21"/>
              </w:rPr>
              <w:t>2.19</w:t>
            </w:r>
          </w:p>
        </w:tc>
      </w:tr>
      <w:tr w:rsidR="005B2D52">
        <w:tc>
          <w:tcPr>
            <w:tcW w:w="870" w:type="dxa"/>
            <w:vAlign w:val="center"/>
          </w:tcPr>
          <w:p w:rsidR="005B2D52" w:rsidRDefault="00DF7773">
            <w:pPr>
              <w:jc w:val="center"/>
            </w:pPr>
            <w:r>
              <w:rPr>
                <w:rFonts w:eastAsiaTheme="minorEastAsia"/>
                <w:szCs w:val="21"/>
              </w:rPr>
              <w:t>24</w:t>
            </w:r>
          </w:p>
        </w:tc>
        <w:tc>
          <w:tcPr>
            <w:tcW w:w="1650" w:type="dxa"/>
            <w:vAlign w:val="center"/>
          </w:tcPr>
          <w:p w:rsidR="005B2D52" w:rsidRDefault="00DF7773">
            <w:pPr>
              <w:jc w:val="center"/>
            </w:pPr>
            <w:r>
              <w:rPr>
                <w:rFonts w:eastAsiaTheme="minorEastAsia"/>
                <w:szCs w:val="21"/>
              </w:rPr>
              <w:t>00670</w:t>
            </w:r>
          </w:p>
        </w:tc>
        <w:tc>
          <w:tcPr>
            <w:tcW w:w="1980" w:type="dxa"/>
            <w:vAlign w:val="center"/>
          </w:tcPr>
          <w:p w:rsidR="005B2D52" w:rsidRDefault="00DF7773">
            <w:pPr>
              <w:jc w:val="center"/>
            </w:pPr>
            <w:r>
              <w:rPr>
                <w:rFonts w:eastAsiaTheme="minorEastAsia"/>
                <w:szCs w:val="21"/>
              </w:rPr>
              <w:t>中国东方航空股份</w:t>
            </w:r>
          </w:p>
        </w:tc>
        <w:tc>
          <w:tcPr>
            <w:tcW w:w="2880" w:type="dxa"/>
            <w:vAlign w:val="center"/>
          </w:tcPr>
          <w:p w:rsidR="005B2D52" w:rsidRDefault="00DF7773">
            <w:pPr>
              <w:jc w:val="right"/>
            </w:pPr>
            <w:r>
              <w:rPr>
                <w:rFonts w:eastAsiaTheme="minorEastAsia"/>
                <w:szCs w:val="21"/>
              </w:rPr>
              <w:t>3,069,540.31</w:t>
            </w:r>
          </w:p>
        </w:tc>
        <w:tc>
          <w:tcPr>
            <w:tcW w:w="1620" w:type="dxa"/>
            <w:vAlign w:val="center"/>
          </w:tcPr>
          <w:p w:rsidR="005B2D52" w:rsidRDefault="00DF7773">
            <w:pPr>
              <w:jc w:val="right"/>
            </w:pPr>
            <w:r>
              <w:rPr>
                <w:rFonts w:eastAsiaTheme="minorEastAsia"/>
                <w:szCs w:val="21"/>
              </w:rPr>
              <w:t>2.18</w:t>
            </w:r>
          </w:p>
        </w:tc>
      </w:tr>
      <w:tr w:rsidR="005B2D52">
        <w:tc>
          <w:tcPr>
            <w:tcW w:w="870" w:type="dxa"/>
            <w:vAlign w:val="center"/>
          </w:tcPr>
          <w:p w:rsidR="005B2D52" w:rsidRDefault="00DF7773">
            <w:pPr>
              <w:jc w:val="center"/>
            </w:pPr>
            <w:r>
              <w:rPr>
                <w:rFonts w:eastAsiaTheme="minorEastAsia"/>
                <w:szCs w:val="21"/>
              </w:rPr>
              <w:t>25</w:t>
            </w:r>
          </w:p>
        </w:tc>
        <w:tc>
          <w:tcPr>
            <w:tcW w:w="1650" w:type="dxa"/>
            <w:vAlign w:val="center"/>
          </w:tcPr>
          <w:p w:rsidR="005B2D52" w:rsidRDefault="00DF7773">
            <w:pPr>
              <w:jc w:val="center"/>
            </w:pPr>
            <w:r>
              <w:rPr>
                <w:rFonts w:eastAsiaTheme="minorEastAsia"/>
                <w:szCs w:val="21"/>
              </w:rPr>
              <w:t>002938</w:t>
            </w:r>
          </w:p>
        </w:tc>
        <w:tc>
          <w:tcPr>
            <w:tcW w:w="1980" w:type="dxa"/>
            <w:vAlign w:val="center"/>
          </w:tcPr>
          <w:p w:rsidR="005B2D52" w:rsidRDefault="00DF7773">
            <w:pPr>
              <w:jc w:val="center"/>
            </w:pPr>
            <w:r>
              <w:rPr>
                <w:rFonts w:eastAsiaTheme="minorEastAsia"/>
                <w:szCs w:val="21"/>
              </w:rPr>
              <w:t>鹏鼎控股</w:t>
            </w:r>
          </w:p>
        </w:tc>
        <w:tc>
          <w:tcPr>
            <w:tcW w:w="2880" w:type="dxa"/>
            <w:vAlign w:val="center"/>
          </w:tcPr>
          <w:p w:rsidR="005B2D52" w:rsidRDefault="00DF7773">
            <w:pPr>
              <w:jc w:val="right"/>
            </w:pPr>
            <w:r>
              <w:rPr>
                <w:rFonts w:eastAsiaTheme="minorEastAsia"/>
                <w:szCs w:val="21"/>
              </w:rPr>
              <w:t>3,002,399.00</w:t>
            </w:r>
          </w:p>
        </w:tc>
        <w:tc>
          <w:tcPr>
            <w:tcW w:w="1620" w:type="dxa"/>
            <w:vAlign w:val="center"/>
          </w:tcPr>
          <w:p w:rsidR="005B2D52" w:rsidRDefault="00DF7773">
            <w:pPr>
              <w:jc w:val="right"/>
            </w:pPr>
            <w:r>
              <w:rPr>
                <w:rFonts w:eastAsiaTheme="minorEastAsia"/>
                <w:szCs w:val="21"/>
              </w:rPr>
              <w:t>2.13</w:t>
            </w:r>
          </w:p>
        </w:tc>
      </w:tr>
      <w:tr w:rsidR="005B2D52">
        <w:tc>
          <w:tcPr>
            <w:tcW w:w="870" w:type="dxa"/>
            <w:vAlign w:val="center"/>
          </w:tcPr>
          <w:p w:rsidR="005B2D52" w:rsidRDefault="00DF7773">
            <w:pPr>
              <w:jc w:val="center"/>
            </w:pPr>
            <w:r>
              <w:rPr>
                <w:rFonts w:eastAsiaTheme="minorEastAsia"/>
                <w:szCs w:val="21"/>
              </w:rPr>
              <w:t>26</w:t>
            </w:r>
          </w:p>
        </w:tc>
        <w:tc>
          <w:tcPr>
            <w:tcW w:w="1650" w:type="dxa"/>
            <w:vAlign w:val="center"/>
          </w:tcPr>
          <w:p w:rsidR="005B2D52" w:rsidRDefault="00DF7773">
            <w:pPr>
              <w:jc w:val="center"/>
            </w:pPr>
            <w:r>
              <w:rPr>
                <w:rFonts w:eastAsiaTheme="minorEastAsia"/>
                <w:szCs w:val="21"/>
              </w:rPr>
              <w:t>00027</w:t>
            </w:r>
          </w:p>
        </w:tc>
        <w:tc>
          <w:tcPr>
            <w:tcW w:w="1980" w:type="dxa"/>
            <w:vAlign w:val="center"/>
          </w:tcPr>
          <w:p w:rsidR="005B2D52" w:rsidRDefault="00DF7773">
            <w:pPr>
              <w:jc w:val="center"/>
            </w:pPr>
            <w:r>
              <w:rPr>
                <w:rFonts w:eastAsiaTheme="minorEastAsia"/>
                <w:szCs w:val="21"/>
              </w:rPr>
              <w:t>银河娱乐</w:t>
            </w:r>
          </w:p>
        </w:tc>
        <w:tc>
          <w:tcPr>
            <w:tcW w:w="2880" w:type="dxa"/>
            <w:vAlign w:val="center"/>
          </w:tcPr>
          <w:p w:rsidR="005B2D52" w:rsidRDefault="00DF7773">
            <w:pPr>
              <w:jc w:val="right"/>
            </w:pPr>
            <w:r>
              <w:rPr>
                <w:rFonts w:eastAsiaTheme="minorEastAsia"/>
                <w:szCs w:val="21"/>
              </w:rPr>
              <w:t>2,990,494.62</w:t>
            </w:r>
          </w:p>
        </w:tc>
        <w:tc>
          <w:tcPr>
            <w:tcW w:w="1620" w:type="dxa"/>
            <w:vAlign w:val="center"/>
          </w:tcPr>
          <w:p w:rsidR="005B2D52" w:rsidRDefault="00DF7773">
            <w:pPr>
              <w:jc w:val="right"/>
            </w:pPr>
            <w:r>
              <w:rPr>
                <w:rFonts w:eastAsiaTheme="minorEastAsia"/>
                <w:szCs w:val="21"/>
              </w:rPr>
              <w:t>2.12</w:t>
            </w:r>
          </w:p>
        </w:tc>
      </w:tr>
      <w:tr w:rsidR="005B2D52">
        <w:tc>
          <w:tcPr>
            <w:tcW w:w="870" w:type="dxa"/>
            <w:vAlign w:val="center"/>
          </w:tcPr>
          <w:p w:rsidR="005B2D52" w:rsidRDefault="00DF7773">
            <w:pPr>
              <w:jc w:val="center"/>
            </w:pPr>
            <w:r>
              <w:rPr>
                <w:rFonts w:eastAsiaTheme="minorEastAsia"/>
                <w:szCs w:val="21"/>
              </w:rPr>
              <w:t>27</w:t>
            </w:r>
          </w:p>
        </w:tc>
        <w:tc>
          <w:tcPr>
            <w:tcW w:w="1650" w:type="dxa"/>
            <w:vAlign w:val="center"/>
          </w:tcPr>
          <w:p w:rsidR="005B2D52" w:rsidRDefault="00DF7773">
            <w:pPr>
              <w:jc w:val="center"/>
            </w:pPr>
            <w:r>
              <w:rPr>
                <w:rFonts w:eastAsiaTheme="minorEastAsia"/>
                <w:szCs w:val="21"/>
              </w:rPr>
              <w:t>600519</w:t>
            </w:r>
          </w:p>
        </w:tc>
        <w:tc>
          <w:tcPr>
            <w:tcW w:w="1980" w:type="dxa"/>
            <w:vAlign w:val="center"/>
          </w:tcPr>
          <w:p w:rsidR="005B2D52" w:rsidRDefault="00DF7773">
            <w:pPr>
              <w:jc w:val="center"/>
            </w:pPr>
            <w:r>
              <w:rPr>
                <w:rFonts w:eastAsiaTheme="minorEastAsia"/>
                <w:szCs w:val="21"/>
              </w:rPr>
              <w:t>贵州茅台</w:t>
            </w:r>
          </w:p>
        </w:tc>
        <w:tc>
          <w:tcPr>
            <w:tcW w:w="2880" w:type="dxa"/>
            <w:vAlign w:val="center"/>
          </w:tcPr>
          <w:p w:rsidR="005B2D52" w:rsidRDefault="00DF7773">
            <w:pPr>
              <w:jc w:val="right"/>
            </w:pPr>
            <w:r>
              <w:rPr>
                <w:rFonts w:eastAsiaTheme="minorEastAsia"/>
                <w:szCs w:val="21"/>
              </w:rPr>
              <w:t>2,944,620.00</w:t>
            </w:r>
          </w:p>
        </w:tc>
        <w:tc>
          <w:tcPr>
            <w:tcW w:w="1620" w:type="dxa"/>
            <w:vAlign w:val="center"/>
          </w:tcPr>
          <w:p w:rsidR="005B2D52" w:rsidRDefault="00DF7773">
            <w:pPr>
              <w:jc w:val="right"/>
            </w:pPr>
            <w:r>
              <w:rPr>
                <w:rFonts w:eastAsiaTheme="minorEastAsia"/>
                <w:szCs w:val="21"/>
              </w:rPr>
              <w:t>2.09</w:t>
            </w:r>
          </w:p>
        </w:tc>
      </w:tr>
      <w:tr w:rsidR="005B2D52">
        <w:tc>
          <w:tcPr>
            <w:tcW w:w="870" w:type="dxa"/>
            <w:vAlign w:val="center"/>
          </w:tcPr>
          <w:p w:rsidR="005B2D52" w:rsidRDefault="00DF7773">
            <w:pPr>
              <w:jc w:val="center"/>
            </w:pPr>
            <w:r>
              <w:rPr>
                <w:rFonts w:eastAsiaTheme="minorEastAsia"/>
                <w:szCs w:val="21"/>
              </w:rPr>
              <w:t>28</w:t>
            </w:r>
          </w:p>
        </w:tc>
        <w:tc>
          <w:tcPr>
            <w:tcW w:w="1650" w:type="dxa"/>
            <w:vAlign w:val="center"/>
          </w:tcPr>
          <w:p w:rsidR="005B2D52" w:rsidRDefault="00DF7773">
            <w:pPr>
              <w:jc w:val="center"/>
            </w:pPr>
            <w:r>
              <w:rPr>
                <w:rFonts w:eastAsiaTheme="minorEastAsia"/>
                <w:szCs w:val="21"/>
              </w:rPr>
              <w:t>03888</w:t>
            </w:r>
          </w:p>
        </w:tc>
        <w:tc>
          <w:tcPr>
            <w:tcW w:w="1980" w:type="dxa"/>
            <w:vAlign w:val="center"/>
          </w:tcPr>
          <w:p w:rsidR="005B2D52" w:rsidRDefault="00DF7773">
            <w:pPr>
              <w:jc w:val="center"/>
            </w:pPr>
            <w:r>
              <w:rPr>
                <w:rFonts w:eastAsiaTheme="minorEastAsia"/>
                <w:szCs w:val="21"/>
              </w:rPr>
              <w:t>金山软件</w:t>
            </w:r>
          </w:p>
        </w:tc>
        <w:tc>
          <w:tcPr>
            <w:tcW w:w="2880" w:type="dxa"/>
            <w:vAlign w:val="center"/>
          </w:tcPr>
          <w:p w:rsidR="005B2D52" w:rsidRDefault="00DF7773">
            <w:pPr>
              <w:jc w:val="right"/>
            </w:pPr>
            <w:r>
              <w:rPr>
                <w:rFonts w:eastAsiaTheme="minorEastAsia"/>
                <w:szCs w:val="21"/>
              </w:rPr>
              <w:t>2,860,892.16</w:t>
            </w:r>
          </w:p>
        </w:tc>
        <w:tc>
          <w:tcPr>
            <w:tcW w:w="1620" w:type="dxa"/>
            <w:vAlign w:val="center"/>
          </w:tcPr>
          <w:p w:rsidR="005B2D52" w:rsidRDefault="00DF7773">
            <w:pPr>
              <w:jc w:val="right"/>
            </w:pPr>
            <w:r>
              <w:rPr>
                <w:rFonts w:eastAsiaTheme="minorEastAsia"/>
                <w:szCs w:val="21"/>
              </w:rPr>
              <w:t>2.03</w:t>
            </w:r>
          </w:p>
        </w:tc>
      </w:tr>
      <w:tr w:rsidR="005B2D52">
        <w:tc>
          <w:tcPr>
            <w:tcW w:w="870" w:type="dxa"/>
            <w:vAlign w:val="center"/>
          </w:tcPr>
          <w:p w:rsidR="005B2D52" w:rsidRDefault="00DF7773">
            <w:pPr>
              <w:jc w:val="center"/>
            </w:pPr>
            <w:r>
              <w:rPr>
                <w:rFonts w:eastAsiaTheme="minorEastAsia"/>
                <w:szCs w:val="21"/>
              </w:rPr>
              <w:t>29</w:t>
            </w:r>
          </w:p>
        </w:tc>
        <w:tc>
          <w:tcPr>
            <w:tcW w:w="1650" w:type="dxa"/>
            <w:vAlign w:val="center"/>
          </w:tcPr>
          <w:p w:rsidR="005B2D52" w:rsidRDefault="00DF7773">
            <w:pPr>
              <w:jc w:val="center"/>
            </w:pPr>
            <w:r>
              <w:rPr>
                <w:rFonts w:eastAsiaTheme="minorEastAsia"/>
                <w:szCs w:val="21"/>
              </w:rPr>
              <w:t>06098</w:t>
            </w:r>
          </w:p>
        </w:tc>
        <w:tc>
          <w:tcPr>
            <w:tcW w:w="1980" w:type="dxa"/>
            <w:vAlign w:val="center"/>
          </w:tcPr>
          <w:p w:rsidR="005B2D52" w:rsidRDefault="00DF7773">
            <w:pPr>
              <w:jc w:val="center"/>
            </w:pPr>
            <w:r>
              <w:rPr>
                <w:rFonts w:eastAsiaTheme="minorEastAsia"/>
                <w:szCs w:val="21"/>
              </w:rPr>
              <w:t>碧桂园服务</w:t>
            </w:r>
          </w:p>
        </w:tc>
        <w:tc>
          <w:tcPr>
            <w:tcW w:w="2880" w:type="dxa"/>
            <w:vAlign w:val="center"/>
          </w:tcPr>
          <w:p w:rsidR="005B2D52" w:rsidRDefault="00DF7773">
            <w:pPr>
              <w:jc w:val="right"/>
            </w:pPr>
            <w:r>
              <w:rPr>
                <w:rFonts w:eastAsiaTheme="minorEastAsia"/>
                <w:szCs w:val="21"/>
              </w:rPr>
              <w:t>2,849,307.58</w:t>
            </w:r>
          </w:p>
        </w:tc>
        <w:tc>
          <w:tcPr>
            <w:tcW w:w="1620" w:type="dxa"/>
            <w:vAlign w:val="center"/>
          </w:tcPr>
          <w:p w:rsidR="005B2D52" w:rsidRDefault="00DF7773">
            <w:pPr>
              <w:jc w:val="right"/>
            </w:pPr>
            <w:r>
              <w:rPr>
                <w:rFonts w:eastAsiaTheme="minorEastAsia"/>
                <w:szCs w:val="21"/>
              </w:rPr>
              <w:t>2.02</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149,350,991.83</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176,087,283.04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4" w:name="_Toc234814104"/>
      <w:bookmarkStart w:id="65" w:name="_Toc390421261"/>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64"/>
      <w:bookmarkEnd w:id="65"/>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6" w:name="_Toc390421262"/>
      <w:r w:rsidRPr="00C56F63">
        <w:rPr>
          <w:rFonts w:ascii="Times New Roman" w:eastAsiaTheme="minorEastAsia" w:hAnsi="Times New Roman"/>
          <w:kern w:val="0"/>
          <w:sz w:val="21"/>
          <w:szCs w:val="21"/>
        </w:rPr>
        <w:t>7.6</w:t>
      </w:r>
      <w:bookmarkStart w:id="67"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66"/>
      <w:bookmarkEnd w:id="67"/>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本基金本报告期末未持有债券。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8" w:name="_Toc390421263"/>
      <w:r w:rsidRPr="00C56F63">
        <w:rPr>
          <w:rFonts w:ascii="Times New Roman" w:eastAsiaTheme="minorEastAsia" w:hAnsi="Times New Roman"/>
          <w:kern w:val="0"/>
          <w:sz w:val="21"/>
          <w:szCs w:val="21"/>
        </w:rPr>
        <w:lastRenderedPageBreak/>
        <w:t xml:space="preserve">7.7 </w:t>
      </w:r>
      <w:r w:rsidRPr="00C56F63">
        <w:rPr>
          <w:rFonts w:ascii="Times New Roman" w:eastAsiaTheme="minorEastAsia" w:hAnsi="Times New Roman"/>
          <w:kern w:val="0"/>
          <w:sz w:val="21"/>
          <w:szCs w:val="21"/>
        </w:rPr>
        <w:t>期末按公允价值占基金资产净值比例大小排序的</w:t>
      </w:r>
      <w:r w:rsidR="00E62EC2">
        <w:rPr>
          <w:rFonts w:ascii="Times New Roman" w:eastAsiaTheme="minorEastAsia" w:hAnsi="Times New Roman" w:hint="eastAsia"/>
          <w:kern w:val="0"/>
          <w:sz w:val="21"/>
          <w:szCs w:val="21"/>
        </w:rPr>
        <w:t>前十名</w:t>
      </w:r>
      <w:r w:rsidRPr="00C56F63">
        <w:rPr>
          <w:rFonts w:ascii="Times New Roman" w:eastAsiaTheme="minorEastAsia" w:hAnsi="Times New Roman"/>
          <w:kern w:val="0"/>
          <w:sz w:val="21"/>
          <w:szCs w:val="21"/>
        </w:rPr>
        <w:t>资产支持证券投资明细</w:t>
      </w:r>
      <w:bookmarkEnd w:id="6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9" w:name="_Toc390421264"/>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69"/>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0" w:name="_Toc390421265"/>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70"/>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1" w:name="_Toc390421266"/>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71"/>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2" w:name="_Toc390421267"/>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72"/>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3" w:name="_Toc390421268"/>
      <w:r w:rsidRPr="00C56F63">
        <w:rPr>
          <w:rFonts w:ascii="Times New Roman" w:eastAsiaTheme="minorEastAsia" w:hAnsi="Times New Roman"/>
          <w:kern w:val="0"/>
          <w:sz w:val="21"/>
          <w:szCs w:val="21"/>
        </w:rPr>
        <w:t xml:space="preserve">7.12 </w:t>
      </w:r>
      <w:r w:rsidRPr="00C56F63">
        <w:rPr>
          <w:rFonts w:ascii="Times New Roman" w:eastAsiaTheme="minorEastAsia" w:hAnsi="Times New Roman"/>
          <w:kern w:val="0"/>
          <w:sz w:val="21"/>
          <w:szCs w:val="21"/>
        </w:rPr>
        <w:t>投资组合报告附注</w:t>
      </w:r>
      <w:bookmarkEnd w:id="73"/>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7.12.3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722,519.60</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2,188,666.17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442,938.28</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3,130.63</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1,996.07</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lastRenderedPageBreak/>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3,359,250.75</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7.12.4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7.12.5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7.12.6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因四舍五入的原因，投资组合报告中分项之和与合计数可能存在尾差。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74" w:name="_Toc374540579"/>
      <w:bookmarkStart w:id="75" w:name="_Toc225500050"/>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74"/>
      <w:bookmarkEnd w:id="75"/>
    </w:p>
    <w:p w:rsidR="006B65E1" w:rsidRPr="00C56F63" w:rsidRDefault="00945F2E">
      <w:pPr>
        <w:pStyle w:val="2"/>
        <w:spacing w:before="0" w:after="0"/>
        <w:rPr>
          <w:rFonts w:ascii="Times New Roman" w:eastAsiaTheme="minorEastAsia" w:hAnsi="Times New Roman"/>
          <w:kern w:val="0"/>
          <w:sz w:val="21"/>
          <w:szCs w:val="21"/>
        </w:rPr>
      </w:pPr>
      <w:bookmarkStart w:id="76" w:name="_Toc390421270"/>
      <w:bookmarkStart w:id="77" w:name="_Toc225500051"/>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76"/>
      <w:bookmarkEnd w:id="77"/>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BE51D2" w:rsidRPr="00C56F63" w:rsidTr="00BE51D2">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5B2D52" w:rsidRDefault="00DF7773">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BE51D2" w:rsidRPr="00C56F63" w:rsidTr="00BE51D2">
        <w:tc>
          <w:tcPr>
            <w:tcW w:w="1627" w:type="dxa"/>
            <w:vMerge/>
            <w:tcBorders>
              <w:top w:val="single" w:sz="8" w:space="0" w:color="000000"/>
              <w:left w:val="single" w:sz="8" w:space="0" w:color="000000"/>
              <w:bottom w:val="single" w:sz="8" w:space="0" w:color="000000"/>
              <w:right w:val="single" w:sz="8" w:space="0" w:color="000000"/>
            </w:tcBorders>
            <w:vAlign w:val="center"/>
          </w:tcPr>
          <w:p w:rsidR="005B2D52" w:rsidRDefault="005B2D52">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BE51D2" w:rsidRPr="00C56F63" w:rsidTr="00BE51D2">
        <w:tc>
          <w:tcPr>
            <w:tcW w:w="1627" w:type="dxa"/>
            <w:vMerge/>
            <w:tcBorders>
              <w:top w:val="single" w:sz="8" w:space="0" w:color="000000"/>
              <w:left w:val="single" w:sz="8" w:space="0" w:color="000000"/>
              <w:bottom w:val="single" w:sz="8" w:space="0" w:color="000000"/>
              <w:right w:val="single" w:sz="8" w:space="0" w:color="000000"/>
            </w:tcBorders>
            <w:vAlign w:val="center"/>
          </w:tcPr>
          <w:p w:rsidR="005B2D52" w:rsidRDefault="005B2D52">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BE51D2" w:rsidRPr="00C56F63" w:rsidTr="00BE51D2">
        <w:tc>
          <w:tcPr>
            <w:tcW w:w="1627" w:type="dxa"/>
            <w:tcBorders>
              <w:top w:val="single" w:sz="8" w:space="0" w:color="000000"/>
              <w:left w:val="single" w:sz="8" w:space="0" w:color="000000"/>
              <w:bottom w:val="single" w:sz="8" w:space="0" w:color="000000"/>
              <w:right w:val="single" w:sz="8" w:space="0" w:color="000000"/>
            </w:tcBorders>
            <w:vAlign w:val="center"/>
          </w:tcPr>
          <w:p w:rsidR="005B2D52" w:rsidRDefault="00DF7773">
            <w:pPr>
              <w:jc w:val="center"/>
            </w:pPr>
            <w:r>
              <w:rPr>
                <w:rFonts w:eastAsiaTheme="minorEastAsia"/>
                <w:bCs/>
                <w:color w:val="000000"/>
                <w:szCs w:val="21"/>
              </w:rPr>
              <w:t>2,203</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54,124.87</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523,605.74</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0.44%</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118,713,483.92</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99.56%</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8" w:name="_Toc390421272"/>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78"/>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497.25</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0.0004%</w:t>
            </w:r>
          </w:p>
        </w:tc>
      </w:tr>
    </w:tbl>
    <w:p w:rsidR="006B65E1" w:rsidRPr="00C56F63" w:rsidRDefault="00945F2E">
      <w:pPr>
        <w:pStyle w:val="2"/>
        <w:spacing w:before="0" w:after="0" w:line="240" w:lineRule="auto"/>
        <w:rPr>
          <w:rFonts w:ascii="Times New Roman" w:eastAsiaTheme="minorEastAsia" w:hAnsi="Times New Roman"/>
          <w:sz w:val="21"/>
          <w:szCs w:val="21"/>
        </w:rPr>
      </w:pPr>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lastRenderedPageBreak/>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374540584"/>
      <w:bookmarkStart w:id="80" w:name="_Toc225500053"/>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79"/>
      <w:bookmarkEnd w:id="80"/>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2018</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8</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234,515,495.41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160,381,409.28</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3,095,101.56</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44,239,421.18</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119,237,089.66</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81" w:name="_Toc374540585"/>
      <w:bookmarkStart w:id="82" w:name="_Toc225500054"/>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81"/>
      <w:bookmarkEnd w:id="82"/>
    </w:p>
    <w:p w:rsidR="003E40F9" w:rsidRPr="00690ED2" w:rsidRDefault="003E40F9" w:rsidP="003E40F9">
      <w:pPr>
        <w:pStyle w:val="2"/>
        <w:spacing w:before="29" w:after="0" w:line="288" w:lineRule="auto"/>
        <w:rPr>
          <w:rFonts w:ascii="Times New Roman" w:hAnsi="Times New Roman"/>
          <w:kern w:val="0"/>
          <w:sz w:val="21"/>
          <w:szCs w:val="21"/>
        </w:rPr>
      </w:pPr>
      <w:bookmarkStart w:id="83" w:name="_Toc374438161"/>
      <w:bookmarkStart w:id="84" w:name="_Toc361324894"/>
      <w:bookmarkStart w:id="8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3"/>
      <w:bookmarkEnd w:id="8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86" w:name="_Toc374438162"/>
      <w:bookmarkStart w:id="87" w:name="_Toc361324895"/>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86"/>
      <w:bookmarkEnd w:id="87"/>
    </w:p>
    <w:p w:rsidR="005B2D52" w:rsidRDefault="00DF7773">
      <w:pPr>
        <w:tabs>
          <w:tab w:val="left" w:pos="426"/>
        </w:tabs>
        <w:spacing w:before="29" w:line="288" w:lineRule="auto"/>
        <w:jc w:val="left"/>
        <w:rPr>
          <w:kern w:val="0"/>
          <w:szCs w:val="21"/>
        </w:rPr>
      </w:pPr>
      <w:r>
        <w:rPr>
          <w:kern w:val="0"/>
          <w:szCs w:val="21"/>
        </w:rPr>
        <w:t>基金管理人：</w:t>
      </w:r>
    </w:p>
    <w:p w:rsidR="005B2D52" w:rsidRDefault="00DF7773">
      <w:pPr>
        <w:tabs>
          <w:tab w:val="left" w:pos="426"/>
        </w:tabs>
        <w:spacing w:before="29" w:line="288" w:lineRule="auto"/>
        <w:jc w:val="left"/>
        <w:rPr>
          <w:kern w:val="0"/>
          <w:szCs w:val="21"/>
        </w:rPr>
      </w:pPr>
      <w:r>
        <w:rPr>
          <w:kern w:val="0"/>
          <w:szCs w:val="21"/>
        </w:rPr>
        <w:t>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5B2D52" w:rsidRDefault="00DF7773">
      <w:pPr>
        <w:tabs>
          <w:tab w:val="left" w:pos="426"/>
        </w:tabs>
        <w:spacing w:before="29" w:line="288" w:lineRule="auto"/>
        <w:jc w:val="left"/>
        <w:rPr>
          <w:kern w:val="0"/>
          <w:szCs w:val="21"/>
        </w:rPr>
      </w:pPr>
      <w:r>
        <w:rPr>
          <w:kern w:val="0"/>
          <w:szCs w:val="21"/>
        </w:rPr>
        <w:t>基金托管人：</w:t>
      </w:r>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本报告期基金托管人的专门基金托管部门无重大人事变动。</w:t>
      </w:r>
      <w:r w:rsidRPr="00690ED2">
        <w:rPr>
          <w:kern w:val="0"/>
          <w:szCs w:val="21"/>
        </w:rPr>
        <w:t xml:space="preserve"> </w:t>
      </w:r>
    </w:p>
    <w:p w:rsidR="003E40F9" w:rsidRPr="00690ED2" w:rsidRDefault="003E40F9" w:rsidP="003E40F9">
      <w:pPr>
        <w:pStyle w:val="2"/>
        <w:spacing w:before="29" w:after="0" w:line="288" w:lineRule="auto"/>
        <w:rPr>
          <w:rFonts w:ascii="Times New Roman" w:hAnsi="Times New Roman"/>
          <w:kern w:val="0"/>
          <w:sz w:val="21"/>
          <w:szCs w:val="21"/>
        </w:rPr>
      </w:pPr>
      <w:bookmarkStart w:id="88" w:name="_Toc374438163"/>
      <w:bookmarkStart w:id="89" w:name="_Toc361324896"/>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88"/>
      <w:bookmarkEnd w:id="89"/>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90" w:name="_Toc374438164"/>
      <w:bookmarkStart w:id="91" w:name="_Toc361324897"/>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0"/>
      <w:bookmarkEnd w:id="9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92" w:name="_Toc409100103"/>
      <w:bookmarkStart w:id="93" w:name="_Toc409100466"/>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92"/>
      <w:bookmarkEnd w:id="93"/>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94" w:name="_Toc361324899"/>
      <w:bookmarkStart w:id="95" w:name="_Toc409100467"/>
      <w:bookmarkStart w:id="96" w:name="_Toc409100104"/>
      <w:r w:rsidRPr="00690ED2">
        <w:rPr>
          <w:rFonts w:ascii="Times New Roman" w:hAnsi="Times New Roman"/>
          <w:kern w:val="0"/>
          <w:sz w:val="21"/>
          <w:szCs w:val="21"/>
        </w:rPr>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94"/>
      <w:bookmarkEnd w:id="95"/>
      <w:bookmarkEnd w:id="96"/>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97" w:name="_Toc409100105"/>
      <w:bookmarkStart w:id="98" w:name="_Toc409100468"/>
      <w:bookmarkStart w:id="99" w:name="_Toc361324900"/>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97"/>
      <w:bookmarkEnd w:id="98"/>
      <w:bookmarkEnd w:id="99"/>
    </w:p>
    <w:p w:rsidR="003E40F9" w:rsidRPr="00690ED2" w:rsidRDefault="003E40F9" w:rsidP="003E40F9">
      <w:pPr>
        <w:tabs>
          <w:tab w:val="left" w:pos="426"/>
        </w:tabs>
        <w:spacing w:before="29" w:line="288" w:lineRule="auto"/>
        <w:jc w:val="left"/>
        <w:rPr>
          <w:b/>
          <w:kern w:val="0"/>
          <w:szCs w:val="21"/>
        </w:rPr>
      </w:pPr>
      <w:bookmarkStart w:id="100" w:name="_Toc249760070"/>
      <w:r w:rsidRPr="00690ED2">
        <w:rPr>
          <w:b/>
          <w:kern w:val="0"/>
          <w:szCs w:val="21"/>
        </w:rPr>
        <w:t>10.7.1</w:t>
      </w:r>
      <w:r w:rsidRPr="00690ED2">
        <w:rPr>
          <w:rFonts w:hint="eastAsia"/>
          <w:b/>
          <w:kern w:val="0"/>
          <w:szCs w:val="21"/>
        </w:rPr>
        <w:t>基金租用证券公司交易单元进行股票投资及佣金支付情况</w:t>
      </w:r>
      <w:bookmarkEnd w:id="100"/>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E62EC2">
        <w:tc>
          <w:tcPr>
            <w:tcW w:w="1560" w:type="dxa"/>
            <w:vMerge w:val="restart"/>
            <w:vAlign w:val="center"/>
          </w:tcPr>
          <w:p w:rsidR="002A54E8" w:rsidRPr="00C56F63" w:rsidRDefault="002A54E8" w:rsidP="00E62EC2">
            <w:pPr>
              <w:spacing w:line="276" w:lineRule="auto"/>
              <w:jc w:val="center"/>
              <w:rPr>
                <w:rFonts w:eastAsiaTheme="minorEastAsia"/>
                <w:szCs w:val="21"/>
              </w:rPr>
            </w:pPr>
            <w:bookmarkStart w:id="101" w:name="_Toc249760071"/>
            <w:r w:rsidRPr="00C56F63">
              <w:rPr>
                <w:rFonts w:eastAsiaTheme="minorEastAsia"/>
                <w:szCs w:val="21"/>
              </w:rPr>
              <w:lastRenderedPageBreak/>
              <w:t>券商名称</w:t>
            </w:r>
          </w:p>
        </w:tc>
        <w:tc>
          <w:tcPr>
            <w:tcW w:w="780" w:type="dxa"/>
            <w:vMerge w:val="restart"/>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E62EC2">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E62EC2">
        <w:tc>
          <w:tcPr>
            <w:tcW w:w="1560" w:type="dxa"/>
            <w:vMerge/>
            <w:vAlign w:val="center"/>
          </w:tcPr>
          <w:p w:rsidR="002A54E8" w:rsidRPr="00C56F63" w:rsidRDefault="002A54E8" w:rsidP="00E62EC2">
            <w:pPr>
              <w:widowControl/>
              <w:spacing w:line="276" w:lineRule="auto"/>
              <w:jc w:val="left"/>
              <w:rPr>
                <w:rFonts w:eastAsiaTheme="minorEastAsia"/>
                <w:szCs w:val="21"/>
              </w:rPr>
            </w:pPr>
          </w:p>
        </w:tc>
        <w:tc>
          <w:tcPr>
            <w:tcW w:w="780" w:type="dxa"/>
            <w:vMerge/>
            <w:vAlign w:val="center"/>
          </w:tcPr>
          <w:p w:rsidR="002A54E8" w:rsidRPr="00C56F63" w:rsidRDefault="002A54E8" w:rsidP="00E62EC2">
            <w:pPr>
              <w:widowControl/>
              <w:spacing w:line="276" w:lineRule="auto"/>
              <w:jc w:val="left"/>
              <w:rPr>
                <w:rFonts w:eastAsiaTheme="minorEastAsia"/>
                <w:szCs w:val="21"/>
              </w:rPr>
            </w:pPr>
          </w:p>
        </w:tc>
        <w:tc>
          <w:tcPr>
            <w:tcW w:w="1800" w:type="dxa"/>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E62EC2">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E62EC2">
            <w:pPr>
              <w:widowControl/>
              <w:spacing w:line="276" w:lineRule="auto"/>
              <w:jc w:val="left"/>
              <w:rPr>
                <w:rFonts w:eastAsiaTheme="minorEastAsia"/>
                <w:kern w:val="0"/>
                <w:szCs w:val="21"/>
              </w:rPr>
            </w:pPr>
          </w:p>
        </w:tc>
      </w:tr>
      <w:tr w:rsidR="005B2D52">
        <w:tc>
          <w:tcPr>
            <w:tcW w:w="1560" w:type="dxa"/>
            <w:vAlign w:val="center"/>
          </w:tcPr>
          <w:p w:rsidR="005B2D52" w:rsidRDefault="00DF7773">
            <w:pPr>
              <w:jc w:val="left"/>
            </w:pPr>
            <w:r>
              <w:rPr>
                <w:rFonts w:eastAsiaTheme="minorEastAsia"/>
                <w:szCs w:val="21"/>
              </w:rPr>
              <w:t>瑞银证券</w:t>
            </w:r>
          </w:p>
        </w:tc>
        <w:tc>
          <w:tcPr>
            <w:tcW w:w="780" w:type="dxa"/>
            <w:vAlign w:val="center"/>
          </w:tcPr>
          <w:p w:rsidR="005B2D52" w:rsidRDefault="00DF7773">
            <w:pPr>
              <w:jc w:val="right"/>
            </w:pPr>
            <w:r>
              <w:rPr>
                <w:rFonts w:eastAsiaTheme="minorEastAsia"/>
                <w:szCs w:val="21"/>
              </w:rPr>
              <w:t>2</w:t>
            </w:r>
          </w:p>
        </w:tc>
        <w:tc>
          <w:tcPr>
            <w:tcW w:w="1800" w:type="dxa"/>
            <w:vAlign w:val="center"/>
          </w:tcPr>
          <w:p w:rsidR="005B2D52" w:rsidRDefault="00DF7773">
            <w:pPr>
              <w:jc w:val="right"/>
            </w:pPr>
            <w:r>
              <w:rPr>
                <w:rFonts w:eastAsiaTheme="minorEastAsia"/>
                <w:szCs w:val="21"/>
              </w:rPr>
              <w:t>266,489,525.24</w:t>
            </w:r>
          </w:p>
        </w:tc>
        <w:tc>
          <w:tcPr>
            <w:tcW w:w="1080" w:type="dxa"/>
            <w:vAlign w:val="center"/>
          </w:tcPr>
          <w:p w:rsidR="005B2D52" w:rsidRDefault="00DF7773">
            <w:pPr>
              <w:jc w:val="right"/>
            </w:pPr>
            <w:r>
              <w:rPr>
                <w:rFonts w:eastAsiaTheme="minorEastAsia"/>
                <w:szCs w:val="21"/>
              </w:rPr>
              <w:t>81.89%</w:t>
            </w:r>
          </w:p>
        </w:tc>
        <w:tc>
          <w:tcPr>
            <w:tcW w:w="1620" w:type="dxa"/>
            <w:vAlign w:val="center"/>
          </w:tcPr>
          <w:p w:rsidR="005B2D52" w:rsidRDefault="00DF7773">
            <w:pPr>
              <w:jc w:val="right"/>
            </w:pPr>
            <w:r>
              <w:rPr>
                <w:rFonts w:eastAsiaTheme="minorEastAsia"/>
                <w:szCs w:val="21"/>
              </w:rPr>
              <w:t>434,377.99</w:t>
            </w:r>
          </w:p>
        </w:tc>
        <w:tc>
          <w:tcPr>
            <w:tcW w:w="1080" w:type="dxa"/>
            <w:vAlign w:val="center"/>
          </w:tcPr>
          <w:p w:rsidR="005B2D52" w:rsidRDefault="00DF7773">
            <w:pPr>
              <w:jc w:val="right"/>
            </w:pPr>
            <w:r>
              <w:rPr>
                <w:rFonts w:eastAsiaTheme="minorEastAsia"/>
                <w:szCs w:val="21"/>
              </w:rPr>
              <w:t>88.78%</w:t>
            </w:r>
          </w:p>
        </w:tc>
        <w:tc>
          <w:tcPr>
            <w:tcW w:w="1080" w:type="dxa"/>
            <w:vAlign w:val="center"/>
          </w:tcPr>
          <w:p w:rsidR="005B2D52" w:rsidRDefault="00DF7773">
            <w:pPr>
              <w:jc w:val="left"/>
            </w:pPr>
            <w:r>
              <w:rPr>
                <w:rFonts w:eastAsiaTheme="minorEastAsia"/>
                <w:szCs w:val="21"/>
              </w:rPr>
              <w:t>-</w:t>
            </w:r>
          </w:p>
        </w:tc>
      </w:tr>
      <w:tr w:rsidR="005B2D52">
        <w:tc>
          <w:tcPr>
            <w:tcW w:w="1560" w:type="dxa"/>
            <w:vAlign w:val="center"/>
          </w:tcPr>
          <w:p w:rsidR="005B2D52" w:rsidRDefault="00DF7773">
            <w:pPr>
              <w:jc w:val="left"/>
            </w:pPr>
            <w:r>
              <w:rPr>
                <w:rFonts w:eastAsiaTheme="minorEastAsia"/>
                <w:szCs w:val="21"/>
              </w:rPr>
              <w:t>中金公司</w:t>
            </w:r>
          </w:p>
        </w:tc>
        <w:tc>
          <w:tcPr>
            <w:tcW w:w="780" w:type="dxa"/>
            <w:vAlign w:val="center"/>
          </w:tcPr>
          <w:p w:rsidR="005B2D52" w:rsidRDefault="00DF7773">
            <w:pPr>
              <w:jc w:val="right"/>
            </w:pPr>
            <w:r>
              <w:rPr>
                <w:rFonts w:eastAsiaTheme="minorEastAsia"/>
                <w:szCs w:val="21"/>
              </w:rPr>
              <w:t>2</w:t>
            </w:r>
          </w:p>
        </w:tc>
        <w:tc>
          <w:tcPr>
            <w:tcW w:w="1800" w:type="dxa"/>
            <w:vAlign w:val="center"/>
          </w:tcPr>
          <w:p w:rsidR="005B2D52" w:rsidRDefault="00DF7773">
            <w:pPr>
              <w:jc w:val="right"/>
            </w:pPr>
            <w:r>
              <w:rPr>
                <w:rFonts w:eastAsiaTheme="minorEastAsia"/>
                <w:szCs w:val="21"/>
              </w:rPr>
              <w:t>36,261,595.55</w:t>
            </w:r>
          </w:p>
        </w:tc>
        <w:tc>
          <w:tcPr>
            <w:tcW w:w="1080" w:type="dxa"/>
            <w:vAlign w:val="center"/>
          </w:tcPr>
          <w:p w:rsidR="005B2D52" w:rsidRDefault="00DF7773">
            <w:pPr>
              <w:jc w:val="right"/>
            </w:pPr>
            <w:r>
              <w:rPr>
                <w:rFonts w:eastAsiaTheme="minorEastAsia"/>
                <w:szCs w:val="21"/>
              </w:rPr>
              <w:t>11.14%</w:t>
            </w:r>
          </w:p>
        </w:tc>
        <w:tc>
          <w:tcPr>
            <w:tcW w:w="1620" w:type="dxa"/>
            <w:vAlign w:val="center"/>
          </w:tcPr>
          <w:p w:rsidR="005B2D52" w:rsidRDefault="00DF7773">
            <w:pPr>
              <w:jc w:val="right"/>
            </w:pPr>
            <w:r>
              <w:rPr>
                <w:rFonts w:eastAsiaTheme="minorEastAsia"/>
                <w:szCs w:val="21"/>
              </w:rPr>
              <w:t>33,770.25</w:t>
            </w:r>
          </w:p>
        </w:tc>
        <w:tc>
          <w:tcPr>
            <w:tcW w:w="1080" w:type="dxa"/>
            <w:vAlign w:val="center"/>
          </w:tcPr>
          <w:p w:rsidR="005B2D52" w:rsidRDefault="00DF7773">
            <w:pPr>
              <w:jc w:val="right"/>
            </w:pPr>
            <w:r>
              <w:rPr>
                <w:rFonts w:eastAsiaTheme="minorEastAsia"/>
                <w:szCs w:val="21"/>
              </w:rPr>
              <w:t>6.90%</w:t>
            </w:r>
          </w:p>
        </w:tc>
        <w:tc>
          <w:tcPr>
            <w:tcW w:w="1080" w:type="dxa"/>
            <w:vAlign w:val="center"/>
          </w:tcPr>
          <w:p w:rsidR="005B2D52" w:rsidRDefault="00DF7773">
            <w:pPr>
              <w:jc w:val="left"/>
            </w:pPr>
            <w:r>
              <w:rPr>
                <w:rFonts w:eastAsiaTheme="minorEastAsia"/>
                <w:szCs w:val="21"/>
              </w:rPr>
              <w:t>-</w:t>
            </w:r>
          </w:p>
        </w:tc>
      </w:tr>
      <w:tr w:rsidR="005B2D52">
        <w:tc>
          <w:tcPr>
            <w:tcW w:w="1560" w:type="dxa"/>
            <w:vAlign w:val="center"/>
          </w:tcPr>
          <w:p w:rsidR="005B2D52" w:rsidRDefault="00DF7773">
            <w:pPr>
              <w:jc w:val="left"/>
            </w:pPr>
            <w:r>
              <w:rPr>
                <w:rFonts w:eastAsiaTheme="minorEastAsia"/>
                <w:szCs w:val="21"/>
              </w:rPr>
              <w:t>申万宏源</w:t>
            </w:r>
          </w:p>
        </w:tc>
        <w:tc>
          <w:tcPr>
            <w:tcW w:w="780" w:type="dxa"/>
            <w:vAlign w:val="center"/>
          </w:tcPr>
          <w:p w:rsidR="005B2D52" w:rsidRDefault="00DF7773">
            <w:pPr>
              <w:jc w:val="right"/>
            </w:pPr>
            <w:r>
              <w:rPr>
                <w:rFonts w:eastAsiaTheme="minorEastAsia"/>
                <w:szCs w:val="21"/>
              </w:rPr>
              <w:t>1</w:t>
            </w:r>
          </w:p>
        </w:tc>
        <w:tc>
          <w:tcPr>
            <w:tcW w:w="1800" w:type="dxa"/>
            <w:vAlign w:val="center"/>
          </w:tcPr>
          <w:p w:rsidR="005B2D52" w:rsidRDefault="00DF7773">
            <w:pPr>
              <w:jc w:val="right"/>
            </w:pPr>
            <w:r>
              <w:rPr>
                <w:rFonts w:eastAsiaTheme="minorEastAsia"/>
                <w:szCs w:val="21"/>
              </w:rPr>
              <w:t>22,687,154.08</w:t>
            </w:r>
          </w:p>
        </w:tc>
        <w:tc>
          <w:tcPr>
            <w:tcW w:w="1080" w:type="dxa"/>
            <w:vAlign w:val="center"/>
          </w:tcPr>
          <w:p w:rsidR="005B2D52" w:rsidRDefault="00DF7773">
            <w:pPr>
              <w:jc w:val="right"/>
            </w:pPr>
            <w:r>
              <w:rPr>
                <w:rFonts w:eastAsiaTheme="minorEastAsia"/>
                <w:szCs w:val="21"/>
              </w:rPr>
              <w:t>6.97%</w:t>
            </w:r>
          </w:p>
        </w:tc>
        <w:tc>
          <w:tcPr>
            <w:tcW w:w="1620" w:type="dxa"/>
            <w:vAlign w:val="center"/>
          </w:tcPr>
          <w:p w:rsidR="005B2D52" w:rsidRDefault="00DF7773">
            <w:pPr>
              <w:jc w:val="right"/>
            </w:pPr>
            <w:r>
              <w:rPr>
                <w:rFonts w:eastAsiaTheme="minorEastAsia"/>
                <w:szCs w:val="21"/>
              </w:rPr>
              <w:t>21,128.67</w:t>
            </w:r>
          </w:p>
        </w:tc>
        <w:tc>
          <w:tcPr>
            <w:tcW w:w="1080" w:type="dxa"/>
            <w:vAlign w:val="center"/>
          </w:tcPr>
          <w:p w:rsidR="005B2D52" w:rsidRDefault="00DF7773">
            <w:pPr>
              <w:jc w:val="right"/>
            </w:pPr>
            <w:r>
              <w:rPr>
                <w:rFonts w:eastAsiaTheme="minorEastAsia"/>
                <w:szCs w:val="21"/>
              </w:rPr>
              <w:t>4.32%</w:t>
            </w:r>
          </w:p>
        </w:tc>
        <w:tc>
          <w:tcPr>
            <w:tcW w:w="1080" w:type="dxa"/>
            <w:vAlign w:val="center"/>
          </w:tcPr>
          <w:p w:rsidR="005B2D52" w:rsidRDefault="00DF7773">
            <w:pPr>
              <w:jc w:val="left"/>
            </w:pPr>
            <w:r>
              <w:rPr>
                <w:rFonts w:eastAsiaTheme="minorEastAsia"/>
                <w:szCs w:val="21"/>
              </w:rPr>
              <w:t>-</w:t>
            </w:r>
          </w:p>
        </w:tc>
      </w:tr>
    </w:tbl>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5B2D52" w:rsidRDefault="00DF7773">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02" w:name="_Toc249707408"/>
      <w:bookmarkEnd w:id="101"/>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0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E62EC2">
        <w:tc>
          <w:tcPr>
            <w:tcW w:w="1560" w:type="dxa"/>
            <w:vMerge w:val="restart"/>
            <w:vAlign w:val="center"/>
          </w:tcPr>
          <w:p w:rsidR="002A54E8" w:rsidRPr="00C56F63" w:rsidRDefault="002A54E8" w:rsidP="00E62EC2">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权证交易</w:t>
            </w:r>
          </w:p>
        </w:tc>
      </w:tr>
      <w:tr w:rsidR="002A54E8" w:rsidRPr="00C56F63" w:rsidTr="00E62EC2">
        <w:tc>
          <w:tcPr>
            <w:tcW w:w="1560" w:type="dxa"/>
            <w:vMerge/>
            <w:vAlign w:val="center"/>
          </w:tcPr>
          <w:p w:rsidR="002A54E8" w:rsidRPr="00C56F63" w:rsidRDefault="002A54E8" w:rsidP="00E62EC2">
            <w:pPr>
              <w:widowControl/>
              <w:spacing w:line="276" w:lineRule="auto"/>
              <w:jc w:val="left"/>
              <w:rPr>
                <w:rFonts w:eastAsiaTheme="minorEastAsia"/>
                <w:kern w:val="0"/>
                <w:szCs w:val="21"/>
              </w:rPr>
            </w:pPr>
          </w:p>
        </w:tc>
        <w:tc>
          <w:tcPr>
            <w:tcW w:w="1320" w:type="dxa"/>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E62EC2">
            <w:pPr>
              <w:spacing w:line="276" w:lineRule="auto"/>
              <w:jc w:val="center"/>
              <w:rPr>
                <w:rFonts w:eastAsiaTheme="minorEastAsia"/>
                <w:szCs w:val="21"/>
              </w:rPr>
            </w:pPr>
            <w:r w:rsidRPr="00C56F63">
              <w:rPr>
                <w:rFonts w:eastAsiaTheme="minorEastAsia"/>
                <w:szCs w:val="21"/>
              </w:rPr>
              <w:t>占当期权证成交总额的比例</w:t>
            </w:r>
          </w:p>
        </w:tc>
      </w:tr>
      <w:tr w:rsidR="005B2D52">
        <w:tc>
          <w:tcPr>
            <w:tcW w:w="1560" w:type="dxa"/>
            <w:vAlign w:val="center"/>
          </w:tcPr>
          <w:p w:rsidR="005B2D52" w:rsidRDefault="00DF7773">
            <w:pPr>
              <w:jc w:val="left"/>
            </w:pPr>
            <w:r>
              <w:rPr>
                <w:rFonts w:eastAsiaTheme="minorEastAsia"/>
                <w:szCs w:val="21"/>
              </w:rPr>
              <w:t>瑞银证券</w:t>
            </w:r>
          </w:p>
        </w:tc>
        <w:tc>
          <w:tcPr>
            <w:tcW w:w="1320" w:type="dxa"/>
            <w:vAlign w:val="center"/>
          </w:tcPr>
          <w:p w:rsidR="005B2D52" w:rsidRDefault="00DF7773">
            <w:pPr>
              <w:jc w:val="right"/>
            </w:pPr>
            <w:r>
              <w:rPr>
                <w:rFonts w:eastAsiaTheme="minorEastAsia"/>
                <w:szCs w:val="21"/>
              </w:rPr>
              <w:t>-</w:t>
            </w:r>
          </w:p>
        </w:tc>
        <w:tc>
          <w:tcPr>
            <w:tcW w:w="1080" w:type="dxa"/>
            <w:vAlign w:val="center"/>
          </w:tcPr>
          <w:p w:rsidR="005B2D52" w:rsidRDefault="00DF7773">
            <w:pPr>
              <w:jc w:val="right"/>
            </w:pPr>
            <w:r>
              <w:rPr>
                <w:rFonts w:eastAsiaTheme="minorEastAsia"/>
                <w:szCs w:val="21"/>
              </w:rPr>
              <w:t>-</w:t>
            </w:r>
          </w:p>
        </w:tc>
        <w:tc>
          <w:tcPr>
            <w:tcW w:w="1143" w:type="dxa"/>
            <w:vAlign w:val="center"/>
          </w:tcPr>
          <w:p w:rsidR="005B2D52" w:rsidRDefault="00DF7773">
            <w:pPr>
              <w:jc w:val="right"/>
            </w:pPr>
            <w:r>
              <w:rPr>
                <w:rFonts w:eastAsiaTheme="minorEastAsia"/>
                <w:szCs w:val="21"/>
              </w:rPr>
              <w:t>-</w:t>
            </w:r>
          </w:p>
        </w:tc>
        <w:tc>
          <w:tcPr>
            <w:tcW w:w="1197" w:type="dxa"/>
            <w:vAlign w:val="center"/>
          </w:tcPr>
          <w:p w:rsidR="005B2D52" w:rsidRDefault="00DF7773">
            <w:pPr>
              <w:jc w:val="right"/>
            </w:pPr>
            <w:r>
              <w:rPr>
                <w:rFonts w:eastAsiaTheme="minorEastAsia"/>
                <w:szCs w:val="21"/>
              </w:rPr>
              <w:t>-</w:t>
            </w:r>
          </w:p>
        </w:tc>
        <w:tc>
          <w:tcPr>
            <w:tcW w:w="1497" w:type="dxa"/>
            <w:vAlign w:val="center"/>
          </w:tcPr>
          <w:p w:rsidR="005B2D52" w:rsidRDefault="00DF7773">
            <w:pPr>
              <w:jc w:val="right"/>
            </w:pPr>
            <w:r>
              <w:rPr>
                <w:rFonts w:eastAsiaTheme="minorEastAsia"/>
                <w:szCs w:val="21"/>
              </w:rPr>
              <w:t>-</w:t>
            </w:r>
          </w:p>
        </w:tc>
        <w:tc>
          <w:tcPr>
            <w:tcW w:w="1203" w:type="dxa"/>
            <w:vAlign w:val="center"/>
          </w:tcPr>
          <w:p w:rsidR="005B2D52" w:rsidRDefault="00DF7773">
            <w:pPr>
              <w:jc w:val="right"/>
            </w:pPr>
            <w:r>
              <w:rPr>
                <w:rFonts w:eastAsiaTheme="minorEastAsia"/>
                <w:szCs w:val="21"/>
              </w:rPr>
              <w:t>-</w:t>
            </w:r>
          </w:p>
        </w:tc>
      </w:tr>
      <w:tr w:rsidR="005B2D52">
        <w:tc>
          <w:tcPr>
            <w:tcW w:w="1560" w:type="dxa"/>
            <w:vAlign w:val="center"/>
          </w:tcPr>
          <w:p w:rsidR="005B2D52" w:rsidRDefault="00DF7773">
            <w:pPr>
              <w:jc w:val="left"/>
            </w:pPr>
            <w:r>
              <w:rPr>
                <w:rFonts w:eastAsiaTheme="minorEastAsia"/>
                <w:szCs w:val="21"/>
              </w:rPr>
              <w:t>中金公司</w:t>
            </w:r>
          </w:p>
        </w:tc>
        <w:tc>
          <w:tcPr>
            <w:tcW w:w="1320" w:type="dxa"/>
            <w:vAlign w:val="center"/>
          </w:tcPr>
          <w:p w:rsidR="005B2D52" w:rsidRDefault="00DF7773">
            <w:pPr>
              <w:jc w:val="right"/>
            </w:pPr>
            <w:r>
              <w:rPr>
                <w:rFonts w:eastAsiaTheme="minorEastAsia"/>
                <w:szCs w:val="21"/>
              </w:rPr>
              <w:t>-</w:t>
            </w:r>
          </w:p>
        </w:tc>
        <w:tc>
          <w:tcPr>
            <w:tcW w:w="1080" w:type="dxa"/>
            <w:vAlign w:val="center"/>
          </w:tcPr>
          <w:p w:rsidR="005B2D52" w:rsidRDefault="00DF7773">
            <w:pPr>
              <w:jc w:val="right"/>
            </w:pPr>
            <w:r>
              <w:rPr>
                <w:rFonts w:eastAsiaTheme="minorEastAsia"/>
                <w:szCs w:val="21"/>
              </w:rPr>
              <w:t>-</w:t>
            </w:r>
          </w:p>
        </w:tc>
        <w:tc>
          <w:tcPr>
            <w:tcW w:w="1143" w:type="dxa"/>
            <w:vAlign w:val="center"/>
          </w:tcPr>
          <w:p w:rsidR="005B2D52" w:rsidRDefault="00DF7773">
            <w:pPr>
              <w:jc w:val="right"/>
            </w:pPr>
            <w:r>
              <w:rPr>
                <w:rFonts w:eastAsiaTheme="minorEastAsia"/>
                <w:szCs w:val="21"/>
              </w:rPr>
              <w:t>-</w:t>
            </w:r>
          </w:p>
        </w:tc>
        <w:tc>
          <w:tcPr>
            <w:tcW w:w="1197" w:type="dxa"/>
            <w:vAlign w:val="center"/>
          </w:tcPr>
          <w:p w:rsidR="005B2D52" w:rsidRDefault="00DF7773">
            <w:pPr>
              <w:jc w:val="right"/>
            </w:pPr>
            <w:r>
              <w:rPr>
                <w:rFonts w:eastAsiaTheme="minorEastAsia"/>
                <w:szCs w:val="21"/>
              </w:rPr>
              <w:t>-</w:t>
            </w:r>
          </w:p>
        </w:tc>
        <w:tc>
          <w:tcPr>
            <w:tcW w:w="1497" w:type="dxa"/>
            <w:vAlign w:val="center"/>
          </w:tcPr>
          <w:p w:rsidR="005B2D52" w:rsidRDefault="00DF7773">
            <w:pPr>
              <w:jc w:val="right"/>
            </w:pPr>
            <w:r>
              <w:rPr>
                <w:rFonts w:eastAsiaTheme="minorEastAsia"/>
                <w:szCs w:val="21"/>
              </w:rPr>
              <w:t>-</w:t>
            </w:r>
          </w:p>
        </w:tc>
        <w:tc>
          <w:tcPr>
            <w:tcW w:w="1203" w:type="dxa"/>
            <w:vAlign w:val="center"/>
          </w:tcPr>
          <w:p w:rsidR="005B2D52" w:rsidRDefault="00DF7773">
            <w:pPr>
              <w:jc w:val="right"/>
            </w:pPr>
            <w:r>
              <w:rPr>
                <w:rFonts w:eastAsiaTheme="minorEastAsia"/>
                <w:szCs w:val="21"/>
              </w:rPr>
              <w:t>-</w:t>
            </w:r>
          </w:p>
        </w:tc>
      </w:tr>
      <w:tr w:rsidR="005B2D52">
        <w:tc>
          <w:tcPr>
            <w:tcW w:w="1560" w:type="dxa"/>
            <w:vAlign w:val="center"/>
          </w:tcPr>
          <w:p w:rsidR="005B2D52" w:rsidRDefault="00DF7773">
            <w:pPr>
              <w:jc w:val="left"/>
            </w:pPr>
            <w:r>
              <w:rPr>
                <w:rFonts w:eastAsiaTheme="minorEastAsia"/>
                <w:szCs w:val="21"/>
              </w:rPr>
              <w:t>申万宏源</w:t>
            </w:r>
          </w:p>
        </w:tc>
        <w:tc>
          <w:tcPr>
            <w:tcW w:w="1320" w:type="dxa"/>
            <w:vAlign w:val="center"/>
          </w:tcPr>
          <w:p w:rsidR="005B2D52" w:rsidRDefault="00DF7773">
            <w:pPr>
              <w:jc w:val="right"/>
            </w:pPr>
            <w:r>
              <w:rPr>
                <w:rFonts w:eastAsiaTheme="minorEastAsia"/>
                <w:szCs w:val="21"/>
              </w:rPr>
              <w:t>-</w:t>
            </w:r>
          </w:p>
        </w:tc>
        <w:tc>
          <w:tcPr>
            <w:tcW w:w="1080" w:type="dxa"/>
            <w:vAlign w:val="center"/>
          </w:tcPr>
          <w:p w:rsidR="005B2D52" w:rsidRDefault="00DF7773">
            <w:pPr>
              <w:jc w:val="right"/>
            </w:pPr>
            <w:r>
              <w:rPr>
                <w:rFonts w:eastAsiaTheme="minorEastAsia"/>
                <w:szCs w:val="21"/>
              </w:rPr>
              <w:t>-</w:t>
            </w:r>
          </w:p>
        </w:tc>
        <w:tc>
          <w:tcPr>
            <w:tcW w:w="1143" w:type="dxa"/>
            <w:vAlign w:val="center"/>
          </w:tcPr>
          <w:p w:rsidR="005B2D52" w:rsidRDefault="00DF7773">
            <w:pPr>
              <w:jc w:val="right"/>
            </w:pPr>
            <w:r>
              <w:rPr>
                <w:rFonts w:eastAsiaTheme="minorEastAsia"/>
                <w:szCs w:val="21"/>
              </w:rPr>
              <w:t>-</w:t>
            </w:r>
          </w:p>
        </w:tc>
        <w:tc>
          <w:tcPr>
            <w:tcW w:w="1197" w:type="dxa"/>
            <w:vAlign w:val="center"/>
          </w:tcPr>
          <w:p w:rsidR="005B2D52" w:rsidRDefault="00DF7773">
            <w:pPr>
              <w:jc w:val="right"/>
            </w:pPr>
            <w:r>
              <w:rPr>
                <w:rFonts w:eastAsiaTheme="minorEastAsia"/>
                <w:szCs w:val="21"/>
              </w:rPr>
              <w:t>-</w:t>
            </w:r>
          </w:p>
        </w:tc>
        <w:tc>
          <w:tcPr>
            <w:tcW w:w="1497" w:type="dxa"/>
            <w:vAlign w:val="center"/>
          </w:tcPr>
          <w:p w:rsidR="005B2D52" w:rsidRDefault="00DF7773">
            <w:pPr>
              <w:jc w:val="right"/>
            </w:pPr>
            <w:r>
              <w:rPr>
                <w:rFonts w:eastAsiaTheme="minorEastAsia"/>
                <w:szCs w:val="21"/>
              </w:rPr>
              <w:t>-</w:t>
            </w:r>
          </w:p>
        </w:tc>
        <w:tc>
          <w:tcPr>
            <w:tcW w:w="1203" w:type="dxa"/>
            <w:vAlign w:val="center"/>
          </w:tcPr>
          <w:p w:rsidR="005B2D52" w:rsidRDefault="00DF7773">
            <w:pPr>
              <w:jc w:val="right"/>
            </w:pPr>
            <w:r>
              <w:rPr>
                <w:rFonts w:eastAsiaTheme="minorEastAsia"/>
                <w:szCs w:val="21"/>
              </w:rPr>
              <w:t>-</w:t>
            </w:r>
          </w:p>
        </w:tc>
      </w:tr>
    </w:tbl>
    <w:p w:rsidR="002A54E8" w:rsidRPr="00C56F63" w:rsidRDefault="002A54E8" w:rsidP="002A54E8">
      <w:pPr>
        <w:autoSpaceDE w:val="0"/>
        <w:autoSpaceDN w:val="0"/>
        <w:adjustRightInd w:val="0"/>
        <w:spacing w:line="360" w:lineRule="auto"/>
        <w:jc w:val="left"/>
        <w:rPr>
          <w:rFonts w:eastAsiaTheme="minorEastAsia"/>
          <w:szCs w:val="21"/>
        </w:rPr>
      </w:pPr>
    </w:p>
    <w:bookmarkEnd w:id="85"/>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二〇一九年八月二十四日</w:t>
      </w:r>
    </w:p>
    <w:sectPr w:rsidR="006B65E1" w:rsidSect="006B65E1">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C2" w:rsidRDefault="00E62EC2" w:rsidP="006B65E1">
      <w:r>
        <w:separator/>
      </w:r>
    </w:p>
  </w:endnote>
  <w:endnote w:type="continuationSeparator" w:id="0">
    <w:p w:rsidR="00E62EC2" w:rsidRDefault="00E62EC2"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C2" w:rsidRDefault="00E62EC2">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E62EC2" w:rsidRDefault="00E62EC2">
    <w:pPr>
      <w:pStyle w:val="af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C2" w:rsidRDefault="00E62EC2">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C5FBC">
      <w:rPr>
        <w:noProof/>
        <w:kern w:val="0"/>
        <w:szCs w:val="21"/>
      </w:rPr>
      <w:t>18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C5FBC">
      <w:rPr>
        <w:noProof/>
        <w:kern w:val="0"/>
        <w:szCs w:val="21"/>
      </w:rPr>
      <w:t>28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C2" w:rsidRDefault="00E62EC2" w:rsidP="006B65E1">
      <w:r>
        <w:separator/>
      </w:r>
    </w:p>
  </w:footnote>
  <w:footnote w:type="continuationSeparator" w:id="0">
    <w:p w:rsidR="00E62EC2" w:rsidRDefault="00E62EC2" w:rsidP="006B65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C2" w:rsidRDefault="00E62EC2">
    <w:pPr>
      <w:pStyle w:val="af6"/>
      <w:pBdr>
        <w:bottom w:val="single" w:sz="6" w:space="0" w:color="auto"/>
      </w:pBdr>
      <w:jc w:val="right"/>
    </w:pPr>
    <w:r>
      <w:t>上投摩根香港精选港股通混合型证券投资基金</w:t>
    </w:r>
    <w:r>
      <w:t>2019</w:t>
    </w:r>
    <w:r>
      <w:t>年半年度报告</w:t>
    </w:r>
    <w:r>
      <w:rPr>
        <w:rFonts w:hint="eastAsia"/>
      </w:rPr>
      <w:t>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6B9D"/>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176"/>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65E3"/>
    <w:rsid w:val="00466F64"/>
    <w:rsid w:val="0046760F"/>
    <w:rsid w:val="00471586"/>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1FA"/>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D52"/>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0BA"/>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6B91"/>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0E3D"/>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4708"/>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5DF4"/>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51D2"/>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42AD"/>
    <w:rsid w:val="00C142C1"/>
    <w:rsid w:val="00C147AC"/>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5FFB"/>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5FBC"/>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DF7773"/>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2EC2"/>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5583D88"/>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 w:type="paragraph" w:styleId="aff4">
    <w:name w:val="Revision"/>
    <w:hidden/>
    <w:uiPriority w:val="99"/>
    <w:unhideWhenUsed/>
    <w:rsid w:val="00136B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ifm.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40C49-3CBB-4A2D-A454-26276A7F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28</Pages>
  <Words>3219</Words>
  <Characters>18353</Characters>
  <Application>Microsoft Office Word</Application>
  <DocSecurity>0</DocSecurity>
  <Lines>152</Lines>
  <Paragraphs>43</Paragraphs>
  <ScaleCrop>false</ScaleCrop>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Hongxia.Wei@FA</cp:lastModifiedBy>
  <cp:revision>512</cp:revision>
  <cp:lastPrinted>2007-07-19T00:46:00Z</cp:lastPrinted>
  <dcterms:created xsi:type="dcterms:W3CDTF">2013-08-19T07:44:00Z</dcterms:created>
  <dcterms:modified xsi:type="dcterms:W3CDTF">2019-08-23T07:34:00Z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