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0846D8">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上投摩根香港精选港股通混合型证券投资基金</w:t>
      </w:r>
    </w:p>
    <w:p w:rsidR="00D73748" w:rsidRDefault="000846D8">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2019年第2季度报告</w:t>
      </w:r>
    </w:p>
    <w:p w:rsidR="00D73748" w:rsidRDefault="000846D8">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2019年6月30日</w:t>
      </w: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jc w:val="center"/>
        <w:rPr>
          <w:rFonts w:asciiTheme="minorEastAsia" w:eastAsiaTheme="minorEastAsia" w:hAnsiTheme="minorEastAsia"/>
          <w:b/>
          <w:bCs/>
          <w:color w:val="000000" w:themeColor="text1"/>
          <w:sz w:val="24"/>
          <w:szCs w:val="24"/>
        </w:rPr>
      </w:pPr>
    </w:p>
    <w:p w:rsidR="00D73748" w:rsidRDefault="00D73748">
      <w:pPr>
        <w:spacing w:line="360" w:lineRule="auto"/>
        <w:rPr>
          <w:rFonts w:asciiTheme="minorEastAsia" w:eastAsiaTheme="minorEastAsia" w:hAnsiTheme="minorEastAsia"/>
          <w:b/>
          <w:bCs/>
          <w:color w:val="000000" w:themeColor="text1"/>
          <w:sz w:val="24"/>
          <w:szCs w:val="24"/>
        </w:rPr>
      </w:pPr>
    </w:p>
    <w:p w:rsidR="00D73748" w:rsidRDefault="000846D8">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73748" w:rsidRDefault="000846D8">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中国工商银行股份有限公司</w:t>
      </w:r>
    </w:p>
    <w:p w:rsidR="00D73748" w:rsidRDefault="000846D8">
      <w:pPr>
        <w:spacing w:line="360" w:lineRule="auto"/>
        <w:ind w:firstLineChars="900" w:firstLine="2168"/>
        <w:rPr>
          <w:rFonts w:asciiTheme="minorEastAsia" w:eastAsiaTheme="minorEastAsia" w:hAnsiTheme="minorEastAsia"/>
          <w:b/>
          <w:color w:val="000000" w:themeColor="text1"/>
          <w:sz w:val="24"/>
          <w:szCs w:val="24"/>
        </w:rPr>
        <w:sectPr w:rsidR="00D7374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二〇一九年七月十六日</w:t>
      </w:r>
    </w:p>
    <w:p w:rsidR="00D73748" w:rsidRDefault="000846D8">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基金托管人中国工商银行股份有限公司根据本基金合同规定，于2019年7月15日复核了本报告中的财务指标、净值表现和投资组合报告等内容，保证复核内容不存在虚假记载、误导性陈述或者重大遗漏。 </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本报告期自2019年4月1日起至6月30日止。</w:t>
      </w:r>
    </w:p>
    <w:p w:rsidR="00D73748" w:rsidRDefault="000846D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上投摩根香港精选港股通混合</w:t>
            </w:r>
          </w:p>
        </w:tc>
      </w:tr>
      <w:tr w:rsidR="00D73748">
        <w:tc>
          <w:tcPr>
            <w:tcW w:w="2835" w:type="dxa"/>
            <w:tcBorders>
              <w:top w:val="single" w:sz="4" w:space="0" w:color="auto"/>
              <w:left w:val="single" w:sz="4" w:space="0" w:color="auto"/>
              <w:bottom w:val="single" w:sz="4" w:space="0" w:color="auto"/>
              <w:right w:val="single" w:sz="4" w:space="0" w:color="auto"/>
            </w:tcBorders>
            <w:vAlign w:val="center"/>
          </w:tcPr>
          <w:p w:rsidR="00D73748" w:rsidRDefault="000846D8">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73748" w:rsidRDefault="000846D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005701</w:t>
            </w:r>
          </w:p>
        </w:tc>
      </w:tr>
      <w:tr w:rsidR="00D73748">
        <w:tc>
          <w:tcPr>
            <w:tcW w:w="2835" w:type="dxa"/>
            <w:tcBorders>
              <w:top w:val="single" w:sz="4" w:space="0" w:color="auto"/>
              <w:left w:val="single" w:sz="4" w:space="0" w:color="auto"/>
              <w:bottom w:val="single" w:sz="4" w:space="0" w:color="auto"/>
              <w:right w:val="single" w:sz="4" w:space="0" w:color="auto"/>
            </w:tcBorders>
            <w:vAlign w:val="center"/>
          </w:tcPr>
          <w:p w:rsidR="00D73748" w:rsidRDefault="000846D8">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73748" w:rsidRDefault="000846D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005701</w:t>
            </w:r>
          </w:p>
        </w:tc>
      </w:tr>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2018年6月8日</w:t>
            </w:r>
          </w:p>
        </w:tc>
      </w:tr>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119,237,089.66</w:t>
            </w:r>
            <w:r>
              <w:rPr>
                <w:rFonts w:asciiTheme="minorEastAsia" w:eastAsiaTheme="minorEastAsia" w:hAnsiTheme="minorEastAsia" w:hint="eastAsia"/>
                <w:color w:val="000000" w:themeColor="text1"/>
                <w:kern w:val="0"/>
              </w:rPr>
              <w:t>份</w:t>
            </w:r>
          </w:p>
        </w:tc>
      </w:tr>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本基金采用定量及定性研究方法，自下而上优选在港股通范围内的上市公司，通过严格风险控制，力争实现基金资产的长期增值。</w:t>
            </w:r>
          </w:p>
        </w:tc>
      </w:tr>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资产配置层面，本基金将综合分析和持续跟踪基本面、政策面、市场面等多方面因素，对宏观经济、国家政策、资金面和市场情绪等影响证券市场的重要因素进行深入分析，重点关注包括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个股选择层面，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tc>
      </w:tr>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业绩比较基准</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中证港股通综合指数收益率×70%+中债总指数收益率×30%</w:t>
            </w:r>
          </w:p>
        </w:tc>
      </w:tr>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高于债券型基金和货币市场基金，低于股票型基金，属于较高风险收益水平的基金产品。本基金将投资港股通标的股票，需承担汇率风险以及境外市场的风险。本基金风险收益特征会定期评估并在公司网站发布，请投资者关注。</w:t>
            </w:r>
          </w:p>
        </w:tc>
      </w:tr>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73748">
        <w:tc>
          <w:tcPr>
            <w:tcW w:w="2835"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中国工商银行股份有限公司</w:t>
            </w:r>
          </w:p>
        </w:tc>
      </w:tr>
    </w:tbl>
    <w:p w:rsidR="00D73748" w:rsidRDefault="000846D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0846D8" w:rsidTr="000846D8">
        <w:tc>
          <w:tcPr>
            <w:tcW w:w="3402" w:type="dxa"/>
            <w:vAlign w:val="center"/>
          </w:tcPr>
          <w:p w:rsidR="00D73748" w:rsidRDefault="000846D8">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73748" w:rsidRDefault="000846D8">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73748" w:rsidRDefault="000846D8">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2019年4月1日-2019年6月30日</w:t>
            </w:r>
            <w:r>
              <w:rPr>
                <w:rFonts w:asciiTheme="minorEastAsia" w:eastAsiaTheme="minorEastAsia" w:hAnsiTheme="minorEastAsia" w:cs="宋体" w:hint="eastAsia"/>
                <w:color w:val="000000" w:themeColor="text1"/>
              </w:rPr>
              <w:t>)</w:t>
            </w:r>
          </w:p>
        </w:tc>
      </w:tr>
      <w:tr w:rsidR="000846D8" w:rsidTr="000846D8">
        <w:tc>
          <w:tcPr>
            <w:tcW w:w="3402"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73748" w:rsidRDefault="000846D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132,097.31</w:t>
            </w:r>
          </w:p>
        </w:tc>
      </w:tr>
      <w:tr w:rsidR="000846D8" w:rsidTr="000846D8">
        <w:tc>
          <w:tcPr>
            <w:tcW w:w="3402"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73748" w:rsidRDefault="000846D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-394,228.38</w:t>
            </w:r>
          </w:p>
        </w:tc>
      </w:tr>
      <w:tr w:rsidR="000846D8" w:rsidTr="000846D8">
        <w:tc>
          <w:tcPr>
            <w:tcW w:w="3402"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73748" w:rsidRDefault="000846D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-0.0032</w:t>
            </w:r>
          </w:p>
        </w:tc>
      </w:tr>
      <w:tr w:rsidR="000846D8" w:rsidTr="000846D8">
        <w:tc>
          <w:tcPr>
            <w:tcW w:w="3402"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73748" w:rsidRDefault="000846D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117,440,108.29</w:t>
            </w:r>
          </w:p>
        </w:tc>
      </w:tr>
      <w:tr w:rsidR="000846D8" w:rsidTr="000846D8">
        <w:trPr>
          <w:trHeight w:val="158"/>
        </w:trPr>
        <w:tc>
          <w:tcPr>
            <w:tcW w:w="3402" w:type="dxa"/>
            <w:vAlign w:val="center"/>
          </w:tcPr>
          <w:p w:rsidR="00D73748" w:rsidRDefault="000846D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73748" w:rsidRDefault="000846D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0.9849</w:t>
            </w:r>
          </w:p>
        </w:tc>
      </w:tr>
    </w:tbl>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73748" w:rsidRDefault="000846D8">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73748">
        <w:tc>
          <w:tcPr>
            <w:tcW w:w="1395"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D73748">
        <w:tc>
          <w:tcPr>
            <w:tcW w:w="1395" w:type="dxa"/>
            <w:vAlign w:val="center"/>
          </w:tcPr>
          <w:p w:rsidR="00D73748" w:rsidRDefault="000846D8">
            <w:pPr>
              <w:jc w:val="left"/>
            </w:pPr>
            <w:r>
              <w:rPr>
                <w:rFonts w:asciiTheme="minorEastAsia" w:eastAsiaTheme="minorEastAsia" w:hAnsiTheme="minorEastAsia"/>
                <w:color w:val="000000" w:themeColor="text1"/>
                <w:kern w:val="0"/>
              </w:rPr>
              <w:t>过去三个月</w:t>
            </w:r>
          </w:p>
        </w:tc>
        <w:tc>
          <w:tcPr>
            <w:tcW w:w="1092" w:type="dxa"/>
            <w:vAlign w:val="center"/>
          </w:tcPr>
          <w:p w:rsidR="00D73748" w:rsidRDefault="000846D8">
            <w:pPr>
              <w:jc w:val="center"/>
            </w:pPr>
            <w:r>
              <w:rPr>
                <w:rFonts w:asciiTheme="minorEastAsia" w:eastAsiaTheme="minorEastAsia" w:hAnsiTheme="minorEastAsia"/>
                <w:color w:val="000000" w:themeColor="text1"/>
                <w:kern w:val="0"/>
              </w:rPr>
              <w:t>-0.87%</w:t>
            </w:r>
          </w:p>
        </w:tc>
        <w:tc>
          <w:tcPr>
            <w:tcW w:w="1161" w:type="dxa"/>
            <w:vAlign w:val="center"/>
          </w:tcPr>
          <w:p w:rsidR="00D73748" w:rsidRDefault="000846D8">
            <w:pPr>
              <w:jc w:val="center"/>
            </w:pPr>
            <w:r>
              <w:rPr>
                <w:rFonts w:asciiTheme="minorEastAsia" w:eastAsiaTheme="minorEastAsia" w:hAnsiTheme="minorEastAsia"/>
                <w:color w:val="000000" w:themeColor="text1"/>
                <w:kern w:val="0"/>
              </w:rPr>
              <w:t>1.2</w:t>
            </w:r>
            <w:r>
              <w:rPr>
                <w:rFonts w:asciiTheme="minorEastAsia" w:eastAsiaTheme="minorEastAsia" w:hAnsiTheme="minorEastAsia" w:hint="eastAsia"/>
                <w:color w:val="000000" w:themeColor="text1"/>
                <w:kern w:val="0"/>
              </w:rPr>
              <w:t>2</w:t>
            </w:r>
            <w:r>
              <w:rPr>
                <w:rFonts w:asciiTheme="minorEastAsia" w:eastAsiaTheme="minorEastAsia" w:hAnsiTheme="minorEastAsia"/>
                <w:color w:val="000000" w:themeColor="text1"/>
                <w:kern w:val="0"/>
              </w:rPr>
              <w:t>%</w:t>
            </w:r>
          </w:p>
        </w:tc>
        <w:tc>
          <w:tcPr>
            <w:tcW w:w="1181" w:type="dxa"/>
            <w:vAlign w:val="center"/>
          </w:tcPr>
          <w:p w:rsidR="00D73748" w:rsidRDefault="000846D8">
            <w:pPr>
              <w:jc w:val="center"/>
            </w:pPr>
            <w:r>
              <w:rPr>
                <w:rFonts w:asciiTheme="minorEastAsia" w:eastAsiaTheme="minorEastAsia" w:hAnsiTheme="minorEastAsia"/>
                <w:color w:val="000000" w:themeColor="text1"/>
                <w:kern w:val="0"/>
              </w:rPr>
              <w:t>-2.40%</w:t>
            </w:r>
          </w:p>
        </w:tc>
        <w:tc>
          <w:tcPr>
            <w:tcW w:w="1188" w:type="dxa"/>
            <w:vAlign w:val="center"/>
          </w:tcPr>
          <w:p w:rsidR="00D73748" w:rsidRDefault="000846D8">
            <w:pPr>
              <w:jc w:val="center"/>
            </w:pPr>
            <w:r>
              <w:rPr>
                <w:rFonts w:asciiTheme="minorEastAsia" w:eastAsiaTheme="minorEastAsia" w:hAnsiTheme="minorEastAsia"/>
                <w:color w:val="000000" w:themeColor="text1"/>
                <w:kern w:val="0"/>
              </w:rPr>
              <w:t>0.6</w:t>
            </w:r>
            <w:r>
              <w:rPr>
                <w:rFonts w:asciiTheme="minorEastAsia" w:eastAsiaTheme="minorEastAsia" w:hAnsiTheme="minorEastAsia" w:hint="eastAsia"/>
                <w:color w:val="000000" w:themeColor="text1"/>
                <w:kern w:val="0"/>
              </w:rPr>
              <w:t>7</w:t>
            </w:r>
            <w:r>
              <w:rPr>
                <w:rFonts w:asciiTheme="minorEastAsia" w:eastAsiaTheme="minorEastAsia" w:hAnsiTheme="minorEastAsia"/>
                <w:color w:val="000000" w:themeColor="text1"/>
                <w:kern w:val="0"/>
              </w:rPr>
              <w:t>%</w:t>
            </w:r>
          </w:p>
        </w:tc>
        <w:tc>
          <w:tcPr>
            <w:tcW w:w="1199" w:type="dxa"/>
            <w:vAlign w:val="center"/>
          </w:tcPr>
          <w:p w:rsidR="00D73748" w:rsidRDefault="000846D8">
            <w:pPr>
              <w:jc w:val="center"/>
            </w:pPr>
            <w:r>
              <w:rPr>
                <w:rFonts w:asciiTheme="minorEastAsia" w:eastAsiaTheme="minorEastAsia" w:hAnsiTheme="minorEastAsia"/>
                <w:color w:val="000000" w:themeColor="text1"/>
                <w:kern w:val="0"/>
              </w:rPr>
              <w:t>1.53%</w:t>
            </w:r>
          </w:p>
        </w:tc>
        <w:tc>
          <w:tcPr>
            <w:tcW w:w="1204" w:type="dxa"/>
            <w:vAlign w:val="center"/>
          </w:tcPr>
          <w:p w:rsidR="00D73748" w:rsidRDefault="000846D8">
            <w:pPr>
              <w:jc w:val="center"/>
            </w:pPr>
            <w:r>
              <w:rPr>
                <w:rFonts w:asciiTheme="minorEastAsia" w:eastAsiaTheme="minorEastAsia" w:hAnsiTheme="minorEastAsia"/>
                <w:color w:val="000000" w:themeColor="text1"/>
                <w:kern w:val="0"/>
              </w:rPr>
              <w:t>0.55%</w:t>
            </w:r>
          </w:p>
        </w:tc>
      </w:tr>
    </w:tbl>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73748" w:rsidRDefault="000846D8">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上投摩根香港精选港股通混合型证券投资基金</w:t>
      </w:r>
    </w:p>
    <w:p w:rsidR="00D73748" w:rsidRDefault="000846D8">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73748" w:rsidRDefault="000846D8">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2018年6月8日</w:t>
      </w:r>
      <w:r>
        <w:rPr>
          <w:rFonts w:asciiTheme="minorEastAsia" w:eastAsiaTheme="minorEastAsia" w:hAnsiTheme="minorEastAsia" w:hint="eastAsia"/>
          <w:color w:val="000000" w:themeColor="text1"/>
        </w:rPr>
        <w:t>至2019年6月30日)</w:t>
      </w:r>
    </w:p>
    <w:p w:rsidR="00D73748" w:rsidRDefault="000846D8">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14:anchorId="2F76F00A" wp14:editId="00E37D6A">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注：本基金合同生效日为2018年6月8日，图示的时间段为2018年6月8日至2019年6月30日。</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本基金建仓期自2018年6月8日至2018年12月7日，建仓期结束时资产配置比例符合本基金基金合同规定。</w:t>
      </w:r>
    </w:p>
    <w:p w:rsidR="00D73748" w:rsidRDefault="00D73748">
      <w:pPr>
        <w:tabs>
          <w:tab w:val="left" w:pos="1800"/>
        </w:tabs>
        <w:spacing w:line="360" w:lineRule="auto"/>
        <w:rPr>
          <w:rFonts w:asciiTheme="minorEastAsia" w:eastAsiaTheme="minorEastAsia" w:hAnsiTheme="minorEastAsia"/>
          <w:color w:val="000000" w:themeColor="text1"/>
          <w:sz w:val="24"/>
          <w:szCs w:val="24"/>
        </w:rPr>
      </w:pPr>
    </w:p>
    <w:p w:rsidR="00D73748" w:rsidRDefault="000846D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73748">
        <w:trPr>
          <w:cantSplit/>
          <w:trHeight w:val="292"/>
        </w:trPr>
        <w:tc>
          <w:tcPr>
            <w:tcW w:w="851" w:type="dxa"/>
            <w:vMerge w:val="restart"/>
            <w:vAlign w:val="center"/>
          </w:tcPr>
          <w:p w:rsidR="00D73748" w:rsidRDefault="000846D8">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73748" w:rsidRDefault="000846D8">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73748" w:rsidRDefault="000846D8">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73748">
        <w:trPr>
          <w:cantSplit/>
        </w:trPr>
        <w:tc>
          <w:tcPr>
            <w:tcW w:w="851" w:type="dxa"/>
            <w:vMerge/>
            <w:vAlign w:val="center"/>
          </w:tcPr>
          <w:p w:rsidR="00D73748" w:rsidRDefault="00D7374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73748" w:rsidRDefault="00D7374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73748" w:rsidRDefault="00D7374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73748" w:rsidRDefault="00D73748">
            <w:pPr>
              <w:widowControl/>
              <w:spacing w:line="360" w:lineRule="auto"/>
              <w:jc w:val="left"/>
              <w:rPr>
                <w:rFonts w:asciiTheme="minorEastAsia" w:eastAsiaTheme="minorEastAsia" w:hAnsiTheme="minorEastAsia"/>
                <w:color w:val="000000" w:themeColor="text1"/>
                <w:kern w:val="0"/>
              </w:rPr>
            </w:pPr>
          </w:p>
        </w:tc>
      </w:tr>
      <w:tr w:rsidR="00D73748">
        <w:tc>
          <w:tcPr>
            <w:tcW w:w="851" w:type="dxa"/>
            <w:vAlign w:val="center"/>
          </w:tcPr>
          <w:p w:rsidR="00D73748" w:rsidRDefault="000846D8">
            <w:pPr>
              <w:jc w:val="center"/>
            </w:pPr>
            <w:r>
              <w:rPr>
                <w:rFonts w:asciiTheme="minorEastAsia" w:eastAsiaTheme="minorEastAsia" w:hAnsiTheme="minorEastAsia"/>
                <w:color w:val="000000" w:themeColor="text1"/>
              </w:rPr>
              <w:t>张淑婉</w:t>
            </w:r>
          </w:p>
        </w:tc>
        <w:tc>
          <w:tcPr>
            <w:tcW w:w="850" w:type="dxa"/>
            <w:vAlign w:val="center"/>
          </w:tcPr>
          <w:p w:rsidR="00D73748" w:rsidRDefault="000846D8">
            <w:pPr>
              <w:jc w:val="center"/>
            </w:pPr>
            <w:r>
              <w:rPr>
                <w:rFonts w:asciiTheme="minorEastAsia" w:eastAsiaTheme="minorEastAsia" w:hAnsiTheme="minorEastAsia"/>
                <w:color w:val="000000" w:themeColor="text1"/>
              </w:rPr>
              <w:t>本基金基金经理</w:t>
            </w:r>
          </w:p>
        </w:tc>
        <w:tc>
          <w:tcPr>
            <w:tcW w:w="1560" w:type="dxa"/>
            <w:vAlign w:val="center"/>
          </w:tcPr>
          <w:p w:rsidR="00D73748" w:rsidRDefault="000846D8">
            <w:pPr>
              <w:jc w:val="center"/>
            </w:pPr>
            <w:r>
              <w:rPr>
                <w:rFonts w:asciiTheme="minorEastAsia" w:eastAsiaTheme="minorEastAsia" w:hAnsiTheme="minorEastAsia"/>
                <w:color w:val="000000" w:themeColor="text1"/>
              </w:rPr>
              <w:t>2018-06-08</w:t>
            </w:r>
          </w:p>
        </w:tc>
        <w:tc>
          <w:tcPr>
            <w:tcW w:w="1559" w:type="dxa"/>
            <w:vAlign w:val="center"/>
          </w:tcPr>
          <w:p w:rsidR="00D73748" w:rsidRDefault="000846D8">
            <w:pPr>
              <w:jc w:val="center"/>
            </w:pPr>
            <w:r>
              <w:rPr>
                <w:rFonts w:asciiTheme="minorEastAsia" w:eastAsiaTheme="minorEastAsia" w:hAnsiTheme="minorEastAsia"/>
                <w:color w:val="000000" w:themeColor="text1"/>
              </w:rPr>
              <w:t>-</w:t>
            </w:r>
          </w:p>
        </w:tc>
        <w:tc>
          <w:tcPr>
            <w:tcW w:w="1417" w:type="dxa"/>
            <w:vAlign w:val="center"/>
          </w:tcPr>
          <w:p w:rsidR="00D73748" w:rsidRDefault="000846D8">
            <w:pPr>
              <w:jc w:val="center"/>
            </w:pPr>
            <w:r>
              <w:rPr>
                <w:rFonts w:asciiTheme="minorEastAsia" w:eastAsiaTheme="minorEastAsia" w:hAnsiTheme="minorEastAsia"/>
                <w:color w:val="000000" w:themeColor="text1"/>
              </w:rPr>
              <w:t>29年</w:t>
            </w:r>
          </w:p>
        </w:tc>
        <w:tc>
          <w:tcPr>
            <w:tcW w:w="2694" w:type="dxa"/>
            <w:vAlign w:val="center"/>
          </w:tcPr>
          <w:p w:rsidR="00D73748" w:rsidRDefault="000846D8">
            <w:r>
              <w:rPr>
                <w:rFonts w:asciiTheme="minorEastAsia" w:eastAsiaTheme="minorEastAsia" w:hAnsiTheme="minorEastAsia"/>
                <w:color w:val="000000" w:themeColor="text1"/>
              </w:rPr>
              <w:t>张淑婉女士，台湾大学财务金融研究所MBA，自1987年9月至1989年2月，在东盟成衣股份有限公司担任研究部专员；自1989年3月至1991年8月，在富隆证券股份有限公司担任投行部专员；自1993年3月至1998年1月，在光华证券投资信托股份有限公司担任研究部副理；自1998年2月至2006年7月，在摩根富林明证券信托股份有限公司担任副总经理；自2007年11月至2009年8月，在德意志亚洲资产管理公司担任副总经理；自2009年9月至2014年6月，在嘉实国际资产管理公司担任副总经理；自2014年7月至2016年8月，在上投摩根资产管理（香港）有限公司担任投资总监；自2016年9月起加入上投摩根基金管理有限公司，自2016年12月起同时担任上投摩根亚太优势混合型证券投资基金基金经理及上投摩根全球新兴市场混合型证券投资基金基金经理，自2017年12月起同时担任上投摩根标普港股通低波红利指数型证券投资基金基金经理，自2018年6月起同时担任上投摩根香港精选港股通混合型证券投资基金基金经理。</w:t>
            </w:r>
          </w:p>
        </w:tc>
      </w:tr>
    </w:tbl>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2.张淑婉女士为本基金首任基金经理，其任职日期指本基金基金合同生效之日。</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3.证券从业的含义遵从行业协会《证券业从业人员资格管理办法》的相关规定。</w:t>
      </w: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香港精选港股通混合型证券投资基金基金合同》的规定。基金经理对个股和投资组合的比例遵循了投资决策委员会的授权限制，基金投资比例符合基金合同和法律法规的要求。</w:t>
      </w: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73748" w:rsidRDefault="000846D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73748" w:rsidRDefault="000846D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73748" w:rsidRDefault="00D73748">
      <w:pPr>
        <w:spacing w:line="360" w:lineRule="auto"/>
        <w:ind w:firstLineChars="200" w:firstLine="480"/>
        <w:rPr>
          <w:rFonts w:asciiTheme="minorEastAsia" w:eastAsiaTheme="minorEastAsia" w:hAnsiTheme="minorEastAsia"/>
          <w:color w:val="000000" w:themeColor="text1"/>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73748" w:rsidRDefault="000846D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港股市场在一季度大幅反弹，二季度则迎来小幅回挫。特朗普在5月初提出贸易关税加征的议题，加上对华为的打压，使得港股顺势拉回，尤其是科技股大幅拉回。6月则因G20开会在即，加上美联储的鸽派态度，市场开始有降息预期，美元走弱，新兴市场货币转强，使得股市在6月份有所回升。6月底G20开会，中美领导会谈及三季度美联储降息力度及时点，是市场第三季的关注所在。香港精选基金目前超配在港股的科技及大消费，如健康医疗及教育的板块，另外我们也超配在保险板块但低配银行，主要因为我们不看好香港本地的银行及香港本地的消费板块。香港精选基金在第2季表现与业绩基准相近，其中超配的科技板块在第二季有较大的负贡献，消费相关的板块则有正贡献。</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展望三季度，我们关注的首先是中美领导人的在G20的会谈，中美的贸易纷争能否取得共识而结束；二是美联储的降息时点、幅度以及对市场情绪的影响；目前各个国家的货币政策走向皆属鸽派，各国央行的降息态度非常积极，对整体的资金量有所帮助，美元转弱也让新兴市场的货币转强。但我们更关注的是实体经济是否能够有所回升？进入下半年，科技产品的需求能否提升？我们的态度是谨慎保守。港股选择方面，以有成长性的个股优先，但我们也会选择配置一些低估值的价值股，未来也会择机的选配部分A股的龙头股票，我们仍然关注消费相关的个股。 </w:t>
      </w:r>
    </w:p>
    <w:p w:rsidR="00D73748" w:rsidRDefault="000846D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本报告期上投摩根香港精选港股通混合份额净值增长率为:-0.87%，同期业绩比较基准收益率为:-2.40%。。</w:t>
      </w:r>
    </w:p>
    <w:p w:rsidR="00D73748" w:rsidRDefault="00D73748">
      <w:pPr>
        <w:spacing w:line="360" w:lineRule="auto"/>
        <w:ind w:firstLineChars="200" w:firstLine="480"/>
        <w:rPr>
          <w:rFonts w:asciiTheme="minorEastAsia" w:eastAsiaTheme="minorEastAsia" w:hAnsiTheme="minorEastAsia"/>
          <w:color w:val="000000" w:themeColor="text1"/>
          <w:sz w:val="24"/>
          <w:szCs w:val="24"/>
        </w:rPr>
      </w:pPr>
    </w:p>
    <w:p w:rsidR="00D73748" w:rsidRDefault="000846D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D73748" w:rsidRDefault="000846D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D73748">
        <w:trPr>
          <w:jc w:val="center"/>
        </w:trPr>
        <w:tc>
          <w:tcPr>
            <w:tcW w:w="720"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73748">
        <w:trPr>
          <w:jc w:val="center"/>
        </w:trPr>
        <w:tc>
          <w:tcPr>
            <w:tcW w:w="720"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73748" w:rsidRDefault="000846D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98,657,884.21</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83.46</w:t>
            </w:r>
          </w:p>
        </w:tc>
      </w:tr>
      <w:tr w:rsidR="00D73748">
        <w:trPr>
          <w:jc w:val="center"/>
        </w:trPr>
        <w:tc>
          <w:tcPr>
            <w:tcW w:w="720" w:type="dxa"/>
            <w:vAlign w:val="center"/>
          </w:tcPr>
          <w:p w:rsidR="00D73748" w:rsidRDefault="00D7374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73748" w:rsidRDefault="000846D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98,657,884.21</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83.46</w:t>
            </w:r>
          </w:p>
        </w:tc>
      </w:tr>
      <w:tr w:rsidR="00D73748">
        <w:trPr>
          <w:jc w:val="center"/>
        </w:trPr>
        <w:tc>
          <w:tcPr>
            <w:tcW w:w="720"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73748" w:rsidRDefault="000846D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73748">
        <w:trPr>
          <w:jc w:val="center"/>
        </w:trPr>
        <w:tc>
          <w:tcPr>
            <w:tcW w:w="720" w:type="dxa"/>
            <w:vAlign w:val="center"/>
          </w:tcPr>
          <w:p w:rsidR="00D73748" w:rsidRDefault="00D7374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73748" w:rsidRDefault="000846D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73748">
        <w:trPr>
          <w:jc w:val="center"/>
        </w:trPr>
        <w:tc>
          <w:tcPr>
            <w:tcW w:w="720" w:type="dxa"/>
            <w:vAlign w:val="center"/>
          </w:tcPr>
          <w:p w:rsidR="00D73748" w:rsidRDefault="00D7374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73748" w:rsidRDefault="000846D8">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73748">
        <w:trPr>
          <w:jc w:val="center"/>
        </w:trPr>
        <w:tc>
          <w:tcPr>
            <w:tcW w:w="720" w:type="dxa"/>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73748" w:rsidRDefault="000846D8">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73748">
        <w:trPr>
          <w:jc w:val="center"/>
        </w:trPr>
        <w:tc>
          <w:tcPr>
            <w:tcW w:w="720"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73748" w:rsidRDefault="000846D8">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73748">
        <w:trPr>
          <w:jc w:val="center"/>
        </w:trPr>
        <w:tc>
          <w:tcPr>
            <w:tcW w:w="720"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73748" w:rsidRDefault="000846D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73748">
        <w:trPr>
          <w:jc w:val="center"/>
        </w:trPr>
        <w:tc>
          <w:tcPr>
            <w:tcW w:w="720" w:type="dxa"/>
            <w:vAlign w:val="center"/>
          </w:tcPr>
          <w:p w:rsidR="00D73748" w:rsidRDefault="00D7374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73748" w:rsidRDefault="000846D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73748">
        <w:trPr>
          <w:jc w:val="center"/>
        </w:trPr>
        <w:tc>
          <w:tcPr>
            <w:tcW w:w="720"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73748" w:rsidRDefault="000846D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16,185,981.59</w:t>
            </w:r>
          </w:p>
        </w:tc>
        <w:tc>
          <w:tcPr>
            <w:tcW w:w="1843" w:type="dxa"/>
            <w:vAlign w:val="center"/>
          </w:tcPr>
          <w:p w:rsidR="00D73748" w:rsidRDefault="000846D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13.69</w:t>
            </w:r>
          </w:p>
        </w:tc>
      </w:tr>
      <w:tr w:rsidR="00D73748">
        <w:trPr>
          <w:jc w:val="center"/>
        </w:trPr>
        <w:tc>
          <w:tcPr>
            <w:tcW w:w="720"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73748" w:rsidRDefault="000846D8">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3,359,250.75</w:t>
            </w:r>
          </w:p>
        </w:tc>
        <w:tc>
          <w:tcPr>
            <w:tcW w:w="1843" w:type="dxa"/>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2.84</w:t>
            </w:r>
          </w:p>
        </w:tc>
      </w:tr>
      <w:tr w:rsidR="00D73748">
        <w:trPr>
          <w:jc w:val="center"/>
        </w:trPr>
        <w:tc>
          <w:tcPr>
            <w:tcW w:w="720" w:type="dxa"/>
            <w:vAlign w:val="center"/>
          </w:tcPr>
          <w:p w:rsidR="00D73748" w:rsidRDefault="000846D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73748" w:rsidRDefault="000846D8">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118,203,116.55</w:t>
            </w:r>
          </w:p>
        </w:tc>
        <w:tc>
          <w:tcPr>
            <w:tcW w:w="1843" w:type="dxa"/>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73748" w:rsidRDefault="00D7374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73748" w:rsidRDefault="000846D8">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7374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645,480.00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0.55</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73748" w:rsidRDefault="00D7374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73748" w:rsidRDefault="00D73748">
            <w:pPr>
              <w:jc w:val="right"/>
              <w:rPr>
                <w:rFonts w:asciiTheme="minorEastAsia" w:eastAsiaTheme="minorEastAsia" w:hAnsiTheme="minorEastAsia" w:cs="宋体"/>
                <w:color w:val="000000" w:themeColor="text1"/>
                <w:kern w:val="0"/>
              </w:rPr>
            </w:pP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3,611,840.00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3.08</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6,028,200.00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5.13</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7374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D7374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73748" w:rsidRDefault="000846D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10,285,520.00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73748" w:rsidRDefault="000846D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8.76</w:t>
            </w:r>
          </w:p>
        </w:tc>
      </w:tr>
    </w:tbl>
    <w:p w:rsidR="00D73748" w:rsidRDefault="000846D8">
      <w:pPr>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 5.2.2报告期末按行业分类的港股通投资股票投资组合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73748">
        <w:trPr>
          <w:jc w:val="center"/>
        </w:trPr>
        <w:tc>
          <w:tcPr>
            <w:tcW w:w="2397"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行业类别</w:t>
            </w:r>
          </w:p>
        </w:tc>
        <w:tc>
          <w:tcPr>
            <w:tcW w:w="3119"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公允价值（人民币）</w:t>
            </w:r>
          </w:p>
        </w:tc>
        <w:tc>
          <w:tcPr>
            <w:tcW w:w="3118"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A 基础材料</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1,254,834.99</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1.07</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B 消费者非必需品</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12,905,667.79</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10.99</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C 消费者常用品</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8,937,134.48</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7.61</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D 能源</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3,384,650.19</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2.88</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E 金融</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29,281,946.14</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24.93</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F 医疗保健</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5,540,855.19</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4.72</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G 工业</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2,638,501.47</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2.25</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H 信息技术</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14,201,319.01</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12.09</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I 电信服务</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J 公用事业</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2,807,874.72</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2.39</w:t>
            </w:r>
          </w:p>
        </w:tc>
      </w:tr>
      <w:tr w:rsidR="00D73748">
        <w:trPr>
          <w:jc w:val="center"/>
        </w:trPr>
        <w:tc>
          <w:tcPr>
            <w:tcW w:w="2397" w:type="dxa"/>
            <w:vAlign w:val="center"/>
          </w:tcPr>
          <w:p w:rsidR="00D73748" w:rsidRDefault="000846D8">
            <w:pPr>
              <w:jc w:val="center"/>
            </w:pPr>
            <w:r>
              <w:rPr>
                <w:rFonts w:asciiTheme="minorEastAsia" w:eastAsiaTheme="minorEastAsia" w:hAnsiTheme="minorEastAsia" w:cs="宋体"/>
                <w:color w:val="000000" w:themeColor="text1"/>
                <w:kern w:val="0"/>
              </w:rPr>
              <w:t>K 房地产</w:t>
            </w:r>
          </w:p>
        </w:tc>
        <w:tc>
          <w:tcPr>
            <w:tcW w:w="3119" w:type="dxa"/>
            <w:vAlign w:val="center"/>
          </w:tcPr>
          <w:p w:rsidR="00D73748" w:rsidRDefault="000846D8">
            <w:pPr>
              <w:jc w:val="center"/>
            </w:pPr>
            <w:r>
              <w:rPr>
                <w:rFonts w:asciiTheme="minorEastAsia" w:eastAsiaTheme="minorEastAsia" w:hAnsiTheme="minorEastAsia" w:cs="宋体"/>
                <w:color w:val="000000" w:themeColor="text1"/>
                <w:kern w:val="0"/>
              </w:rPr>
              <w:t>7,419,580.23</w:t>
            </w:r>
          </w:p>
        </w:tc>
        <w:tc>
          <w:tcPr>
            <w:tcW w:w="3118" w:type="dxa"/>
            <w:vAlign w:val="center"/>
          </w:tcPr>
          <w:p w:rsidR="00D73748" w:rsidRDefault="000846D8">
            <w:pPr>
              <w:jc w:val="center"/>
            </w:pPr>
            <w:r>
              <w:rPr>
                <w:rFonts w:asciiTheme="minorEastAsia" w:eastAsiaTheme="minorEastAsia" w:hAnsiTheme="minorEastAsia" w:cs="宋体"/>
                <w:color w:val="000000" w:themeColor="text1"/>
                <w:kern w:val="0"/>
              </w:rPr>
              <w:t>6.32</w:t>
            </w:r>
          </w:p>
        </w:tc>
      </w:tr>
      <w:tr w:rsidR="00D73748">
        <w:trPr>
          <w:jc w:val="center"/>
        </w:trPr>
        <w:tc>
          <w:tcPr>
            <w:tcW w:w="2397"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3119" w:type="dxa"/>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88,372,364.21</w:t>
            </w:r>
          </w:p>
        </w:tc>
        <w:tc>
          <w:tcPr>
            <w:tcW w:w="3118" w:type="dxa"/>
            <w:vAlign w:val="center"/>
          </w:tcPr>
          <w:p w:rsidR="00D73748" w:rsidRDefault="000846D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75.25</w:t>
            </w:r>
          </w:p>
        </w:tc>
      </w:tr>
    </w:tbl>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D73748">
        <w:tc>
          <w:tcPr>
            <w:tcW w:w="817"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73748" w:rsidRDefault="000846D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1</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H00700</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腾讯控股</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28,000.00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8,684,707.25</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7.40</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2</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H00939</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建设银行</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1,090,000.00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6,452,921.86</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5.49</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3</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601888</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中国国旅</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68,000.00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6,028,200.00</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5.13</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4</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H02318</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中国平安</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70,000.00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5,775,847.56</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4.92</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5</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H03968</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招商银行</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120,000.00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4,111,530.84</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3.50</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6</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H02382</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舜宇光学科技</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53,000.00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3,762,393.79</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3.20</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7</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H00780</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同程艺龙</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268,000.00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3,654,107.64</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3.11</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8</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H01299</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友邦保险</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48,000.00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3,557,345.04</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3.03</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9</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H00288</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万洲国际</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508,000.00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3,539,188.86</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3.01</w:t>
            </w:r>
          </w:p>
        </w:tc>
      </w:tr>
      <w:tr w:rsidR="00D73748">
        <w:tc>
          <w:tcPr>
            <w:tcW w:w="817" w:type="dxa"/>
            <w:vAlign w:val="center"/>
          </w:tcPr>
          <w:p w:rsidR="00D73748" w:rsidRDefault="000846D8">
            <w:pPr>
              <w:jc w:val="center"/>
            </w:pPr>
            <w:r>
              <w:rPr>
                <w:rFonts w:asciiTheme="minorEastAsia" w:eastAsiaTheme="minorEastAsia" w:hAnsiTheme="minorEastAsia" w:cs="宋体"/>
                <w:color w:val="000000" w:themeColor="text1"/>
                <w:kern w:val="0"/>
              </w:rPr>
              <w:t>10</w:t>
            </w:r>
          </w:p>
        </w:tc>
        <w:tc>
          <w:tcPr>
            <w:tcW w:w="1276" w:type="dxa"/>
            <w:vAlign w:val="center"/>
          </w:tcPr>
          <w:p w:rsidR="00D73748" w:rsidRDefault="000846D8">
            <w:pPr>
              <w:jc w:val="center"/>
            </w:pPr>
            <w:r>
              <w:rPr>
                <w:rFonts w:asciiTheme="minorEastAsia" w:eastAsiaTheme="minorEastAsia" w:hAnsiTheme="minorEastAsia" w:cs="宋体"/>
                <w:color w:val="000000" w:themeColor="text1"/>
                <w:kern w:val="0"/>
              </w:rPr>
              <w:t>H00175</w:t>
            </w:r>
          </w:p>
        </w:tc>
        <w:tc>
          <w:tcPr>
            <w:tcW w:w="1701" w:type="dxa"/>
            <w:vAlign w:val="center"/>
          </w:tcPr>
          <w:p w:rsidR="00D73748" w:rsidRDefault="000846D8">
            <w:pPr>
              <w:jc w:val="center"/>
            </w:pPr>
            <w:r>
              <w:rPr>
                <w:rFonts w:asciiTheme="minorEastAsia" w:eastAsiaTheme="minorEastAsia" w:hAnsiTheme="minorEastAsia" w:cs="宋体"/>
                <w:color w:val="000000" w:themeColor="text1"/>
                <w:kern w:val="0"/>
              </w:rPr>
              <w:t>吉利汽车</w:t>
            </w:r>
          </w:p>
        </w:tc>
        <w:tc>
          <w:tcPr>
            <w:tcW w:w="1276" w:type="dxa"/>
            <w:vAlign w:val="center"/>
          </w:tcPr>
          <w:p w:rsidR="00D73748" w:rsidRDefault="000846D8">
            <w:pPr>
              <w:jc w:val="right"/>
            </w:pPr>
            <w:r>
              <w:rPr>
                <w:rFonts w:asciiTheme="minorEastAsia" w:eastAsiaTheme="minorEastAsia" w:hAnsiTheme="minorEastAsia" w:cs="宋体"/>
                <w:color w:val="000000" w:themeColor="text1"/>
                <w:kern w:val="0"/>
              </w:rPr>
              <w:t>290,000.00</w:t>
            </w:r>
          </w:p>
        </w:tc>
        <w:tc>
          <w:tcPr>
            <w:tcW w:w="1842" w:type="dxa"/>
            <w:vAlign w:val="center"/>
          </w:tcPr>
          <w:p w:rsidR="00D73748" w:rsidRDefault="000846D8">
            <w:pPr>
              <w:jc w:val="right"/>
            </w:pPr>
            <w:r>
              <w:rPr>
                <w:rFonts w:asciiTheme="minorEastAsia" w:eastAsiaTheme="minorEastAsia" w:hAnsiTheme="minorEastAsia" w:cs="宋体"/>
                <w:color w:val="000000" w:themeColor="text1"/>
                <w:kern w:val="0"/>
              </w:rPr>
              <w:t>3,408,154.70</w:t>
            </w:r>
          </w:p>
        </w:tc>
        <w:tc>
          <w:tcPr>
            <w:tcW w:w="1616" w:type="dxa"/>
            <w:vAlign w:val="center"/>
          </w:tcPr>
          <w:p w:rsidR="00D73748" w:rsidRDefault="000846D8">
            <w:pPr>
              <w:jc w:val="right"/>
            </w:pPr>
            <w:r>
              <w:rPr>
                <w:rFonts w:asciiTheme="minorEastAsia" w:eastAsiaTheme="minorEastAsia" w:hAnsiTheme="minorEastAsia" w:cs="宋体"/>
                <w:color w:val="000000" w:themeColor="text1"/>
                <w:kern w:val="0"/>
              </w:rPr>
              <w:t>2.90</w:t>
            </w:r>
          </w:p>
        </w:tc>
      </w:tr>
    </w:tbl>
    <w:p w:rsidR="00D73748" w:rsidRDefault="00D7374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73748" w:rsidRDefault="00D7374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73748" w:rsidRDefault="000846D8">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73748" w:rsidRDefault="00D7374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73748" w:rsidRDefault="00D73748">
      <w:pPr>
        <w:adjustRightInd w:val="0"/>
        <w:snapToGrid w:val="0"/>
        <w:spacing w:line="360" w:lineRule="exact"/>
        <w:rPr>
          <w:rFonts w:asciiTheme="minorEastAsia" w:eastAsiaTheme="minorEastAsia" w:hAnsiTheme="minorEastAsia"/>
          <w:color w:val="000000" w:themeColor="text1"/>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73748" w:rsidRDefault="000846D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73748" w:rsidRDefault="000846D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D73748">
        <w:tc>
          <w:tcPr>
            <w:tcW w:w="1235"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73748" w:rsidRDefault="000846D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73748">
        <w:tc>
          <w:tcPr>
            <w:tcW w:w="1235" w:type="dxa"/>
            <w:vAlign w:val="center"/>
          </w:tcPr>
          <w:p w:rsidR="00D73748" w:rsidRDefault="000846D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73748" w:rsidRDefault="000846D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722,519.60</w:t>
            </w:r>
          </w:p>
        </w:tc>
      </w:tr>
      <w:tr w:rsidR="00D73748">
        <w:tc>
          <w:tcPr>
            <w:tcW w:w="1235" w:type="dxa"/>
            <w:vAlign w:val="center"/>
          </w:tcPr>
          <w:p w:rsidR="00D73748" w:rsidRDefault="000846D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73748" w:rsidRDefault="000846D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2,188,666.17</w:t>
            </w:r>
          </w:p>
        </w:tc>
      </w:tr>
      <w:tr w:rsidR="00D73748">
        <w:tc>
          <w:tcPr>
            <w:tcW w:w="1235" w:type="dxa"/>
            <w:vAlign w:val="center"/>
          </w:tcPr>
          <w:p w:rsidR="00D73748" w:rsidRDefault="000846D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73748" w:rsidRDefault="000846D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442,938.28</w:t>
            </w:r>
          </w:p>
        </w:tc>
      </w:tr>
      <w:tr w:rsidR="00D73748">
        <w:tc>
          <w:tcPr>
            <w:tcW w:w="1235" w:type="dxa"/>
            <w:vAlign w:val="center"/>
          </w:tcPr>
          <w:p w:rsidR="00D73748" w:rsidRDefault="000846D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73748" w:rsidRDefault="000846D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3,130.63</w:t>
            </w:r>
          </w:p>
        </w:tc>
      </w:tr>
      <w:tr w:rsidR="00D73748">
        <w:tc>
          <w:tcPr>
            <w:tcW w:w="1235" w:type="dxa"/>
            <w:vAlign w:val="center"/>
          </w:tcPr>
          <w:p w:rsidR="00D73748" w:rsidRDefault="000846D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73748" w:rsidRDefault="000846D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1,996.07</w:t>
            </w:r>
          </w:p>
        </w:tc>
      </w:tr>
      <w:tr w:rsidR="00D73748">
        <w:tc>
          <w:tcPr>
            <w:tcW w:w="1235" w:type="dxa"/>
            <w:vAlign w:val="center"/>
          </w:tcPr>
          <w:p w:rsidR="00D73748" w:rsidRDefault="000846D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73748" w:rsidRDefault="000846D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73748">
        <w:tc>
          <w:tcPr>
            <w:tcW w:w="1235" w:type="dxa"/>
            <w:vAlign w:val="center"/>
          </w:tcPr>
          <w:p w:rsidR="00D73748" w:rsidRDefault="000846D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73748" w:rsidRDefault="000846D8">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73748">
        <w:tc>
          <w:tcPr>
            <w:tcW w:w="1235" w:type="dxa"/>
            <w:vAlign w:val="center"/>
          </w:tcPr>
          <w:p w:rsidR="00D73748" w:rsidRDefault="000846D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73748" w:rsidRDefault="000846D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73748">
        <w:tc>
          <w:tcPr>
            <w:tcW w:w="1235" w:type="dxa"/>
            <w:vAlign w:val="center"/>
          </w:tcPr>
          <w:p w:rsidR="00D73748" w:rsidRDefault="000846D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73748" w:rsidRDefault="000846D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3,359,250.75</w:t>
            </w:r>
          </w:p>
        </w:tc>
      </w:tr>
    </w:tbl>
    <w:p w:rsidR="00D73748" w:rsidRDefault="00D73748">
      <w:pPr>
        <w:autoSpaceDE w:val="0"/>
        <w:autoSpaceDN w:val="0"/>
        <w:adjustRightInd w:val="0"/>
        <w:spacing w:line="360" w:lineRule="auto"/>
        <w:rPr>
          <w:rFonts w:asciiTheme="minorEastAsia" w:eastAsiaTheme="minorEastAsia" w:hAnsiTheme="minorEastAsia"/>
          <w:color w:val="000000" w:themeColor="text1"/>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73748" w:rsidRDefault="00D73748">
      <w:pPr>
        <w:autoSpaceDE w:val="0"/>
        <w:autoSpaceDN w:val="0"/>
        <w:adjustRightInd w:val="0"/>
        <w:spacing w:line="360" w:lineRule="auto"/>
        <w:rPr>
          <w:rFonts w:asciiTheme="minorEastAsia" w:eastAsiaTheme="minorEastAsia" w:hAnsiTheme="minorEastAsia"/>
          <w:color w:val="000000" w:themeColor="text1"/>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73748" w:rsidRDefault="00D73748">
      <w:pPr>
        <w:autoSpaceDE w:val="0"/>
        <w:autoSpaceDN w:val="0"/>
        <w:adjustRightInd w:val="0"/>
        <w:spacing w:line="360" w:lineRule="auto"/>
        <w:rPr>
          <w:rFonts w:asciiTheme="minorEastAsia" w:eastAsiaTheme="minorEastAsia" w:hAnsiTheme="minorEastAsia"/>
          <w:color w:val="000000" w:themeColor="text1"/>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D73748" w:rsidRDefault="000846D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73748" w:rsidRDefault="000846D8">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73748">
        <w:tc>
          <w:tcPr>
            <w:tcW w:w="4609"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142,404,132.47</w:t>
            </w:r>
          </w:p>
        </w:tc>
      </w:tr>
      <w:tr w:rsidR="00D73748">
        <w:tc>
          <w:tcPr>
            <w:tcW w:w="4609"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2,267,122.85</w:t>
            </w:r>
          </w:p>
        </w:tc>
      </w:tr>
      <w:tr w:rsidR="00D73748">
        <w:tc>
          <w:tcPr>
            <w:tcW w:w="4609"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25,434,165.66</w:t>
            </w:r>
          </w:p>
        </w:tc>
      </w:tr>
      <w:tr w:rsidR="00D73748">
        <w:tc>
          <w:tcPr>
            <w:tcW w:w="4609"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73748">
        <w:tc>
          <w:tcPr>
            <w:tcW w:w="4609"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73748" w:rsidRDefault="000846D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119,237,089.66</w:t>
            </w:r>
          </w:p>
        </w:tc>
      </w:tr>
    </w:tbl>
    <w:p w:rsidR="00D73748" w:rsidRDefault="000846D8">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73748" w:rsidRDefault="000846D8">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73748" w:rsidRDefault="000846D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73748" w:rsidRDefault="00D7374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73748" w:rsidRDefault="000846D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1.中国证监会准予上投摩根香港精选港股通混合型证券投资基金募集注册的文件</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2.《上投摩根香港精选港股通混合型证券投资基金基金合同》</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3.《上投摩根香港精选港股通混合型证券投资基金托管协议》</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4.法律意见书</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5.基金管理人业务资格批件、营业执照</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6.基金托管人业务资格批件、营业执照</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7.《上投摩根基金管理有限公司开放式基金业务规则》</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8.中国证监会要求的其他文件</w:t>
      </w:r>
    </w:p>
    <w:p w:rsidR="00D73748" w:rsidRDefault="00D73748">
      <w:pPr>
        <w:spacing w:line="360" w:lineRule="auto"/>
        <w:ind w:firstLineChars="200" w:firstLine="480"/>
        <w:rPr>
          <w:rFonts w:asciiTheme="minorEastAsia" w:eastAsiaTheme="minorEastAsia" w:hAnsiTheme="minorEastAsia"/>
          <w:color w:val="000000" w:themeColor="text1"/>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D73748" w:rsidRDefault="00D73748">
      <w:pPr>
        <w:spacing w:line="360" w:lineRule="auto"/>
        <w:ind w:firstLineChars="200" w:firstLine="480"/>
        <w:rPr>
          <w:rFonts w:asciiTheme="minorEastAsia" w:eastAsiaTheme="minorEastAsia" w:hAnsiTheme="minorEastAsia"/>
          <w:color w:val="000000" w:themeColor="text1"/>
          <w:sz w:val="24"/>
          <w:szCs w:val="24"/>
        </w:rPr>
      </w:pPr>
    </w:p>
    <w:p w:rsidR="00D73748" w:rsidRDefault="000846D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73748" w:rsidRDefault="000846D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73748" w:rsidRDefault="00D73748">
      <w:pPr>
        <w:spacing w:line="360" w:lineRule="auto"/>
        <w:ind w:left="840"/>
        <w:jc w:val="right"/>
        <w:rPr>
          <w:rFonts w:asciiTheme="minorEastAsia" w:eastAsiaTheme="minorEastAsia" w:hAnsiTheme="minorEastAsia"/>
          <w:color w:val="000000" w:themeColor="text1"/>
          <w:sz w:val="24"/>
          <w:szCs w:val="24"/>
        </w:rPr>
      </w:pPr>
    </w:p>
    <w:p w:rsidR="00D73748" w:rsidRDefault="00D73748">
      <w:pPr>
        <w:spacing w:line="360" w:lineRule="auto"/>
        <w:ind w:left="840"/>
        <w:jc w:val="right"/>
        <w:rPr>
          <w:rFonts w:asciiTheme="minorEastAsia" w:eastAsiaTheme="minorEastAsia" w:hAnsiTheme="minorEastAsia"/>
          <w:color w:val="000000" w:themeColor="text1"/>
          <w:sz w:val="24"/>
          <w:szCs w:val="24"/>
        </w:rPr>
      </w:pPr>
    </w:p>
    <w:p w:rsidR="00D73748" w:rsidRDefault="00D73748">
      <w:pPr>
        <w:spacing w:line="360" w:lineRule="auto"/>
        <w:ind w:left="840"/>
        <w:jc w:val="right"/>
        <w:rPr>
          <w:rFonts w:asciiTheme="minorEastAsia" w:eastAsiaTheme="minorEastAsia" w:hAnsiTheme="minorEastAsia"/>
          <w:color w:val="000000" w:themeColor="text1"/>
          <w:sz w:val="24"/>
          <w:szCs w:val="24"/>
        </w:rPr>
      </w:pPr>
    </w:p>
    <w:p w:rsidR="00D73748" w:rsidRDefault="00D73748">
      <w:pPr>
        <w:spacing w:line="360" w:lineRule="auto"/>
        <w:ind w:left="840"/>
        <w:jc w:val="right"/>
        <w:rPr>
          <w:rFonts w:asciiTheme="minorEastAsia" w:eastAsiaTheme="minorEastAsia" w:hAnsiTheme="minorEastAsia"/>
          <w:color w:val="000000" w:themeColor="text1"/>
          <w:sz w:val="24"/>
          <w:szCs w:val="24"/>
        </w:rPr>
      </w:pPr>
    </w:p>
    <w:p w:rsidR="00D73748" w:rsidRDefault="00D73748">
      <w:pPr>
        <w:spacing w:line="360" w:lineRule="auto"/>
        <w:ind w:left="840"/>
        <w:jc w:val="right"/>
        <w:rPr>
          <w:rFonts w:asciiTheme="minorEastAsia" w:eastAsiaTheme="minorEastAsia" w:hAnsiTheme="minorEastAsia"/>
          <w:color w:val="000000" w:themeColor="text1"/>
          <w:sz w:val="24"/>
          <w:szCs w:val="24"/>
        </w:rPr>
      </w:pPr>
    </w:p>
    <w:p w:rsidR="00D73748" w:rsidRDefault="00D73748">
      <w:pPr>
        <w:spacing w:line="360" w:lineRule="auto"/>
        <w:ind w:left="840"/>
        <w:jc w:val="right"/>
        <w:rPr>
          <w:rFonts w:asciiTheme="minorEastAsia" w:eastAsiaTheme="minorEastAsia" w:hAnsiTheme="minorEastAsia"/>
          <w:color w:val="000000" w:themeColor="text1"/>
          <w:sz w:val="24"/>
          <w:szCs w:val="24"/>
        </w:rPr>
      </w:pPr>
    </w:p>
    <w:p w:rsidR="00D73748" w:rsidRDefault="00D73748">
      <w:pPr>
        <w:spacing w:line="360" w:lineRule="auto"/>
        <w:ind w:left="840"/>
        <w:jc w:val="right"/>
        <w:rPr>
          <w:rFonts w:asciiTheme="minorEastAsia" w:eastAsiaTheme="minorEastAsia" w:hAnsiTheme="minorEastAsia"/>
          <w:color w:val="000000" w:themeColor="text1"/>
          <w:sz w:val="24"/>
          <w:szCs w:val="24"/>
        </w:rPr>
      </w:pPr>
    </w:p>
    <w:p w:rsidR="00D73748" w:rsidRDefault="00D73748">
      <w:pPr>
        <w:spacing w:line="360" w:lineRule="auto"/>
        <w:ind w:left="840"/>
        <w:jc w:val="right"/>
        <w:rPr>
          <w:rFonts w:asciiTheme="minorEastAsia" w:eastAsiaTheme="minorEastAsia" w:hAnsiTheme="minorEastAsia"/>
          <w:color w:val="000000" w:themeColor="text1"/>
          <w:sz w:val="24"/>
          <w:szCs w:val="24"/>
        </w:rPr>
      </w:pPr>
    </w:p>
    <w:p w:rsidR="00D73748" w:rsidRDefault="000846D8">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73748" w:rsidRDefault="000846D8">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二〇一九年七月十六日</w:t>
      </w:r>
    </w:p>
    <w:p w:rsidR="00D73748" w:rsidRDefault="00D73748">
      <w:pPr>
        <w:spacing w:line="360" w:lineRule="auto"/>
        <w:ind w:left="840"/>
        <w:jc w:val="right"/>
        <w:rPr>
          <w:rFonts w:asciiTheme="minorEastAsia" w:eastAsiaTheme="minorEastAsia" w:hAnsiTheme="minorEastAsia"/>
          <w:b/>
          <w:bCs/>
          <w:color w:val="000000" w:themeColor="text1"/>
          <w:sz w:val="24"/>
          <w:szCs w:val="24"/>
        </w:rPr>
      </w:pPr>
    </w:p>
    <w:p w:rsidR="00D73748" w:rsidRDefault="00D73748">
      <w:pPr>
        <w:rPr>
          <w:rFonts w:asciiTheme="minorEastAsia" w:eastAsiaTheme="minorEastAsia" w:hAnsiTheme="minorEastAsia"/>
          <w:color w:val="000000" w:themeColor="text1"/>
          <w:sz w:val="24"/>
          <w:szCs w:val="24"/>
        </w:rPr>
      </w:pPr>
    </w:p>
    <w:sectPr w:rsidR="00D7374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1F2" w:rsidRDefault="000846D8">
      <w:r>
        <w:separator/>
      </w:r>
    </w:p>
  </w:endnote>
  <w:endnote w:type="continuationSeparator" w:id="0">
    <w:p w:rsidR="00CB31F2" w:rsidRDefault="0008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748" w:rsidRDefault="000846D8">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6E4010" w:rsidRPr="006E4010">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748" w:rsidRDefault="000846D8">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6E4010">
      <w:rPr>
        <w:rStyle w:val="af3"/>
        <w:noProof/>
      </w:rPr>
      <w:t>2</w:t>
    </w:r>
    <w:r>
      <w:rPr>
        <w:rStyle w:val="af3"/>
      </w:rPr>
      <w:fldChar w:fldCharType="end"/>
    </w:r>
  </w:p>
  <w:p w:rsidR="00D73748" w:rsidRDefault="00D737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1F2" w:rsidRDefault="000846D8">
      <w:r>
        <w:separator/>
      </w:r>
    </w:p>
  </w:footnote>
  <w:footnote w:type="continuationSeparator" w:id="0">
    <w:p w:rsidR="00CB31F2" w:rsidRDefault="00084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748" w:rsidRDefault="000846D8">
    <w:pPr>
      <w:pStyle w:val="ad"/>
      <w:pBdr>
        <w:bottom w:val="single" w:sz="6" w:space="0" w:color="auto"/>
      </w:pBdr>
      <w:jc w:val="right"/>
    </w:pPr>
    <w:r>
      <w:rPr>
        <w:rFonts w:hint="eastAsia"/>
      </w:rPr>
      <w:t>上投摩根香港精选港股通混合型证券投资基金</w:t>
    </w:r>
    <w:r>
      <w:rPr>
        <w:rFonts w:hint="eastAsia"/>
      </w:rPr>
      <w:t>2019</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846D8"/>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E4010"/>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B31F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73748"/>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EF626-4A31-4596-ACD2-A778F8D4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53777-8018-4418-864C-3367263A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 Zhou</cp:lastModifiedBy>
  <cp:revision>266</cp:revision>
  <dcterms:created xsi:type="dcterms:W3CDTF">2012-10-16T06:07:00Z</dcterms:created>
  <dcterms:modified xsi:type="dcterms:W3CDTF">2019-07-15T09:35:00Z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