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0FF9" w:rsidRDefault="0070267B">
      <w:pPr>
        <w:spacing w:line="360" w:lineRule="auto"/>
        <w:rPr>
          <w:rFonts w:ascii="宋体" w:hAnsi="宋体"/>
          <w:sz w:val="48"/>
        </w:rPr>
      </w:pPr>
      <w:r>
        <w:rPr>
          <w:rFonts w:ascii="宋体" w:hAnsi="宋体" w:hint="eastAsia"/>
          <w:sz w:val="48"/>
        </w:rPr>
        <w:t xml:space="preserve">　 </w:t>
      </w:r>
    </w:p>
    <w:p w:rsidR="008C0FF9" w:rsidRDefault="0070267B">
      <w:pPr>
        <w:spacing w:line="360" w:lineRule="auto"/>
        <w:rPr>
          <w:rFonts w:ascii="宋体" w:hAnsi="宋体"/>
          <w:sz w:val="48"/>
        </w:rPr>
      </w:pPr>
      <w:r>
        <w:rPr>
          <w:rFonts w:ascii="宋体" w:hAnsi="宋体" w:hint="eastAsia"/>
          <w:sz w:val="48"/>
        </w:rPr>
        <w:t xml:space="preserve">　 </w:t>
      </w:r>
    </w:p>
    <w:p w:rsidR="008C0FF9" w:rsidRDefault="0070267B">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摩根富</w:t>
      </w:r>
      <w:proofErr w:type="gramStart"/>
      <w:r>
        <w:rPr>
          <w:rFonts w:ascii="宋体" w:hAnsi="宋体" w:hint="eastAsia"/>
          <w:b/>
          <w:bCs/>
          <w:sz w:val="48"/>
          <w:szCs w:val="48"/>
        </w:rPr>
        <w:t>时发达</w:t>
      </w:r>
      <w:proofErr w:type="gramEnd"/>
      <w:r>
        <w:rPr>
          <w:rFonts w:ascii="宋体" w:hAnsi="宋体" w:hint="eastAsia"/>
          <w:b/>
          <w:bCs/>
          <w:sz w:val="48"/>
          <w:szCs w:val="48"/>
        </w:rPr>
        <w:t>市场REITs指数型证券投资基金(QDII)</w:t>
      </w:r>
      <w:r>
        <w:rPr>
          <w:rFonts w:ascii="宋体" w:hAnsi="宋体" w:hint="eastAsia"/>
          <w:b/>
          <w:bCs/>
          <w:sz w:val="48"/>
          <w:szCs w:val="48"/>
        </w:rPr>
        <w:br/>
        <w:t>2025年第1季度报告</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pPr>
      <w:r>
        <w:rPr>
          <w:rFonts w:ascii="宋体" w:hAnsi="宋体" w:hint="eastAsia"/>
          <w:b/>
          <w:bCs/>
          <w:sz w:val="28"/>
          <w:szCs w:val="30"/>
        </w:rPr>
        <w:t>2025年3月31日</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ind w:firstLineChars="800" w:firstLine="2249"/>
        <w:jc w:val="left"/>
      </w:pPr>
      <w:r>
        <w:rPr>
          <w:rFonts w:ascii="宋体" w:hAnsi="宋体" w:hint="eastAsia"/>
          <w:b/>
          <w:bCs/>
          <w:sz w:val="28"/>
          <w:szCs w:val="30"/>
        </w:rPr>
        <w:t>基金管理人：摩根基金管理（中国）有限公司</w:t>
      </w:r>
    </w:p>
    <w:p w:rsidR="008C0FF9" w:rsidRDefault="0070267B">
      <w:pPr>
        <w:spacing w:line="360" w:lineRule="auto"/>
        <w:ind w:firstLineChars="800" w:firstLine="2249"/>
        <w:jc w:val="left"/>
      </w:pPr>
      <w:r>
        <w:rPr>
          <w:rFonts w:ascii="宋体" w:hAnsi="宋体" w:hint="eastAsia"/>
          <w:b/>
          <w:bCs/>
          <w:sz w:val="28"/>
          <w:szCs w:val="30"/>
        </w:rPr>
        <w:t>基金托管人：招商银行股份有限公司</w:t>
      </w:r>
    </w:p>
    <w:p w:rsidR="008C0FF9" w:rsidRDefault="0070267B">
      <w:pPr>
        <w:spacing w:line="360" w:lineRule="auto"/>
        <w:ind w:firstLineChars="800" w:firstLine="2249"/>
        <w:jc w:val="left"/>
      </w:pPr>
      <w:r>
        <w:rPr>
          <w:rFonts w:ascii="宋体" w:hAnsi="宋体" w:hint="eastAsia"/>
          <w:b/>
          <w:bCs/>
          <w:sz w:val="28"/>
          <w:szCs w:val="30"/>
        </w:rPr>
        <w:t>报告送出日期：2025年4月22日</w:t>
      </w:r>
    </w:p>
    <w:p w:rsidR="008C0FF9" w:rsidRDefault="0070267B">
      <w:pPr>
        <w:pStyle w:val="XBRLTitle1"/>
        <w:spacing w:before="156" w:line="360" w:lineRule="auto"/>
        <w:ind w:left="425"/>
      </w:pPr>
      <w:r>
        <w:rPr>
          <w:rFonts w:cs="宋体" w:hint="eastAsia"/>
          <w:color w:val="404040"/>
          <w:kern w:val="0"/>
        </w:rPr>
        <w:br w:type="page"/>
      </w:r>
      <w:bookmarkStart w:id="7" w:name="_Toc512519480"/>
      <w:bookmarkStart w:id="8" w:name="_Toc481075046"/>
      <w:bookmarkStart w:id="9" w:name="_Toc438646451"/>
      <w:bookmarkStart w:id="10" w:name="_Toc490050000"/>
      <w:bookmarkStart w:id="11" w:name="_Toc514178667"/>
      <w:bookmarkStart w:id="12" w:name="m101"/>
      <w:proofErr w:type="spellStart"/>
      <w:r>
        <w:rPr>
          <w:rFonts w:hint="eastAsia"/>
        </w:rPr>
        <w:lastRenderedPageBreak/>
        <w:t>重要提示</w:t>
      </w:r>
      <w:bookmarkEnd w:id="7"/>
      <w:bookmarkEnd w:id="8"/>
      <w:bookmarkEnd w:id="9"/>
      <w:bookmarkEnd w:id="10"/>
      <w:bookmarkEnd w:id="11"/>
      <w:proofErr w:type="spellEnd"/>
      <w:r>
        <w:rPr>
          <w:rFonts w:hint="eastAsia"/>
        </w:rPr>
        <w:t xml:space="preserve"> </w:t>
      </w:r>
    </w:p>
    <w:p w:rsidR="008C0FF9" w:rsidRDefault="0070267B">
      <w:pPr>
        <w:spacing w:line="360" w:lineRule="auto"/>
        <w:ind w:firstLineChars="200" w:firstLine="420"/>
        <w:divId w:val="546722301"/>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8C0FF9" w:rsidRDefault="0070267B">
      <w:pPr>
        <w:pStyle w:val="XBRLTitle1"/>
        <w:spacing w:before="156" w:line="360" w:lineRule="auto"/>
        <w:ind w:left="425"/>
      </w:pPr>
      <w:bookmarkStart w:id="20" w:name="_Toc512519481"/>
      <w:bookmarkStart w:id="21" w:name="_Toc481075047"/>
      <w:bookmarkStart w:id="22" w:name="_Toc438646452"/>
      <w:bookmarkStart w:id="23" w:name="_Toc490050001"/>
      <w:bookmarkStart w:id="24" w:name="_Toc514178668"/>
      <w:proofErr w:type="spellStart"/>
      <w:r>
        <w:rPr>
          <w:rFonts w:hint="eastAsia"/>
        </w:rPr>
        <w:t>基金产品概况</w:t>
      </w:r>
      <w:bookmarkEnd w:id="20"/>
      <w:bookmarkEnd w:id="21"/>
      <w:bookmarkEnd w:id="22"/>
      <w:bookmarkEnd w:id="23"/>
      <w:bookmarkEnd w:id="24"/>
      <w:proofErr w:type="spellEnd"/>
      <w:r>
        <w:rPr>
          <w:rFonts w:hint="eastAsia"/>
        </w:rPr>
        <w:t xml:space="preserve"> </w:t>
      </w:r>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8C0FF9">
        <w:trPr>
          <w:divId w:val="1015303402"/>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bookmarkStart w:id="25" w:name="OLE_LINK1"/>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szCs w:val="24"/>
                <w:lang w:eastAsia="zh-Hans"/>
              </w:rPr>
              <w:t>摩根富时发达市场REITs指数(QDII)</w:t>
            </w:r>
            <w:r>
              <w:rPr>
                <w:rFonts w:ascii="宋体" w:hAnsi="宋体" w:hint="eastAsia"/>
                <w:lang w:eastAsia="zh-Hans"/>
              </w:rPr>
              <w:t xml:space="preserve"> </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005613</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契约型开放式</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2018年4月26日</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201,313,519.12</w:t>
            </w:r>
            <w:r>
              <w:rPr>
                <w:rFonts w:asciiTheme="minorHAnsi" w:eastAsiaTheme="minorEastAsia" w:hAnsiTheme="minorHAnsi" w:hint="eastAsia"/>
              </w:rPr>
              <w:t>份</w:t>
            </w:r>
            <w:r>
              <w:rPr>
                <w:rFonts w:ascii="宋体" w:hAnsi="宋体" w:hint="eastAsia"/>
                <w:lang w:eastAsia="zh-Hans"/>
              </w:rPr>
              <w:t xml:space="preserve"> </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本基金采用被动式指数化投资策略，通过严格的投资程序约束和数量化风险管理手段，力求实现对标的指数的有效跟踪，追求跟踪误差的最小化。本基金力争控制基金净值增长率与业绩比较基准之间的日均跟踪偏离度小于0.5%，基金净值增长率与业绩比较基准之间的年跟踪误差不超过5%。</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本基金采用抽样复制策略进行被动式指数化投资，在富时发达市场REITs指数（英文为FTSE EPRA/NAREIT Developed REITs Index）成分股、备选成分股中，优选流动性好、基本面稳健的REITs构建REITs组合，以较小的交易成本实现较低的跟踪误差。但因特殊情况导致基金无法有效跟踪标的指数时，本基金将运用其他方法建立实际组合，力求实现跟踪误差最小化。</w:t>
            </w:r>
            <w:r>
              <w:rPr>
                <w:rFonts w:ascii="宋体" w:hAnsi="宋体" w:hint="eastAsia"/>
                <w:lang w:eastAsia="zh-Hans"/>
              </w:rPr>
              <w:br/>
            </w:r>
            <w:r>
              <w:rPr>
                <w:rFonts w:ascii="宋体" w:hAnsi="宋体" w:hint="eastAsia"/>
                <w:lang w:eastAsia="zh-Hans"/>
              </w:rPr>
              <w:lastRenderedPageBreak/>
              <w:t>1、资产配置策略</w:t>
            </w:r>
            <w:r>
              <w:rPr>
                <w:rFonts w:ascii="宋体" w:hAnsi="宋体" w:hint="eastAsia"/>
                <w:lang w:eastAsia="zh-Hans"/>
              </w:rPr>
              <w:br/>
              <w:t>为了实现追踪误差最小化，本基金将不低于90%的非现金基金资产投资于富时发达市场REITs指数的成份股、备选成份股及以富时发达市场REITs指数为投资标的的指数基金（包括ETF）。</w:t>
            </w:r>
            <w:r>
              <w:rPr>
                <w:rFonts w:ascii="宋体" w:hAnsi="宋体" w:hint="eastAsia"/>
                <w:lang w:eastAsia="zh-Hans"/>
              </w:rPr>
              <w:br/>
              <w:t>2、股票投资策略</w:t>
            </w:r>
            <w:r>
              <w:rPr>
                <w:rFonts w:ascii="宋体" w:hAnsi="宋体" w:hint="eastAsia"/>
                <w:lang w:eastAsia="zh-Hans"/>
              </w:rPr>
              <w:br/>
              <w:t>（1）投资组合构建</w:t>
            </w:r>
            <w:r>
              <w:rPr>
                <w:rFonts w:ascii="宋体" w:hAnsi="宋体" w:hint="eastAsia"/>
                <w:lang w:eastAsia="zh-Hans"/>
              </w:rPr>
              <w:br/>
              <w:t>本基金采用抽样复制指数的方法，综合考虑个股的市值规模、流动性、国别/行业代表性、价格波动率以及与标的指数相关度等因素，优选个股构建投资组合，力求在最小化跟踪误差的同时，将交易成本控制在合理的范围内。</w:t>
            </w:r>
            <w:r>
              <w:rPr>
                <w:rFonts w:ascii="宋体" w:hAnsi="宋体" w:hint="eastAsia"/>
                <w:lang w:eastAsia="zh-Hans"/>
              </w:rPr>
              <w:br/>
              <w:t>在初始建仓期或者为申购资金建仓时，本基金将依据市场流动性逐步买入投资组合并采取相应的交易策略降低建仓成本。在投资运作过程中，本基金将对标的指数成分的权重变化进行跟踪，并根据其权重的变动进行动态调整。</w:t>
            </w:r>
            <w:r>
              <w:rPr>
                <w:rFonts w:ascii="宋体" w:hAnsi="宋体" w:hint="eastAsia"/>
                <w:lang w:eastAsia="zh-Hans"/>
              </w:rPr>
              <w:br/>
              <w:t>（2）投资组合调整</w:t>
            </w:r>
            <w:r>
              <w:rPr>
                <w:rFonts w:ascii="宋体" w:hAnsi="宋体" w:hint="eastAsia"/>
                <w:lang w:eastAsia="zh-Hans"/>
              </w:rPr>
              <w:br/>
              <w:t>1）定期调整</w:t>
            </w:r>
            <w:r>
              <w:rPr>
                <w:rFonts w:ascii="宋体" w:hAnsi="宋体" w:hint="eastAsia"/>
                <w:lang w:eastAsia="zh-Hans"/>
              </w:rPr>
              <w:br/>
              <w:t>本基金所构建的投资组合将定期根据所跟踪标的指数成份股的调整进行相应的跟踪调整。富时发达市场REITs指数的成分股每半年调整一次，指数调整方案公布后，本基金将及时对现有组合的构成进行相应的调整，若成分股的集中调整短期内会对跟踪误差产生较大影响，将采用逐步调整的方式。</w:t>
            </w:r>
            <w:r>
              <w:rPr>
                <w:rFonts w:ascii="宋体" w:hAnsi="宋体" w:hint="eastAsia"/>
                <w:lang w:eastAsia="zh-Hans"/>
              </w:rPr>
              <w:br/>
              <w:t>2）不定期调整</w:t>
            </w:r>
            <w:r>
              <w:rPr>
                <w:rFonts w:ascii="宋体" w:hAnsi="宋体" w:hint="eastAsia"/>
                <w:lang w:eastAsia="zh-Hans"/>
              </w:rPr>
              <w:br/>
              <w:t>①根据指数编制规则，当标的指数成份股因增发、送配等股权变动而需进行成份股权重调整时，本基金将根据标的指数权重比例的变化，进行相应调整。</w:t>
            </w:r>
            <w:r>
              <w:rPr>
                <w:rFonts w:ascii="宋体" w:hAnsi="宋体" w:hint="eastAsia"/>
                <w:lang w:eastAsia="zh-Hans"/>
              </w:rPr>
              <w:br/>
              <w:t>②当标的指数成份股因停牌、流动性不足等因素导致基金无法按照指数权重进行配置，基金管理人将综合考虑跟踪误差和投资者利益，选择相关REITs进行适当的替代。</w:t>
            </w:r>
            <w:r>
              <w:rPr>
                <w:rFonts w:ascii="宋体" w:hAnsi="宋体" w:hint="eastAsia"/>
                <w:lang w:eastAsia="zh-Hans"/>
              </w:rPr>
              <w:br/>
              <w:t>③本基金将根据申购和赎回情况对REITs组合进行调整，保证</w:t>
            </w:r>
            <w:r>
              <w:rPr>
                <w:rFonts w:ascii="宋体" w:hAnsi="宋体" w:hint="eastAsia"/>
                <w:lang w:eastAsia="zh-Hans"/>
              </w:rPr>
              <w:lastRenderedPageBreak/>
              <w:t>基金正常运行，从而有效跟踪标的指数。</w:t>
            </w:r>
            <w:r>
              <w:rPr>
                <w:rFonts w:ascii="宋体" w:hAnsi="宋体" w:hint="eastAsia"/>
                <w:lang w:eastAsia="zh-Hans"/>
              </w:rPr>
              <w:br/>
              <w:t>3） REITs替代</w:t>
            </w:r>
            <w:r>
              <w:rPr>
                <w:rFonts w:ascii="宋体" w:hAnsi="宋体" w:hint="eastAsia"/>
                <w:lang w:eastAsia="zh-Hans"/>
              </w:rPr>
              <w:br/>
              <w:t>通常情况下，本基金根据标的指数成份股在指数中的权重确定成份REITs的买卖数量。但在如标的指数成份股流动性严重不足或停牌、标的指数成份股因法律法规的相关规定而为本基金限制投资的标的等特殊情况下，本基金可以选择其他REITs或REITs组合对标的指数中的成份股进行替换。</w:t>
            </w:r>
            <w:r>
              <w:rPr>
                <w:rFonts w:ascii="宋体" w:hAnsi="宋体" w:hint="eastAsia"/>
                <w:lang w:eastAsia="zh-Hans"/>
              </w:rPr>
              <w:br/>
              <w:t>在选择替代REITs时，为尽可能的降低跟踪误差，本基金将采用定性与定量相结合的方法，在对替代REITs与被替代REITs的基本面、股价技术面等指标进行相关性分析的基础上，优先从标的指数成份股及备选成份股中选择基本面良好，流动性充裕的REITs进行替代投资。</w:t>
            </w:r>
            <w:r>
              <w:rPr>
                <w:rFonts w:ascii="宋体" w:hAnsi="宋体" w:hint="eastAsia"/>
                <w:lang w:eastAsia="zh-Hans"/>
              </w:rPr>
              <w:br/>
              <w:t>3、债券投资策略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4、金融衍生品投资策略</w:t>
            </w:r>
            <w:r>
              <w:rPr>
                <w:rFonts w:ascii="宋体" w:hAnsi="宋体" w:hint="eastAsia"/>
                <w:lang w:eastAsia="zh-Hans"/>
              </w:rPr>
              <w:br/>
              <w:t>本基金可本着谨慎和风险可控的原则，适度投资于经中国证监会允许的各类金融衍生产品，如期货、期权、权证、远期合约、掉期以及其他衍生工具。本基金投资于金融衍生品主要是为了避险和增值、管理汇率风险，以便更好地实现基金的投资目标。本基金投资于各类金融衍生品的全部敞口不高于基金资产净值的100%。</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95%×富时发达市场REITs指数收益率+ 5%×税后银行活期存款收益率</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本基金为指数型基金，主要采用抽样复制法跟踪标的指数，具有与标的指数以及标的指数所代表的投资市场相似的风险收益</w:t>
            </w:r>
            <w:r>
              <w:rPr>
                <w:rFonts w:ascii="宋体" w:hAnsi="宋体" w:hint="eastAsia"/>
                <w:lang w:eastAsia="zh-Hans"/>
              </w:rPr>
              <w:lastRenderedPageBreak/>
              <w:t>特征，风险和收益高于货币市场基金、债券型基金和混合型基金。</w:t>
            </w:r>
          </w:p>
        </w:tc>
      </w:tr>
      <w:tr w:rsidR="008C0FF9">
        <w:trPr>
          <w:divId w:val="1015303402"/>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lastRenderedPageBreak/>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摩根基金管理（中国）有限公司</w:t>
            </w:r>
          </w:p>
        </w:tc>
      </w:tr>
      <w:tr w:rsidR="008C0FF9">
        <w:trPr>
          <w:divId w:val="1015303402"/>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招商银行股份有限公司</w:t>
            </w:r>
          </w:p>
        </w:tc>
      </w:tr>
      <w:tr w:rsidR="008C0FF9">
        <w:trPr>
          <w:divId w:val="1015303402"/>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C0FF9" w:rsidRDefault="0070267B">
            <w:pPr>
              <w:spacing w:line="360" w:lineRule="auto"/>
              <w:jc w:val="left"/>
            </w:pPr>
            <w:bookmarkStart w:id="26"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center"/>
            </w:pPr>
            <w:r>
              <w:rPr>
                <w:rFonts w:ascii="宋体" w:hAnsi="宋体" w:hint="eastAsia"/>
                <w:lang w:eastAsia="zh-Hans"/>
              </w:rPr>
              <w:t>摩根富时发达市场REITs指数(QDII)人民币A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center"/>
            </w:pPr>
            <w:r>
              <w:rPr>
                <w:rFonts w:ascii="宋体" w:hAnsi="宋体" w:hint="eastAsia"/>
                <w:lang w:eastAsia="zh-Hans"/>
              </w:rPr>
              <w:t>摩根富时发达市场REITs指数(QDII)人民币C</w:t>
            </w:r>
            <w:r>
              <w:rPr>
                <w:rFonts w:ascii="宋体" w:hAnsi="宋体" w:hint="eastAsia"/>
                <w:kern w:val="0"/>
                <w:sz w:val="20"/>
                <w:lang w:eastAsia="zh-Hans"/>
              </w:rPr>
              <w:t xml:space="preserve"> </w:t>
            </w:r>
          </w:p>
        </w:tc>
      </w:tr>
      <w:tr w:rsidR="008C0FF9">
        <w:trPr>
          <w:divId w:val="1015303402"/>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C0FF9" w:rsidRDefault="0070267B">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center"/>
            </w:pPr>
            <w:r>
              <w:rPr>
                <w:rFonts w:ascii="宋体" w:hAnsi="宋体" w:hint="eastAsia"/>
                <w:lang w:eastAsia="zh-Hans"/>
              </w:rPr>
              <w:t>005613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center"/>
            </w:pPr>
            <w:r>
              <w:rPr>
                <w:rFonts w:ascii="宋体" w:hAnsi="宋体" w:hint="eastAsia"/>
                <w:lang w:eastAsia="zh-Hans"/>
              </w:rPr>
              <w:t>019495</w:t>
            </w:r>
            <w:r>
              <w:rPr>
                <w:rFonts w:ascii="宋体" w:hAnsi="宋体" w:hint="eastAsia"/>
                <w:kern w:val="0"/>
                <w:sz w:val="20"/>
                <w:lang w:eastAsia="zh-Hans"/>
              </w:rPr>
              <w:t xml:space="preserve"> </w:t>
            </w:r>
          </w:p>
        </w:tc>
      </w:tr>
      <w:bookmarkEnd w:id="26"/>
      <w:tr w:rsidR="008C0FF9">
        <w:trPr>
          <w:divId w:val="1015303402"/>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C0FF9" w:rsidRDefault="0070267B">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lang w:eastAsia="zh-Hans"/>
              </w:rPr>
              <w:t>186,021,359.28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lang w:eastAsia="zh-Hans"/>
              </w:rPr>
              <w:t>15,292,159.84</w:t>
            </w:r>
            <w:r>
              <w:rPr>
                <w:rFonts w:hint="eastAsia"/>
              </w:rPr>
              <w:t>份</w:t>
            </w:r>
            <w:r>
              <w:rPr>
                <w:rFonts w:ascii="宋体" w:hAnsi="宋体" w:hint="eastAsia"/>
                <w:lang w:eastAsia="zh-Hans"/>
              </w:rPr>
              <w:t xml:space="preserve"> </w:t>
            </w:r>
          </w:p>
        </w:tc>
      </w:tr>
      <w:tr w:rsidR="008C0FF9">
        <w:trPr>
          <w:divId w:val="1015303402"/>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英文名称：The Hong Kong and Shanghai Banking Corporation Limited</w:t>
            </w:r>
          </w:p>
        </w:tc>
      </w:tr>
      <w:tr w:rsidR="008C0FF9">
        <w:trPr>
          <w:divId w:val="1015303402"/>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FF9" w:rsidRDefault="008C0FF9">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widowControl/>
              <w:spacing w:line="315" w:lineRule="atLeast"/>
              <w:jc w:val="left"/>
            </w:pPr>
            <w:r>
              <w:rPr>
                <w:rFonts w:ascii="宋体" w:hAnsi="宋体" w:hint="eastAsia"/>
                <w:lang w:eastAsia="zh-Hans"/>
              </w:rPr>
              <w:t>中文名称：香港上海汇丰银行有限公司</w:t>
            </w:r>
            <w:r>
              <w:rPr>
                <w:rFonts w:asciiTheme="minorEastAsia" w:eastAsiaTheme="minorEastAsia" w:hAnsiTheme="minorEastAsia" w:hint="eastAsia"/>
              </w:rPr>
              <w:t xml:space="preserve"> </w:t>
            </w:r>
          </w:p>
        </w:tc>
      </w:tr>
    </w:tbl>
    <w:p w:rsidR="008C0FF9" w:rsidRDefault="0070267B">
      <w:pPr>
        <w:pStyle w:val="XBRLTitle1"/>
        <w:spacing w:before="156" w:line="360" w:lineRule="auto"/>
        <w:ind w:left="425"/>
      </w:pPr>
      <w:bookmarkStart w:id="27" w:name="_Toc512519482"/>
      <w:bookmarkStart w:id="28" w:name="_Toc481075049"/>
      <w:bookmarkStart w:id="29" w:name="_Toc438646455"/>
      <w:bookmarkStart w:id="30" w:name="_Toc490050003"/>
      <w:bookmarkStart w:id="31" w:name="_Toc514178669"/>
      <w:bookmarkStart w:id="32" w:name="m401_tab"/>
      <w:bookmarkStart w:id="33" w:name="m401"/>
      <w:bookmarkEnd w:id="25"/>
      <w:proofErr w:type="spellStart"/>
      <w:r>
        <w:rPr>
          <w:rFonts w:hint="eastAsia"/>
        </w:rPr>
        <w:t>主要财务指标和基金净值表现</w:t>
      </w:r>
      <w:bookmarkEnd w:id="27"/>
      <w:bookmarkEnd w:id="28"/>
      <w:bookmarkEnd w:id="29"/>
      <w:bookmarkEnd w:id="30"/>
      <w:bookmarkEnd w:id="31"/>
      <w:proofErr w:type="spellEnd"/>
      <w:r>
        <w:rPr>
          <w:rFonts w:hint="eastAsia"/>
        </w:rPr>
        <w:t xml:space="preserve"> </w:t>
      </w:r>
    </w:p>
    <w:p w:rsidR="008C0FF9" w:rsidRDefault="0070267B">
      <w:pPr>
        <w:pStyle w:val="XBRLTitle2"/>
        <w:spacing w:before="156" w:line="360" w:lineRule="auto"/>
        <w:ind w:left="454"/>
      </w:pPr>
      <w:bookmarkStart w:id="34" w:name="_Toc512519483"/>
      <w:bookmarkStart w:id="35" w:name="_Toc481075050"/>
      <w:bookmarkStart w:id="36" w:name="_Toc438646456"/>
      <w:bookmarkStart w:id="37" w:name="_Toc490050004"/>
      <w:bookmarkStart w:id="38" w:name="_Toc514178670"/>
      <w:proofErr w:type="spellStart"/>
      <w:r>
        <w:rPr>
          <w:rFonts w:hint="eastAsia"/>
        </w:rPr>
        <w:t>主要财务指标</w:t>
      </w:r>
      <w:bookmarkEnd w:id="34"/>
      <w:bookmarkEnd w:id="35"/>
      <w:bookmarkEnd w:id="36"/>
      <w:bookmarkEnd w:id="37"/>
      <w:bookmarkEnd w:id="38"/>
      <w:proofErr w:type="spellEnd"/>
      <w:r>
        <w:rPr>
          <w:rFonts w:hint="eastAsia"/>
        </w:rPr>
        <w:t xml:space="preserve"> </w:t>
      </w:r>
    </w:p>
    <w:p w:rsidR="008C0FF9" w:rsidRDefault="0070267B">
      <w:pPr>
        <w:jc w:val="right"/>
        <w:divId w:val="118590431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8"/>
        <w:gridCol w:w="3413"/>
        <w:gridCol w:w="3384"/>
      </w:tblGrid>
      <w:tr w:rsidR="008C0FF9">
        <w:trPr>
          <w:divId w:val="118590431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8C0FF9" w:rsidRDefault="0070267B">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8C0FF9" w:rsidRDefault="0070267B">
            <w:pPr>
              <w:pStyle w:val="a5"/>
              <w:jc w:val="center"/>
            </w:pPr>
            <w:r>
              <w:rPr>
                <w:rFonts w:hint="eastAsia"/>
                <w:kern w:val="2"/>
                <w:sz w:val="21"/>
                <w:szCs w:val="24"/>
                <w:lang w:eastAsia="zh-Hans"/>
              </w:rPr>
              <w:t xml:space="preserve">报告期（2025年1月1日-2025年3月31日） </w:t>
            </w:r>
          </w:p>
        </w:tc>
      </w:tr>
      <w:tr w:rsidR="008C0FF9">
        <w:trPr>
          <w:divId w:val="118590431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8C0FF9" w:rsidRDefault="0070267B">
            <w:pPr>
              <w:jc w:val="center"/>
            </w:pPr>
            <w:r>
              <w:rPr>
                <w:rFonts w:ascii="宋体" w:hAnsi="宋体" w:hint="eastAsia"/>
                <w:szCs w:val="24"/>
                <w:lang w:eastAsia="zh-Hans"/>
              </w:rPr>
              <w:t>摩根富时发达市场REITs指数(QDII)人民币A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8C0FF9" w:rsidRDefault="0070267B">
            <w:pPr>
              <w:jc w:val="center"/>
            </w:pPr>
            <w:r>
              <w:rPr>
                <w:rFonts w:ascii="宋体" w:hAnsi="宋体" w:hint="eastAsia"/>
                <w:szCs w:val="24"/>
                <w:lang w:eastAsia="zh-Hans"/>
              </w:rPr>
              <w:t>摩根富时发达市场REITs指数(QDII)人民币C</w:t>
            </w:r>
          </w:p>
        </w:tc>
      </w:tr>
      <w:tr w:rsidR="008C0FF9">
        <w:trPr>
          <w:divId w:val="118590431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700,591.57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35,803.44</w:t>
            </w:r>
          </w:p>
        </w:tc>
      </w:tr>
      <w:tr w:rsidR="008C0FF9">
        <w:trPr>
          <w:divId w:val="118590431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2,795,881.21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117,551.19</w:t>
            </w:r>
          </w:p>
        </w:tc>
      </w:tr>
      <w:tr w:rsidR="008C0FF9">
        <w:trPr>
          <w:divId w:val="118590431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0.0153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0.0088</w:t>
            </w:r>
          </w:p>
        </w:tc>
      </w:tr>
      <w:tr w:rsidR="008C0FF9">
        <w:trPr>
          <w:divId w:val="118590431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253,845,187.22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20,800,567.56</w:t>
            </w:r>
          </w:p>
        </w:tc>
      </w:tr>
      <w:tr w:rsidR="008C0FF9">
        <w:trPr>
          <w:divId w:val="118590431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1.3646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1.3602</w:t>
            </w:r>
          </w:p>
        </w:tc>
      </w:tr>
    </w:tbl>
    <w:p w:rsidR="008C0FF9" w:rsidRDefault="0070267B">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8C0FF9" w:rsidRDefault="0070267B">
      <w:pPr>
        <w:pStyle w:val="XBRLTitle2"/>
        <w:spacing w:before="156" w:line="360" w:lineRule="auto"/>
        <w:ind w:left="454"/>
      </w:pPr>
      <w:bookmarkStart w:id="39" w:name="_Toc512519484"/>
      <w:bookmarkStart w:id="40" w:name="_Toc481075051"/>
      <w:bookmarkStart w:id="41" w:name="_Toc438646457"/>
      <w:bookmarkStart w:id="42" w:name="_Toc490050005"/>
      <w:bookmarkStart w:id="43" w:name="_Toc514178671"/>
      <w:proofErr w:type="spellStart"/>
      <w:r>
        <w:rPr>
          <w:rFonts w:hint="eastAsia"/>
        </w:rPr>
        <w:t>基金净值表现</w:t>
      </w:r>
      <w:bookmarkEnd w:id="39"/>
      <w:bookmarkEnd w:id="40"/>
      <w:bookmarkEnd w:id="41"/>
      <w:bookmarkEnd w:id="42"/>
      <w:bookmarkEnd w:id="43"/>
      <w:proofErr w:type="spellEnd"/>
      <w:r>
        <w:rPr>
          <w:rFonts w:hint="eastAsia"/>
        </w:rPr>
        <w:t xml:space="preserve"> </w:t>
      </w:r>
    </w:p>
    <w:p w:rsidR="008C0FF9" w:rsidRDefault="0070267B">
      <w:pPr>
        <w:pStyle w:val="XBRLTitle3"/>
        <w:spacing w:before="156"/>
        <w:ind w:left="0"/>
      </w:pPr>
      <w:bookmarkStart w:id="44" w:name="_Toc512519485"/>
      <w:bookmarkStart w:id="45" w:name="_Toc481075052"/>
      <w:bookmarkStart w:id="46" w:name="_Toc490050006"/>
      <w:bookmarkStart w:id="47" w:name="_Toc514178672"/>
      <w:proofErr w:type="spellStart"/>
      <w:r>
        <w:rPr>
          <w:rFonts w:hint="eastAsia"/>
        </w:rPr>
        <w:t>基金份额净值增长率及其与同期业绩比较基准收益率的比较</w:t>
      </w:r>
      <w:bookmarkEnd w:id="44"/>
      <w:bookmarkEnd w:id="45"/>
      <w:bookmarkEnd w:id="46"/>
      <w:bookmarkEnd w:id="47"/>
      <w:proofErr w:type="spellEnd"/>
      <w:r>
        <w:rPr>
          <w:rFonts w:hint="eastAsia"/>
          <w:lang w:eastAsia="zh-CN"/>
        </w:rPr>
        <w:t xml:space="preserve"> </w:t>
      </w:r>
    </w:p>
    <w:p w:rsidR="008C0FF9" w:rsidRDefault="0070267B">
      <w:pPr>
        <w:spacing w:line="360" w:lineRule="auto"/>
        <w:jc w:val="center"/>
        <w:divId w:val="1492872722"/>
      </w:pPr>
      <w:r>
        <w:rPr>
          <w:rFonts w:ascii="宋体" w:hAnsi="宋体" w:hint="eastAsia"/>
        </w:rPr>
        <w:t>摩根富</w:t>
      </w:r>
      <w:proofErr w:type="gramStart"/>
      <w:r>
        <w:rPr>
          <w:rFonts w:ascii="宋体" w:hAnsi="宋体" w:hint="eastAsia"/>
        </w:rPr>
        <w:t>时发达</w:t>
      </w:r>
      <w:proofErr w:type="gramEnd"/>
      <w:r>
        <w:rPr>
          <w:rFonts w:ascii="宋体" w:hAnsi="宋体" w:hint="eastAsia"/>
        </w:rPr>
        <w:t>市场REITs指数(QDII)人民币A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C0FF9">
        <w:trPr>
          <w:divId w:val="149287272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②－④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0.71%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0.02%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-4.23%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-6.67%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2.44%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0.00%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7.17%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3.08%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4.09%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0.00%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2.11%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-8.42%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10.53%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0.00%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47.54%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23.83%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23.71%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0.01%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36.46%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14.87%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21.59%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0.01% </w:t>
            </w:r>
          </w:p>
        </w:tc>
      </w:tr>
    </w:tbl>
    <w:p w:rsidR="008C0FF9" w:rsidRDefault="0070267B">
      <w:pPr>
        <w:spacing w:line="360" w:lineRule="auto"/>
        <w:jc w:val="center"/>
        <w:divId w:val="770005045"/>
      </w:pPr>
      <w:r>
        <w:rPr>
          <w:rFonts w:ascii="宋体" w:hAnsi="宋体" w:hint="eastAsia"/>
        </w:rPr>
        <w:t>摩根富</w:t>
      </w:r>
      <w:proofErr w:type="gramStart"/>
      <w:r>
        <w:rPr>
          <w:rFonts w:ascii="宋体" w:hAnsi="宋体" w:hint="eastAsia"/>
        </w:rPr>
        <w:t>时发达</w:t>
      </w:r>
      <w:proofErr w:type="gramEnd"/>
      <w:r>
        <w:rPr>
          <w:rFonts w:ascii="宋体" w:hAnsi="宋体" w:hint="eastAsia"/>
        </w:rPr>
        <w:t>市场REITs指数(QDII)人民币C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C0FF9">
        <w:trPr>
          <w:divId w:val="77000504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②－④ </w:t>
            </w:r>
          </w:p>
        </w:tc>
      </w:tr>
      <w:tr w:rsidR="008C0FF9">
        <w:trPr>
          <w:divId w:val="770005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0.62%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0.02% </w:t>
            </w:r>
          </w:p>
        </w:tc>
      </w:tr>
      <w:tr w:rsidR="008C0FF9">
        <w:trPr>
          <w:divId w:val="770005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-4.41%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-6.67%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2.26%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0.00% </w:t>
            </w:r>
          </w:p>
        </w:tc>
      </w:tr>
      <w:tr w:rsidR="008C0FF9">
        <w:trPr>
          <w:divId w:val="770005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6.72%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3.08%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3.64%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0.00% </w:t>
            </w:r>
          </w:p>
        </w:tc>
      </w:tr>
      <w:tr w:rsidR="008C0FF9">
        <w:trPr>
          <w:divId w:val="770005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13.28%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6.29%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6.99%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-0.01% </w:t>
            </w:r>
          </w:p>
        </w:tc>
      </w:tr>
    </w:tbl>
    <w:p w:rsidR="008C0FF9" w:rsidRDefault="0070267B">
      <w:pPr>
        <w:pStyle w:val="XBRLTitle3"/>
        <w:spacing w:before="156"/>
        <w:ind w:left="0"/>
      </w:pPr>
      <w:bookmarkStart w:id="48" w:name="_Toc512519486"/>
      <w:bookmarkStart w:id="49" w:name="_Toc481075053"/>
      <w:bookmarkStart w:id="50" w:name="_Toc490050007"/>
      <w:bookmarkStart w:id="51" w:name="_Toc514178673"/>
      <w:proofErr w:type="spellStart"/>
      <w:r>
        <w:rPr>
          <w:rFonts w:hint="eastAsia"/>
        </w:rPr>
        <w:t>自基金合同生效以来基金累计净值增长率变动及其与同期业绩比较基准收益率变动的比较</w:t>
      </w:r>
      <w:bookmarkEnd w:id="48"/>
      <w:bookmarkEnd w:id="49"/>
      <w:bookmarkEnd w:id="50"/>
      <w:bookmarkEnd w:id="51"/>
      <w:proofErr w:type="spellEnd"/>
      <w:r>
        <w:rPr>
          <w:rFonts w:hint="eastAsia"/>
          <w:kern w:val="2"/>
          <w:sz w:val="21"/>
          <w:szCs w:val="20"/>
          <w:lang w:val="en-US" w:eastAsia="zh-CN"/>
        </w:rPr>
        <w:t xml:space="preserve"> </w:t>
      </w:r>
    </w:p>
    <w:p w:rsidR="008C0FF9" w:rsidRDefault="0070267B">
      <w:pPr>
        <w:spacing w:line="360" w:lineRule="auto"/>
        <w:jc w:val="left"/>
        <w:divId w:val="2109806954"/>
      </w:pPr>
      <w:bookmarkStart w:id="52" w:name="m07_04_07_09_tab"/>
      <w:bookmarkStart w:id="53" w:name="m07_04_07_09"/>
      <w:bookmarkStart w:id="54" w:name="m01_01"/>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8C0FF9" w:rsidRDefault="0070267B">
      <w:pPr>
        <w:spacing w:line="360" w:lineRule="auto"/>
        <w:jc w:val="left"/>
        <w:divId w:val="1976905361"/>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8C0FF9" w:rsidRDefault="0070267B">
      <w:pPr>
        <w:spacing w:line="360" w:lineRule="auto"/>
      </w:pPr>
      <w:r>
        <w:rPr>
          <w:rFonts w:ascii="宋体" w:hAnsi="宋体" w:hint="eastAsia"/>
        </w:rPr>
        <w:t>注：</w:t>
      </w:r>
      <w:r>
        <w:rPr>
          <w:rFonts w:ascii="宋体" w:hAnsi="宋体" w:hint="eastAsia"/>
          <w:lang w:eastAsia="zh-Hans"/>
        </w:rPr>
        <w:t>本基金合同生效日为2018年4月26日，图示的时间段为合同生效日至本报告期末。</w:t>
      </w:r>
      <w:r>
        <w:rPr>
          <w:rFonts w:ascii="宋体" w:hAnsi="宋体" w:hint="eastAsia"/>
          <w:lang w:eastAsia="zh-Hans"/>
        </w:rPr>
        <w:br/>
        <w:t xml:space="preserve">　　本基金自 2023年9月15日起增加C类份额，相关数据按实际存续期计算。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2"/>
      <w:bookmarkEnd w:id="53"/>
    </w:p>
    <w:p w:rsidR="008C0FF9" w:rsidRDefault="0070267B">
      <w:pPr>
        <w:pStyle w:val="XBRLTitle1"/>
        <w:spacing w:before="156" w:line="360" w:lineRule="auto"/>
        <w:ind w:left="425"/>
      </w:pPr>
      <w:bookmarkStart w:id="55" w:name="_Toc481075054"/>
      <w:bookmarkStart w:id="56" w:name="_Toc438646458"/>
      <w:bookmarkStart w:id="57" w:name="_Toc490050008"/>
      <w:bookmarkStart w:id="58" w:name="_Toc512519487"/>
      <w:bookmarkStart w:id="59" w:name="_Toc514178674"/>
      <w:proofErr w:type="spellStart"/>
      <w:r>
        <w:rPr>
          <w:rFonts w:hint="eastAsia"/>
        </w:rPr>
        <w:t>管理人报告</w:t>
      </w:r>
      <w:bookmarkEnd w:id="55"/>
      <w:bookmarkEnd w:id="56"/>
      <w:bookmarkEnd w:id="57"/>
      <w:bookmarkEnd w:id="58"/>
      <w:bookmarkEnd w:id="59"/>
      <w:proofErr w:type="spellEnd"/>
      <w:r>
        <w:rPr>
          <w:rFonts w:hint="eastAsia"/>
        </w:rPr>
        <w:t xml:space="preserve"> </w:t>
      </w:r>
    </w:p>
    <w:p w:rsidR="008C0FF9" w:rsidRDefault="0070267B">
      <w:pPr>
        <w:pStyle w:val="XBRLTitle2"/>
        <w:spacing w:before="156" w:line="360" w:lineRule="auto"/>
        <w:ind w:left="454"/>
      </w:pPr>
      <w:bookmarkStart w:id="60" w:name="_Toc459213770"/>
      <w:bookmarkStart w:id="61" w:name="_Toc456107124"/>
      <w:bookmarkStart w:id="62" w:name="_Toc438654078"/>
      <w:bookmarkStart w:id="63" w:name="_Toc448480290"/>
      <w:bookmarkStart w:id="64" w:name="_Toc480465421"/>
      <w:bookmarkStart w:id="65" w:name="_Toc514178675"/>
      <w:bookmarkStart w:id="66" w:name="_Toc512611287"/>
      <w:bookmarkStart w:id="67" w:name="_Toc512612083"/>
      <w:bookmarkStart w:id="68" w:name="_Toc512612259"/>
      <w:bookmarkStart w:id="69" w:name="_Toc513658013"/>
      <w:bookmarkStart w:id="70" w:name="_Toc512519496"/>
      <w:bookmarkStart w:id="71" w:name="_Toc481075064"/>
      <w:bookmarkStart w:id="72" w:name="_Toc438646466"/>
      <w:bookmarkStart w:id="73" w:name="_Toc490050017"/>
      <w:proofErr w:type="spellStart"/>
      <w:r>
        <w:rPr>
          <w:rFonts w:hint="eastAsia"/>
        </w:rPr>
        <w:t>基金经理（或基金经理小组）简介</w:t>
      </w:r>
      <w:bookmarkEnd w:id="60"/>
      <w:bookmarkEnd w:id="61"/>
      <w:bookmarkEnd w:id="62"/>
      <w:bookmarkEnd w:id="63"/>
      <w:bookmarkEnd w:id="64"/>
      <w:bookmarkEnd w:id="65"/>
      <w:proofErr w:type="spellEnd"/>
      <w:r>
        <w:rPr>
          <w:rFonts w:hint="eastAsia"/>
          <w:szCs w:val="21"/>
        </w:rPr>
        <w:t xml:space="preserve"> </w:t>
      </w:r>
      <w:bookmarkEnd w:id="66"/>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C0FF9">
        <w:trPr>
          <w:divId w:val="81371848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bookmarkStart w:id="74" w:name="m04_02"/>
            <w:bookmarkEnd w:id="74"/>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C0FF9">
        <w:trPr>
          <w:divId w:val="81371848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r>
      <w:tr w:rsidR="008C0FF9">
        <w:trPr>
          <w:divId w:val="81371848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lastRenderedPageBreak/>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2021年1月7日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r w:rsidR="008C0FF9">
        <w:trPr>
          <w:divId w:val="81371848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2021年11月19日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bl>
    <w:p w:rsidR="008C0FF9" w:rsidRDefault="0070267B">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8C0FF9" w:rsidRDefault="0070267B">
      <w:pPr>
        <w:pStyle w:val="XBRLTitle3"/>
        <w:spacing w:before="156"/>
        <w:ind w:left="0"/>
        <w:divId w:val="38940852"/>
      </w:pPr>
      <w:bookmarkStart w:id="75" w:name="_Toc512519488"/>
      <w:bookmarkStart w:id="76" w:name="_Toc490050009"/>
      <w:bookmarkStart w:id="77" w:name="_Toc438646459"/>
      <w:bookmarkStart w:id="78" w:name="_Toc481075055"/>
      <w:bookmarkStart w:id="79" w:name="_Toc5134656621"/>
      <w:proofErr w:type="spellStart"/>
      <w:r>
        <w:rPr>
          <w:rFonts w:hint="eastAsia"/>
        </w:rPr>
        <w:t>期末兼任私募资产管理计划投资经理的基金经理同时管理的产品情况</w:t>
      </w:r>
      <w:bookmarkEnd w:id="75"/>
      <w:bookmarkEnd w:id="76"/>
      <w:bookmarkEnd w:id="77"/>
      <w:bookmarkEnd w:id="78"/>
      <w:bookmarkEnd w:id="79"/>
      <w:proofErr w:type="spellEnd"/>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8C0FF9">
        <w:trPr>
          <w:divId w:val="1867136964"/>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C0FF9" w:rsidRDefault="0070267B">
            <w:pPr>
              <w:snapToGrid w:val="0"/>
              <w:jc w:val="center"/>
            </w:pPr>
            <w:bookmarkStart w:id="8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C0FF9" w:rsidRDefault="0070267B">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C0FF9" w:rsidRDefault="0070267B">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C0FF9" w:rsidRDefault="0070267B">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C0FF9" w:rsidRDefault="0070267B">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8C0FF9">
        <w:trPr>
          <w:divId w:val="1867136964"/>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9,853,561,617.98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center"/>
            </w:pPr>
            <w:r>
              <w:rPr>
                <w:rFonts w:ascii="宋体" w:hAnsi="宋体" w:hint="eastAsia"/>
                <w:szCs w:val="24"/>
              </w:rPr>
              <w:t>2008-03-08</w:t>
            </w:r>
          </w:p>
        </w:tc>
      </w:tr>
      <w:tr w:rsidR="008C0FF9">
        <w:trPr>
          <w:divId w:val="186713696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28,844,071.62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center"/>
            </w:pPr>
            <w:r>
              <w:rPr>
                <w:rFonts w:ascii="宋体" w:hAnsi="宋体" w:hint="eastAsia"/>
                <w:szCs w:val="24"/>
              </w:rPr>
              <w:t>2021-07-09</w:t>
            </w:r>
          </w:p>
        </w:tc>
      </w:tr>
      <w:tr w:rsidR="008C0FF9">
        <w:trPr>
          <w:divId w:val="186713696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center"/>
            </w:pPr>
            <w:r>
              <w:rPr>
                <w:rFonts w:ascii="宋体" w:hAnsi="宋体" w:hint="eastAsia"/>
                <w:szCs w:val="24"/>
              </w:rPr>
              <w:t>-</w:t>
            </w:r>
          </w:p>
        </w:tc>
      </w:tr>
      <w:tr w:rsidR="008C0FF9">
        <w:trPr>
          <w:divId w:val="186713696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9,882,405,689.60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center"/>
            </w:pPr>
            <w:r>
              <w:rPr>
                <w:rFonts w:ascii="宋体" w:hAnsi="宋体" w:hint="eastAsia"/>
                <w:szCs w:val="24"/>
              </w:rPr>
              <w:t xml:space="preserve">- </w:t>
            </w:r>
          </w:p>
        </w:tc>
      </w:tr>
    </w:tbl>
    <w:p w:rsidR="008C0FF9" w:rsidRDefault="0070267B">
      <w:pPr>
        <w:pStyle w:val="XBRLTitle2"/>
        <w:spacing w:before="156" w:line="360" w:lineRule="auto"/>
        <w:ind w:left="454"/>
      </w:pPr>
      <w:bookmarkStart w:id="81" w:name="m402"/>
      <w:bookmarkStart w:id="82" w:name="_Toc459213772"/>
      <w:bookmarkStart w:id="83" w:name="_Toc456107126"/>
      <w:bookmarkStart w:id="84" w:name="_Toc438654080"/>
      <w:bookmarkStart w:id="85" w:name="_Toc448480292"/>
      <w:bookmarkStart w:id="86" w:name="_Toc480465423"/>
      <w:bookmarkStart w:id="87" w:name="_Toc512611289"/>
      <w:bookmarkStart w:id="88" w:name="_Toc512612085"/>
      <w:bookmarkStart w:id="89" w:name="_Toc512612261"/>
      <w:bookmarkStart w:id="90" w:name="_Toc513658015"/>
      <w:bookmarkStart w:id="91" w:name="_Toc514178677"/>
      <w:bookmarkStart w:id="92" w:name="m403"/>
      <w:bookmarkEnd w:id="80"/>
      <w:bookmarkEnd w:id="81"/>
      <w:proofErr w:type="spellStart"/>
      <w:r>
        <w:rPr>
          <w:rFonts w:hint="eastAsia"/>
        </w:rPr>
        <w:t>报告期内本基金运作遵规守信情况说明</w:t>
      </w:r>
      <w:bookmarkEnd w:id="82"/>
      <w:bookmarkEnd w:id="83"/>
      <w:bookmarkEnd w:id="84"/>
      <w:bookmarkEnd w:id="85"/>
      <w:bookmarkEnd w:id="86"/>
      <w:bookmarkEnd w:id="87"/>
      <w:bookmarkEnd w:id="88"/>
      <w:bookmarkEnd w:id="89"/>
      <w:bookmarkEnd w:id="90"/>
      <w:bookmarkEnd w:id="91"/>
      <w:proofErr w:type="spellEnd"/>
      <w:r>
        <w:rPr>
          <w:rFonts w:hint="eastAsia"/>
        </w:rPr>
        <w:t xml:space="preserve"> </w:t>
      </w:r>
    </w:p>
    <w:p w:rsidR="008C0FF9" w:rsidRDefault="0070267B">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8C0FF9" w:rsidRDefault="0070267B">
      <w:pPr>
        <w:pStyle w:val="XBRLTitle2"/>
        <w:spacing w:before="156" w:line="360" w:lineRule="auto"/>
        <w:ind w:left="454"/>
      </w:pPr>
      <w:bookmarkStart w:id="93" w:name="_Toc459213773"/>
      <w:bookmarkStart w:id="94" w:name="_Toc456107127"/>
      <w:bookmarkStart w:id="95" w:name="_Toc438654081"/>
      <w:bookmarkStart w:id="96" w:name="_Toc448480293"/>
      <w:bookmarkStart w:id="97" w:name="_Toc480465424"/>
      <w:bookmarkStart w:id="98" w:name="_Toc512611290"/>
      <w:bookmarkStart w:id="99" w:name="_Toc512612086"/>
      <w:bookmarkStart w:id="100" w:name="_Toc512612262"/>
      <w:bookmarkStart w:id="101" w:name="_Toc513658016"/>
      <w:bookmarkStart w:id="102" w:name="_Toc514178678"/>
      <w:bookmarkEnd w:id="92"/>
      <w:proofErr w:type="spellStart"/>
      <w:r>
        <w:rPr>
          <w:rFonts w:hint="eastAsia"/>
        </w:rPr>
        <w:t>公平交易专项说明</w:t>
      </w:r>
      <w:bookmarkEnd w:id="93"/>
      <w:bookmarkEnd w:id="94"/>
      <w:bookmarkEnd w:id="95"/>
      <w:bookmarkEnd w:id="96"/>
      <w:bookmarkEnd w:id="97"/>
      <w:bookmarkEnd w:id="98"/>
      <w:bookmarkEnd w:id="99"/>
      <w:bookmarkEnd w:id="100"/>
      <w:bookmarkEnd w:id="101"/>
      <w:bookmarkEnd w:id="102"/>
      <w:proofErr w:type="spellEnd"/>
      <w:r>
        <w:rPr>
          <w:rFonts w:hint="eastAsia"/>
        </w:rPr>
        <w:t xml:space="preserve"> </w:t>
      </w:r>
    </w:p>
    <w:p w:rsidR="008C0FF9" w:rsidRDefault="0070267B">
      <w:pPr>
        <w:pStyle w:val="XBRLTitle3"/>
        <w:spacing w:before="156"/>
        <w:ind w:left="0"/>
      </w:pPr>
      <w:bookmarkStart w:id="103" w:name="_Toc513658017"/>
      <w:bookmarkStart w:id="104" w:name="_Toc514178679"/>
      <w:bookmarkStart w:id="105" w:name="_Toc480465425"/>
      <w:bookmarkStart w:id="106" w:name="m404_01_0570"/>
      <w:proofErr w:type="spellStart"/>
      <w:r>
        <w:rPr>
          <w:rFonts w:hint="eastAsia"/>
        </w:rPr>
        <w:t>公平交易制度的执行情况</w:t>
      </w:r>
      <w:bookmarkEnd w:id="103"/>
      <w:bookmarkEnd w:id="104"/>
      <w:proofErr w:type="spellEnd"/>
    </w:p>
    <w:p w:rsidR="008C0FF9" w:rsidRDefault="0070267B">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ascii="宋体" w:hAnsi="宋体" w:cs="宋体" w:hint="eastAsia"/>
          <w:color w:val="000000"/>
          <w:kern w:val="0"/>
        </w:rPr>
        <w:lastRenderedPageBreak/>
        <w:t xml:space="preserve">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8C0FF9" w:rsidRDefault="0070267B">
      <w:pPr>
        <w:pStyle w:val="XBRLTitle3"/>
        <w:spacing w:before="156"/>
        <w:ind w:left="0"/>
      </w:pPr>
      <w:bookmarkStart w:id="107" w:name="_Toc513658018"/>
      <w:bookmarkStart w:id="108" w:name="_Toc514178680"/>
      <w:bookmarkStart w:id="109" w:name="_Toc480465426"/>
      <w:bookmarkStart w:id="110" w:name="m404_01_0578"/>
      <w:proofErr w:type="spellStart"/>
      <w:r>
        <w:rPr>
          <w:rFonts w:hint="eastAsia"/>
        </w:rPr>
        <w:t>异常交易行为的专项说明</w:t>
      </w:r>
      <w:bookmarkEnd w:id="107"/>
      <w:bookmarkEnd w:id="108"/>
      <w:proofErr w:type="spellEnd"/>
    </w:p>
    <w:p w:rsidR="008C0FF9" w:rsidRDefault="0070267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8C0FF9" w:rsidRDefault="0070267B">
      <w:pPr>
        <w:pStyle w:val="XBRLTitle2"/>
        <w:spacing w:before="156" w:line="360" w:lineRule="auto"/>
        <w:ind w:left="454"/>
      </w:pPr>
      <w:bookmarkStart w:id="111" w:name="_Toc459213774"/>
      <w:bookmarkStart w:id="112" w:name="_Toc456107128"/>
      <w:bookmarkStart w:id="113" w:name="_Toc438654082"/>
      <w:bookmarkStart w:id="114" w:name="_Toc448480294"/>
      <w:bookmarkStart w:id="115" w:name="_Toc480465427"/>
      <w:bookmarkStart w:id="116" w:name="_Toc512611291"/>
      <w:bookmarkStart w:id="117" w:name="_Toc512612087"/>
      <w:bookmarkStart w:id="118" w:name="_Toc512612263"/>
      <w:bookmarkStart w:id="119" w:name="_Toc513658019"/>
      <w:bookmarkStart w:id="120" w:name="_Toc514178681"/>
      <w:proofErr w:type="spellStart"/>
      <w:r>
        <w:rPr>
          <w:rFonts w:hint="eastAsia"/>
        </w:rPr>
        <w:t>报告期内基金的投资策略和业绩表现说明</w:t>
      </w:r>
      <w:bookmarkEnd w:id="111"/>
      <w:bookmarkEnd w:id="112"/>
      <w:bookmarkEnd w:id="113"/>
      <w:bookmarkEnd w:id="114"/>
      <w:bookmarkEnd w:id="115"/>
      <w:bookmarkEnd w:id="116"/>
      <w:bookmarkEnd w:id="117"/>
      <w:bookmarkEnd w:id="118"/>
      <w:bookmarkEnd w:id="119"/>
      <w:bookmarkEnd w:id="120"/>
      <w:proofErr w:type="spellEnd"/>
      <w:r>
        <w:rPr>
          <w:rFonts w:hint="eastAsia"/>
        </w:rPr>
        <w:t xml:space="preserve"> </w:t>
      </w:r>
    </w:p>
    <w:p w:rsidR="008C0FF9" w:rsidRDefault="0070267B">
      <w:pPr>
        <w:pStyle w:val="XBRLTitle3"/>
        <w:spacing w:before="156"/>
        <w:ind w:left="0"/>
      </w:pPr>
      <w:bookmarkStart w:id="121" w:name="_Toc51408825711"/>
      <w:bookmarkStart w:id="122" w:name="_Toc513542656"/>
      <w:proofErr w:type="spellStart"/>
      <w:r>
        <w:rPr>
          <w:rFonts w:hint="eastAsia"/>
        </w:rPr>
        <w:t>报告期内基金投资策略和运作分析</w:t>
      </w:r>
      <w:bookmarkEnd w:id="121"/>
      <w:bookmarkEnd w:id="105"/>
      <w:bookmarkEnd w:id="122"/>
      <w:proofErr w:type="spellEnd"/>
      <w:r>
        <w:rPr>
          <w:rFonts w:hint="eastAsia"/>
        </w:rPr>
        <w:t xml:space="preserve"> </w:t>
      </w:r>
    </w:p>
    <w:p w:rsidR="008C0FF9" w:rsidRDefault="0070267B">
      <w:pPr>
        <w:spacing w:line="360" w:lineRule="auto"/>
        <w:ind w:firstLineChars="200" w:firstLine="420"/>
        <w:divId w:val="2072385187"/>
      </w:pPr>
      <w:r>
        <w:rPr>
          <w:rFonts w:ascii="宋体" w:hAnsi="宋体" w:hint="eastAsia"/>
          <w:color w:val="000000"/>
          <w:kern w:val="0"/>
          <w:szCs w:val="21"/>
          <w:lang w:eastAsia="zh-Hans"/>
        </w:rPr>
        <w:t>报告期内，富时发达市场REITs指数小幅上涨，表现好于标普500等股票指数。</w:t>
      </w:r>
      <w:r>
        <w:rPr>
          <w:rFonts w:ascii="宋体" w:hAnsi="宋体" w:hint="eastAsia"/>
          <w:color w:val="000000"/>
          <w:kern w:val="0"/>
          <w:szCs w:val="21"/>
          <w:lang w:eastAsia="zh-Hans"/>
        </w:rPr>
        <w:br/>
        <w:t xml:space="preserve">　　报告期内医疗保健板块表现最为突出；工业板块和电信板块的回报率紧随其后。表现不佳的板块是数据中心板块，这是由于市场对人工智能投资所引发的未来容量需求存在疑问。亚洲的住宿/度假村板块表现好于美国。</w:t>
      </w:r>
      <w:r>
        <w:rPr>
          <w:rFonts w:ascii="宋体" w:hAnsi="宋体" w:hint="eastAsia"/>
          <w:color w:val="000000"/>
          <w:kern w:val="0"/>
          <w:szCs w:val="21"/>
          <w:lang w:eastAsia="zh-Hans"/>
        </w:rPr>
        <w:br/>
        <w:t xml:space="preserve">　　展望REITs2025年的机会包括：1）随着CRE（商业地产）交易的增加，潜在增值增长机会有望增加；2）REITs有望继续引领全球房地产行业的发展，因为它们体现了未来十年定义房地产的大趋势:专业化、规模化、创新性和可持续性；3）越来越多的机构投资者将寻求投资布局具有这些特征的CRE（商业地产）。包括养老金和主权财富基金在内的主要机构投资者越来越了解上述大趋势的重要意义，在2024年加速布局全球REITs，我们预计这个趋势将在2025年持续。</w:t>
      </w:r>
      <w:r>
        <w:rPr>
          <w:rFonts w:ascii="宋体" w:hAnsi="宋体" w:hint="eastAsia"/>
          <w:color w:val="000000"/>
          <w:kern w:val="0"/>
          <w:szCs w:val="21"/>
          <w:lang w:eastAsia="zh-Hans"/>
        </w:rPr>
        <w:br/>
        <w:t xml:space="preserve">　　在过去的两年里，REITs已经证明了他们善于驾驭更高的利率环境。对于2025年我们谨慎乐观地认为，随着交易活动的增加，CRE市场将更加强劲。潜在的行业并购交易或将为REITs提供增值增长的机会。</w:t>
      </w:r>
      <w:r>
        <w:rPr>
          <w:rFonts w:ascii="宋体" w:hAnsi="宋体" w:hint="eastAsia"/>
          <w:color w:val="000000"/>
          <w:kern w:val="0"/>
          <w:szCs w:val="21"/>
          <w:lang w:eastAsia="zh-Hans"/>
        </w:rPr>
        <w:br/>
        <w:t xml:space="preserve">　　本基金在报告期内持续采取被动复制的投资策略，紧密跟踪指数表现。报告期间，管理人严</w:t>
      </w:r>
      <w:r>
        <w:rPr>
          <w:rFonts w:ascii="宋体" w:hAnsi="宋体" w:hint="eastAsia"/>
          <w:color w:val="000000"/>
          <w:kern w:val="0"/>
          <w:szCs w:val="21"/>
          <w:lang w:eastAsia="zh-Hans"/>
        </w:rPr>
        <w:lastRenderedPageBreak/>
        <w:t>格依据指数成分股的变动信息进行股票组合的调整，基于申购赎回情况增减股票组合，保持股票资产权重处于90%以上的高仓位区间。</w:t>
      </w:r>
      <w:r>
        <w:rPr>
          <w:rFonts w:ascii="宋体" w:hAnsi="宋体" w:hint="eastAsia"/>
          <w:color w:val="000000"/>
          <w:kern w:val="0"/>
          <w:sz w:val="24"/>
        </w:rPr>
        <w:t xml:space="preserve"> </w:t>
      </w:r>
      <w:bookmarkEnd w:id="54"/>
    </w:p>
    <w:p w:rsidR="008C0FF9" w:rsidRDefault="0070267B">
      <w:pPr>
        <w:pStyle w:val="XBRLTitle3"/>
        <w:spacing w:before="156"/>
        <w:ind w:left="0"/>
      </w:pPr>
      <w:bookmarkStart w:id="123" w:name="_Toc51408825712"/>
      <w:bookmarkStart w:id="124" w:name="_Toc513542657"/>
      <w:bookmarkEnd w:id="106"/>
      <w:proofErr w:type="spellStart"/>
      <w:r>
        <w:rPr>
          <w:rFonts w:hint="eastAsia"/>
        </w:rPr>
        <w:t>报告期内基金的业绩表现</w:t>
      </w:r>
      <w:bookmarkEnd w:id="123"/>
      <w:bookmarkEnd w:id="109"/>
      <w:bookmarkEnd w:id="124"/>
      <w:proofErr w:type="spellEnd"/>
      <w:r>
        <w:rPr>
          <w:rFonts w:hint="eastAsia"/>
        </w:rPr>
        <w:t xml:space="preserve"> </w:t>
      </w:r>
    </w:p>
    <w:p w:rsidR="008C0FF9" w:rsidRDefault="0070267B">
      <w:pPr>
        <w:spacing w:line="360" w:lineRule="auto"/>
        <w:ind w:firstLineChars="200" w:firstLine="420"/>
        <w:jc w:val="left"/>
      </w:pPr>
      <w:r>
        <w:rPr>
          <w:rFonts w:ascii="宋体" w:hAnsi="宋体" w:cs="宋体" w:hint="eastAsia"/>
          <w:color w:val="000000"/>
          <w:kern w:val="0"/>
        </w:rPr>
        <w:t>本报告期摩根富</w:t>
      </w:r>
      <w:proofErr w:type="gramStart"/>
      <w:r>
        <w:rPr>
          <w:rFonts w:ascii="宋体" w:hAnsi="宋体" w:cs="宋体" w:hint="eastAsia"/>
          <w:color w:val="000000"/>
          <w:kern w:val="0"/>
        </w:rPr>
        <w:t>时发达</w:t>
      </w:r>
      <w:proofErr w:type="gramEnd"/>
      <w:r>
        <w:rPr>
          <w:rFonts w:ascii="宋体" w:hAnsi="宋体" w:cs="宋体" w:hint="eastAsia"/>
          <w:color w:val="000000"/>
          <w:kern w:val="0"/>
        </w:rPr>
        <w:t>市场REITs指数(QDII)人民币A份额净值增长率为：1.19%，同期业绩比较基准收益率为:0.48%;</w:t>
      </w:r>
      <w:r>
        <w:rPr>
          <w:rFonts w:ascii="宋体" w:hAnsi="宋体" w:cs="宋体" w:hint="eastAsia"/>
          <w:color w:val="000000"/>
          <w:kern w:val="0"/>
        </w:rPr>
        <w:br/>
        <w:t xml:space="preserve">　　摩根富</w:t>
      </w:r>
      <w:proofErr w:type="gramStart"/>
      <w:r>
        <w:rPr>
          <w:rFonts w:ascii="宋体" w:hAnsi="宋体" w:cs="宋体" w:hint="eastAsia"/>
          <w:color w:val="000000"/>
          <w:kern w:val="0"/>
        </w:rPr>
        <w:t>时发达</w:t>
      </w:r>
      <w:proofErr w:type="gramEnd"/>
      <w:r>
        <w:rPr>
          <w:rFonts w:ascii="宋体" w:hAnsi="宋体" w:cs="宋体" w:hint="eastAsia"/>
          <w:color w:val="000000"/>
          <w:kern w:val="0"/>
        </w:rPr>
        <w:t>市场REITs指数(QDII)人民币C份额净值增长率为：1.10%，同期业绩比较基准收益率为:0.48%。</w:t>
      </w:r>
      <w:bookmarkEnd w:id="110"/>
    </w:p>
    <w:p w:rsidR="008C0FF9" w:rsidRDefault="0070267B">
      <w:pPr>
        <w:pStyle w:val="XBRLTitle2"/>
        <w:spacing w:before="156" w:line="360" w:lineRule="auto"/>
        <w:ind w:left="454"/>
      </w:pPr>
      <w:bookmarkStart w:id="125" w:name="m405_01_2550"/>
      <w:bookmarkStart w:id="126" w:name="_Toc459213775"/>
      <w:bookmarkStart w:id="127" w:name="_Toc456107129"/>
      <w:bookmarkStart w:id="128" w:name="_Toc438654084"/>
      <w:bookmarkStart w:id="129" w:name="_Toc448480296"/>
      <w:bookmarkStart w:id="130" w:name="_Toc480465430"/>
      <w:bookmarkStart w:id="131" w:name="_Toc512611292"/>
      <w:bookmarkStart w:id="132" w:name="_Toc512612088"/>
      <w:bookmarkStart w:id="133" w:name="_Toc512612264"/>
      <w:bookmarkStart w:id="134" w:name="_Toc513658020"/>
      <w:bookmarkStart w:id="135" w:name="_Toc514178682"/>
      <w:bookmarkStart w:id="136" w:name="m407"/>
      <w:bookmarkEnd w:id="125"/>
      <w:proofErr w:type="spellStart"/>
      <w:r>
        <w:rPr>
          <w:rFonts w:hint="eastAsia"/>
        </w:rPr>
        <w:t>报告期内基金持有人数或基金资产净值预警说明</w:t>
      </w:r>
      <w:bookmarkEnd w:id="126"/>
      <w:bookmarkEnd w:id="127"/>
      <w:bookmarkEnd w:id="128"/>
      <w:bookmarkEnd w:id="129"/>
      <w:bookmarkEnd w:id="130"/>
      <w:bookmarkEnd w:id="131"/>
      <w:bookmarkEnd w:id="132"/>
      <w:bookmarkEnd w:id="133"/>
      <w:bookmarkEnd w:id="134"/>
      <w:bookmarkEnd w:id="135"/>
      <w:proofErr w:type="spellEnd"/>
      <w:r>
        <w:rPr>
          <w:rFonts w:hint="eastAsia"/>
        </w:rPr>
        <w:t xml:space="preserve"> </w:t>
      </w:r>
    </w:p>
    <w:p w:rsidR="008C0FF9" w:rsidRDefault="0070267B">
      <w:pPr>
        <w:spacing w:line="360" w:lineRule="auto"/>
        <w:ind w:firstLineChars="200" w:firstLine="420"/>
        <w:jc w:val="left"/>
      </w:pPr>
      <w:r>
        <w:rPr>
          <w:rFonts w:ascii="宋体" w:hAnsi="宋体" w:hint="eastAsia"/>
        </w:rPr>
        <w:t>无。</w:t>
      </w:r>
    </w:p>
    <w:p w:rsidR="008C0FF9" w:rsidRDefault="0070267B">
      <w:pPr>
        <w:pStyle w:val="XBRLTitle1"/>
        <w:spacing w:before="156" w:line="360" w:lineRule="auto"/>
        <w:ind w:left="425"/>
      </w:pPr>
      <w:bookmarkStart w:id="137" w:name="_Toc514178683"/>
      <w:bookmarkEnd w:id="136"/>
      <w:proofErr w:type="spellStart"/>
      <w:r>
        <w:rPr>
          <w:rFonts w:hint="eastAsia"/>
        </w:rPr>
        <w:t>投资组合报告</w:t>
      </w:r>
      <w:bookmarkEnd w:id="137"/>
      <w:bookmarkEnd w:id="70"/>
      <w:bookmarkEnd w:id="71"/>
      <w:bookmarkEnd w:id="72"/>
      <w:bookmarkEnd w:id="73"/>
      <w:proofErr w:type="spellEnd"/>
      <w:r>
        <w:rPr>
          <w:rFonts w:hint="eastAsia"/>
        </w:rPr>
        <w:t xml:space="preserve"> </w:t>
      </w:r>
    </w:p>
    <w:p w:rsidR="008C0FF9" w:rsidRDefault="0070267B">
      <w:pPr>
        <w:pStyle w:val="XBRLTitle2"/>
        <w:spacing w:before="156" w:line="360" w:lineRule="auto"/>
        <w:ind w:left="454"/>
      </w:pPr>
      <w:bookmarkStart w:id="138" w:name="_Toc459213777"/>
      <w:bookmarkStart w:id="139" w:name="_Toc456107131"/>
      <w:bookmarkStart w:id="140" w:name="_Toc438654086"/>
      <w:bookmarkStart w:id="141" w:name="_Toc448480298"/>
      <w:bookmarkStart w:id="142" w:name="_Toc480465432"/>
      <w:bookmarkStart w:id="143" w:name="_Toc514178684"/>
      <w:bookmarkStart w:id="144" w:name="_Toc512611294"/>
      <w:bookmarkStart w:id="145" w:name="_Toc512612090"/>
      <w:bookmarkStart w:id="146" w:name="_Toc512612266"/>
      <w:bookmarkStart w:id="147" w:name="_Toc513658022"/>
      <w:bookmarkStart w:id="148" w:name="m501"/>
      <w:bookmarkStart w:id="149" w:name="_Toc490050042"/>
      <w:bookmarkStart w:id="150" w:name="_Toc438646477"/>
      <w:bookmarkStart w:id="151" w:name="_Toc481075089"/>
      <w:bookmarkStart w:id="152" w:name="_Toc512519521"/>
      <w:bookmarkStart w:id="153" w:name="m601"/>
      <w:proofErr w:type="spellStart"/>
      <w:r>
        <w:rPr>
          <w:rFonts w:hint="eastAsia"/>
        </w:rPr>
        <w:t>报告期末基金资产组合情况</w:t>
      </w:r>
      <w:bookmarkEnd w:id="138"/>
      <w:bookmarkEnd w:id="139"/>
      <w:bookmarkEnd w:id="140"/>
      <w:bookmarkEnd w:id="141"/>
      <w:bookmarkEnd w:id="142"/>
      <w:bookmarkEnd w:id="143"/>
      <w:proofErr w:type="spellEnd"/>
      <w:r>
        <w:rPr>
          <w:rFonts w:hint="eastAsia"/>
        </w:rPr>
        <w:t xml:space="preserve"> </w:t>
      </w:r>
      <w:bookmarkEnd w:id="144"/>
      <w:bookmarkEnd w:id="145"/>
      <w:bookmarkEnd w:id="146"/>
      <w:bookmarkEnd w:id="147"/>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0FF9" w:rsidRDefault="0070267B">
            <w:pPr>
              <w:jc w:val="center"/>
            </w:pPr>
            <w:bookmarkStart w:id="154" w:name="m08QD_01_tab"/>
            <w:bookmarkStart w:id="155" w:name="OLE_LINK46"/>
            <w:bookmarkStart w:id="156" w:name="OLE_LINK45"/>
            <w:bookmarkStart w:id="157" w:name="OLE_LINK42"/>
            <w:bookmarkStart w:id="158" w:name="OLE_LINK41"/>
            <w:bookmarkEnd w:id="154"/>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8C0FF9" w:rsidRDefault="0070267B">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8C0FF9" w:rsidRDefault="0070267B">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8C0FF9" w:rsidRDefault="0070267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250,994,853.21</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90.76</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250,994,853.21</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90.76</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23,739,762.03</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8.58</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1,819,893.26</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0.66</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276,554,508.50</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100.00</w:t>
            </w:r>
          </w:p>
        </w:tc>
      </w:tr>
    </w:tbl>
    <w:p w:rsidR="008C0FF9" w:rsidRDefault="0070267B">
      <w:pPr>
        <w:pStyle w:val="XBRLTitle2"/>
        <w:spacing w:before="156" w:line="360" w:lineRule="auto"/>
        <w:ind w:left="454"/>
      </w:pPr>
      <w:bookmarkStart w:id="159" w:name="_Toc459213778"/>
      <w:bookmarkStart w:id="160" w:name="_Toc456107132"/>
      <w:bookmarkStart w:id="161" w:name="_Toc438654087"/>
      <w:bookmarkStart w:id="162" w:name="_Toc448480299"/>
      <w:bookmarkStart w:id="163" w:name="_Toc480465433"/>
      <w:bookmarkStart w:id="164" w:name="_Toc512611295"/>
      <w:bookmarkStart w:id="165" w:name="_Toc512612091"/>
      <w:bookmarkStart w:id="166" w:name="_Toc512612267"/>
      <w:bookmarkStart w:id="167" w:name="_Toc513658023"/>
      <w:bookmarkStart w:id="168" w:name="_Toc514178685"/>
      <w:bookmarkEnd w:id="148"/>
      <w:proofErr w:type="spellStart"/>
      <w:r>
        <w:rPr>
          <w:rFonts w:hint="eastAsia"/>
        </w:rPr>
        <w:t>报告期末在各个国家（地区）证券市场的股票及存托凭证投资分布</w:t>
      </w:r>
      <w:bookmarkEnd w:id="159"/>
      <w:bookmarkEnd w:id="160"/>
      <w:bookmarkEnd w:id="161"/>
      <w:bookmarkEnd w:id="162"/>
      <w:bookmarkEnd w:id="163"/>
      <w:bookmarkEnd w:id="164"/>
      <w:bookmarkEnd w:id="165"/>
      <w:bookmarkEnd w:id="166"/>
      <w:bookmarkEnd w:id="167"/>
      <w:bookmarkEnd w:id="168"/>
      <w:proofErr w:type="spellEnd"/>
      <w:r>
        <w:rPr>
          <w:rFonts w:hint="eastAsia"/>
        </w:rPr>
        <w:t xml:space="preserve"> </w:t>
      </w:r>
    </w:p>
    <w:tbl>
      <w:tblPr>
        <w:tblW w:w="5000" w:type="pct"/>
        <w:tblLook w:val="04A0" w:firstRow="1" w:lastRow="0" w:firstColumn="1" w:lastColumn="0" w:noHBand="0" w:noVBand="1"/>
      </w:tblPr>
      <w:tblGrid>
        <w:gridCol w:w="2032"/>
        <w:gridCol w:w="3621"/>
        <w:gridCol w:w="3182"/>
      </w:tblGrid>
      <w:tr w:rsidR="008C0FF9">
        <w:trPr>
          <w:divId w:val="1506897806"/>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8C0FF9" w:rsidRDefault="0070267B">
            <w:pPr>
              <w:jc w:val="center"/>
            </w:pPr>
            <w:bookmarkStart w:id="169" w:name="m08QD_02"/>
            <w:bookmarkStart w:id="170" w:name="m502_tab"/>
            <w:r>
              <w:rPr>
                <w:rFonts w:ascii="宋体" w:hAnsi="宋体" w:hint="eastAsia"/>
                <w:szCs w:val="21"/>
              </w:rPr>
              <w:lastRenderedPageBreak/>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8C0FF9" w:rsidRDefault="0070267B">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8C0FF9" w:rsidRDefault="0070267B">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201,385,595.11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73.33</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澳大利亚</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18,905,550.82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6.88</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日本</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8,687,788.12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3.16</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英国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7,277,867.55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2.65</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新加坡</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5,770,155.01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2.10</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法国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5,665,900.12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2.06</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3,301,996.48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1.20</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250,994,853.21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91.39</w:t>
            </w:r>
            <w:bookmarkEnd w:id="169"/>
          </w:p>
        </w:tc>
      </w:tr>
    </w:tbl>
    <w:p w:rsidR="008C0FF9" w:rsidRDefault="0070267B">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rsidR="008C0FF9" w:rsidRDefault="0070267B">
      <w:pPr>
        <w:pStyle w:val="XBRLTitle2"/>
        <w:spacing w:before="156" w:line="360" w:lineRule="auto"/>
        <w:ind w:left="454"/>
      </w:pPr>
      <w:bookmarkStart w:id="171" w:name="_Toc459213779"/>
      <w:bookmarkStart w:id="172" w:name="_Toc456107133"/>
      <w:bookmarkStart w:id="173" w:name="_Toc438654088"/>
      <w:bookmarkStart w:id="174" w:name="_Toc448480300"/>
      <w:bookmarkStart w:id="175" w:name="_Toc480465434"/>
      <w:bookmarkStart w:id="176" w:name="_Toc512611296"/>
      <w:bookmarkStart w:id="177" w:name="_Toc512612092"/>
      <w:bookmarkStart w:id="178" w:name="_Toc512612268"/>
      <w:bookmarkStart w:id="179" w:name="_Toc513658024"/>
      <w:bookmarkStart w:id="180" w:name="_Toc514178686"/>
      <w:bookmarkStart w:id="181" w:name="m503"/>
      <w:bookmarkEnd w:id="170"/>
      <w:proofErr w:type="spellStart"/>
      <w:r>
        <w:rPr>
          <w:rFonts w:hint="eastAsia"/>
        </w:rPr>
        <w:t>报告期末按行业分类的股票及存托凭证投资组合</w:t>
      </w:r>
      <w:bookmarkStart w:id="182" w:name="_Toc513637368"/>
      <w:bookmarkEnd w:id="171"/>
      <w:bookmarkEnd w:id="172"/>
      <w:bookmarkEnd w:id="173"/>
      <w:bookmarkEnd w:id="174"/>
      <w:bookmarkEnd w:id="175"/>
      <w:bookmarkEnd w:id="176"/>
      <w:bookmarkEnd w:id="177"/>
      <w:bookmarkEnd w:id="178"/>
      <w:bookmarkEnd w:id="179"/>
      <w:bookmarkEnd w:id="180"/>
      <w:bookmarkEnd w:id="182"/>
      <w:proofErr w:type="spellEnd"/>
      <w:r>
        <w:rPr>
          <w:rFonts w:hint="eastAsia"/>
          <w:lang w:eastAsia="zh-CN"/>
        </w:rPr>
        <w:t xml:space="preserve"> </w:t>
      </w:r>
    </w:p>
    <w:p w:rsidR="008C0FF9" w:rsidRDefault="0070267B">
      <w:pPr>
        <w:pStyle w:val="XBRLTitle3"/>
        <w:spacing w:before="156"/>
        <w:ind w:left="0"/>
      </w:pPr>
      <w:bookmarkStart w:id="183" w:name="_Toc513658025"/>
      <w:bookmarkStart w:id="184" w:name="_Toc514178687"/>
      <w:proofErr w:type="spellStart"/>
      <w:r>
        <w:rPr>
          <w:rFonts w:hint="eastAsia"/>
          <w:kern w:val="0"/>
        </w:rPr>
        <w:t>报告期末指数投资按行业分类的股票及存托凭证投资组合</w:t>
      </w:r>
      <w:bookmarkEnd w:id="183"/>
      <w:bookmarkEnd w:id="184"/>
      <w:proofErr w:type="spellEnd"/>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77"/>
        <w:gridCol w:w="3496"/>
        <w:gridCol w:w="1562"/>
      </w:tblGrid>
      <w:tr w:rsidR="008C0FF9">
        <w:trPr>
          <w:divId w:val="1193763885"/>
        </w:trPr>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C0FF9" w:rsidRDefault="0070267B">
            <w:pPr>
              <w:jc w:val="center"/>
            </w:pPr>
            <w:bookmarkStart w:id="185" w:name="_Toc247616244"/>
            <w:bookmarkStart w:id="186" w:name="_Toc433036708"/>
            <w:bookmarkStart w:id="187" w:name="_Toc247613259"/>
            <w:bookmarkStart w:id="188" w:name="m08QD_03_01_tab"/>
            <w:bookmarkStart w:id="189" w:name="m08QD_03_tab"/>
            <w:bookmarkStart w:id="190" w:name="m08QD_04_01"/>
            <w:r>
              <w:rPr>
                <w:rFonts w:ascii="宋体" w:hAnsi="宋体" w:hint="eastAsia"/>
                <w:color w:val="000000"/>
              </w:rPr>
              <w:t>行业类别</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C0FF9" w:rsidRDefault="0070267B">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C0FF9" w:rsidRDefault="0070267B">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8C0FF9">
        <w:trPr>
          <w:divId w:val="119376388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left"/>
            </w:pPr>
            <w:r>
              <w:rPr>
                <w:rFonts w:ascii="宋体" w:hAnsi="宋体" w:hint="eastAsia"/>
                <w:color w:val="000000"/>
                <w:lang w:eastAsia="zh-Hans"/>
              </w:rPr>
              <w:t>房地产</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right"/>
            </w:pPr>
            <w:r>
              <w:rPr>
                <w:rFonts w:ascii="宋体" w:hAnsi="宋体" w:hint="eastAsia"/>
                <w:color w:val="000000"/>
                <w:lang w:eastAsia="zh-Hans"/>
              </w:rPr>
              <w:t>250,994,853.21</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right"/>
            </w:pPr>
            <w:r>
              <w:rPr>
                <w:rFonts w:ascii="宋体" w:hAnsi="宋体" w:hint="eastAsia"/>
                <w:color w:val="000000"/>
                <w:lang w:eastAsia="zh-Hans"/>
              </w:rPr>
              <w:t>91.39</w:t>
            </w:r>
          </w:p>
        </w:tc>
      </w:tr>
      <w:tr w:rsidR="008C0FF9">
        <w:trPr>
          <w:divId w:val="119376388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center"/>
            </w:pPr>
            <w:r>
              <w:rPr>
                <w:rFonts w:ascii="宋体" w:hAnsi="宋体" w:hint="eastAsia"/>
              </w:rPr>
              <w:t>合计</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right"/>
            </w:pPr>
            <w:r>
              <w:rPr>
                <w:rFonts w:ascii="宋体" w:hAnsi="宋体" w:hint="eastAsia"/>
                <w:color w:val="000000"/>
                <w:lang w:eastAsia="zh-Hans"/>
              </w:rPr>
              <w:t>250,994,853.21</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right"/>
            </w:pPr>
            <w:r>
              <w:rPr>
                <w:rFonts w:ascii="宋体" w:hAnsi="宋体" w:hint="eastAsia"/>
                <w:color w:val="000000"/>
                <w:lang w:eastAsia="zh-Hans"/>
              </w:rPr>
              <w:t>91.39</w:t>
            </w:r>
            <w:bookmarkEnd w:id="185"/>
            <w:bookmarkEnd w:id="186"/>
            <w:bookmarkEnd w:id="187"/>
          </w:p>
        </w:tc>
      </w:tr>
    </w:tbl>
    <w:bookmarkEnd w:id="188"/>
    <w:bookmarkEnd w:id="189"/>
    <w:p w:rsidR="008C0FF9" w:rsidRDefault="0070267B">
      <w:pPr>
        <w:widowControl/>
        <w:spacing w:line="315" w:lineRule="atLeast"/>
        <w:divId w:val="1109423645"/>
      </w:pPr>
      <w:r>
        <w:rPr>
          <w:rFonts w:ascii="宋体" w:hAnsi="宋体" w:cs="宋体" w:hint="eastAsia"/>
          <w:color w:val="000000"/>
          <w:kern w:val="0"/>
          <w:szCs w:val="21"/>
        </w:rPr>
        <w:t>注：以上分类采用全球行业分类标准(GICS)。</w:t>
      </w:r>
    </w:p>
    <w:p w:rsidR="008C0FF9" w:rsidRDefault="0070267B">
      <w:pPr>
        <w:pStyle w:val="XBRLTitle3"/>
        <w:spacing w:before="156"/>
        <w:ind w:left="0"/>
      </w:pPr>
      <w:bookmarkStart w:id="191" w:name="_Toc513658026"/>
      <w:bookmarkStart w:id="192" w:name="_Toc514178688"/>
      <w:proofErr w:type="spellStart"/>
      <w:r>
        <w:rPr>
          <w:rFonts w:hint="eastAsia"/>
          <w:kern w:val="0"/>
        </w:rPr>
        <w:t>报告期末积极投资按行业分类的股票及存托凭证投资组合</w:t>
      </w:r>
      <w:bookmarkEnd w:id="191"/>
      <w:bookmarkEnd w:id="192"/>
      <w:proofErr w:type="spellEnd"/>
      <w:r>
        <w:rPr>
          <w:rFonts w:hint="eastAsia"/>
        </w:rPr>
        <w:t xml:space="preserve"> </w:t>
      </w:r>
    </w:p>
    <w:p w:rsidR="008C0FF9" w:rsidRDefault="0070267B">
      <w:pPr>
        <w:widowControl/>
        <w:spacing w:line="315" w:lineRule="atLeast"/>
        <w:ind w:firstLineChars="200" w:firstLine="420"/>
        <w:divId w:val="1379821322"/>
      </w:pPr>
      <w:r>
        <w:rPr>
          <w:rFonts w:ascii="宋体" w:hAnsi="宋体" w:cs="宋体" w:hint="eastAsia"/>
          <w:color w:val="000000"/>
          <w:kern w:val="0"/>
          <w:szCs w:val="21"/>
        </w:rPr>
        <w:t>本基金本报告期末未持有积极投资股票。</w:t>
      </w:r>
    </w:p>
    <w:p w:rsidR="008C0FF9" w:rsidRDefault="0070267B">
      <w:pPr>
        <w:pStyle w:val="XBRLTitle2"/>
        <w:spacing w:before="156" w:line="360" w:lineRule="auto"/>
        <w:ind w:left="454"/>
      </w:pPr>
      <w:bookmarkStart w:id="193" w:name="_Toc459213780"/>
      <w:bookmarkStart w:id="194" w:name="_Toc456107134"/>
      <w:bookmarkStart w:id="195" w:name="_Toc438654089"/>
      <w:bookmarkStart w:id="196" w:name="_Toc448480301"/>
      <w:bookmarkStart w:id="197" w:name="_Toc480465435"/>
      <w:bookmarkStart w:id="198" w:name="_Toc512611297"/>
      <w:bookmarkStart w:id="199" w:name="_Toc512612093"/>
      <w:bookmarkStart w:id="200" w:name="_Toc512612269"/>
      <w:bookmarkStart w:id="201" w:name="_Toc513658027"/>
      <w:bookmarkStart w:id="202" w:name="_Toc514178689"/>
      <w:bookmarkEnd w:id="181"/>
      <w:proofErr w:type="spellStart"/>
      <w:r>
        <w:rPr>
          <w:rFonts w:hint="eastAsia"/>
        </w:rPr>
        <w:t>期末按公允价值占基金资产净值比例大小排序的权益投资明细</w:t>
      </w:r>
      <w:bookmarkStart w:id="203" w:name="_Toc513637371"/>
      <w:bookmarkEnd w:id="193"/>
      <w:bookmarkEnd w:id="194"/>
      <w:bookmarkEnd w:id="195"/>
      <w:bookmarkEnd w:id="196"/>
      <w:bookmarkEnd w:id="197"/>
      <w:bookmarkEnd w:id="198"/>
      <w:bookmarkEnd w:id="199"/>
      <w:bookmarkEnd w:id="200"/>
      <w:bookmarkEnd w:id="201"/>
      <w:bookmarkEnd w:id="202"/>
      <w:bookmarkEnd w:id="203"/>
      <w:proofErr w:type="spellEnd"/>
      <w:r>
        <w:rPr>
          <w:rFonts w:hint="eastAsia"/>
        </w:rPr>
        <w:t xml:space="preserve"> </w:t>
      </w:r>
    </w:p>
    <w:p w:rsidR="008C0FF9" w:rsidRDefault="0070267B">
      <w:pPr>
        <w:pStyle w:val="XBRLTitle3"/>
        <w:spacing w:before="156"/>
        <w:ind w:left="0"/>
      </w:pPr>
      <w:bookmarkStart w:id="204" w:name="_Toc513658028"/>
      <w:bookmarkStart w:id="205" w:name="_Toc514178690"/>
      <w:proofErr w:type="spellStart"/>
      <w:r>
        <w:rPr>
          <w:rFonts w:hint="eastAsia"/>
        </w:rPr>
        <w:t>报告期末指数投资按公允价值占基金资产净值比例大小排序的前十名股票及存托凭证投资明细</w:t>
      </w:r>
      <w:bookmarkEnd w:id="204"/>
      <w:bookmarkEnd w:id="205"/>
      <w:proofErr w:type="spellEnd"/>
      <w:r>
        <w:rPr>
          <w:rFonts w:hint="eastAsia"/>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161"/>
        <w:gridCol w:w="1183"/>
        <w:gridCol w:w="842"/>
        <w:gridCol w:w="906"/>
        <w:gridCol w:w="821"/>
        <w:gridCol w:w="799"/>
        <w:gridCol w:w="1474"/>
        <w:gridCol w:w="934"/>
      </w:tblGrid>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bookmarkStart w:id="206" w:name="m08QD_04_01_tab"/>
            <w:bookmarkStart w:id="207" w:name="_Toc433036709"/>
            <w:bookmarkStart w:id="208" w:name="_Toc247616246"/>
            <w:bookmarkStart w:id="209" w:name="_Toc458182097"/>
            <w:bookmarkStart w:id="210" w:name="_Toc443558285"/>
            <w:r>
              <w:rPr>
                <w:rFonts w:ascii="宋体" w:hAnsi="宋体" w:hint="eastAsia"/>
              </w:rPr>
              <w:t>序号</w:t>
            </w:r>
            <w:r>
              <w:rPr>
                <w:rFonts w:ascii="宋体" w:hAnsi="宋体" w:hint="eastAsia"/>
                <w:lang w:eastAsia="zh-Han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证券代码</w:t>
            </w:r>
            <w:r>
              <w:rPr>
                <w:rFonts w:ascii="宋体" w:hAnsi="宋体" w:hint="eastAsia"/>
                <w:lang w:eastAsia="zh-Han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所在证券市场</w:t>
            </w:r>
            <w:r>
              <w:rPr>
                <w:rFonts w:ascii="宋体" w:hAnsi="宋体" w:hint="eastAsia"/>
                <w:lang w:eastAsia="zh-Hans"/>
              </w:rPr>
              <w:t xml:space="preserve"> </w:t>
            </w:r>
          </w:p>
        </w:tc>
        <w:tc>
          <w:tcPr>
            <w:tcW w:w="7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所属国家（地区）</w:t>
            </w:r>
            <w:r>
              <w:rPr>
                <w:rFonts w:ascii="宋体" w:hAnsi="宋体" w:hint="eastAsia"/>
                <w:lang w:eastAsia="zh-Hans"/>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 xml:space="preserve">公允价值（人民币元）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占基金资产净值比例</w:t>
            </w:r>
            <w:r>
              <w:rPr>
                <w:rFonts w:ascii="宋体" w:hAnsi="宋体" w:hint="eastAsia"/>
                <w:lang w:eastAsia="zh-Hans"/>
              </w:rPr>
              <w:t xml:space="preserve">(%) </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1</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WELLTOWER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proofErr w:type="spellStart"/>
            <w:r>
              <w:rPr>
                <w:rFonts w:ascii="宋体" w:hAnsi="宋体" w:hint="eastAsia"/>
                <w:color w:val="000000"/>
                <w:lang w:eastAsia="zh-Hans"/>
              </w:rPr>
              <w:t>Welltower</w:t>
            </w:r>
            <w:proofErr w:type="spellEnd"/>
            <w:r>
              <w:rPr>
                <w:rFonts w:ascii="宋体" w:hAnsi="宋体" w:hint="eastAsia"/>
                <w:color w:val="000000"/>
                <w:lang w:eastAsia="zh-Hans"/>
              </w:rPr>
              <w:t>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WELL</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23,441</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25,779,755.97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9</w:t>
            </w:r>
            <w:r w:rsidR="00292576">
              <w:rPr>
                <w:rFonts w:ascii="宋体" w:hAnsi="宋体"/>
                <w:color w:val="000000"/>
                <w:lang w:eastAsia="zh-Hans"/>
              </w:rPr>
              <w:t>.</w:t>
            </w:r>
            <w:r>
              <w:rPr>
                <w:rFonts w:ascii="宋体" w:hAnsi="宋体" w:hint="eastAsia"/>
                <w:color w:val="000000"/>
                <w:lang w:eastAsia="zh-Hans"/>
              </w:rPr>
              <w:t>39</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2</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PROLOGIS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安博</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PLD</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31,640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25,389,548.94</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9</w:t>
            </w:r>
            <w:r w:rsidR="00292576">
              <w:rPr>
                <w:rFonts w:ascii="宋体" w:hAnsi="宋体"/>
                <w:color w:val="000000"/>
                <w:lang w:eastAsia="zh-Hans"/>
              </w:rPr>
              <w:t>.</w:t>
            </w:r>
            <w:r>
              <w:rPr>
                <w:rFonts w:ascii="宋体" w:hAnsi="宋体" w:hint="eastAsia"/>
                <w:color w:val="000000"/>
                <w:lang w:eastAsia="zh-Hans"/>
              </w:rPr>
              <w:t>24</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EQUINIX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proofErr w:type="spellStart"/>
            <w:r>
              <w:rPr>
                <w:rFonts w:ascii="宋体" w:hAnsi="宋体" w:hint="eastAsia"/>
                <w:color w:val="000000"/>
                <w:lang w:eastAsia="zh-Hans"/>
              </w:rPr>
              <w:t>Equinix</w:t>
            </w:r>
            <w:proofErr w:type="spellEnd"/>
            <w:r>
              <w:rPr>
                <w:rFonts w:ascii="宋体" w:hAnsi="宋体" w:hint="eastAsia"/>
                <w:color w:val="000000"/>
                <w:lang w:eastAsia="zh-Hans"/>
              </w:rPr>
              <w:t>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EQIX</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3,666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21,456,164.53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7</w:t>
            </w:r>
            <w:r w:rsidR="00292576">
              <w:rPr>
                <w:rFonts w:ascii="宋体" w:hAnsi="宋体"/>
                <w:color w:val="000000"/>
                <w:lang w:eastAsia="zh-Hans"/>
              </w:rPr>
              <w:t>.</w:t>
            </w:r>
            <w:r>
              <w:rPr>
                <w:rFonts w:ascii="宋体" w:hAnsi="宋体" w:hint="eastAsia"/>
                <w:color w:val="000000"/>
                <w:lang w:eastAsia="zh-Hans"/>
              </w:rPr>
              <w:t>81</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 xml:space="preserve">SIMON PROPERTY </w:t>
            </w:r>
            <w:r>
              <w:rPr>
                <w:rFonts w:ascii="宋体" w:hAnsi="宋体" w:hint="eastAsia"/>
                <w:color w:val="000000"/>
                <w:lang w:eastAsia="zh-Hans"/>
              </w:rPr>
              <w:lastRenderedPageBreak/>
              <w:t>GROUP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lastRenderedPageBreak/>
              <w:t>西蒙房地产集团公</w:t>
            </w:r>
            <w:r>
              <w:rPr>
                <w:rFonts w:ascii="宋体" w:hAnsi="宋体" w:hint="eastAsia"/>
                <w:color w:val="000000"/>
                <w:lang w:eastAsia="zh-Hans"/>
              </w:rPr>
              <w:lastRenderedPageBreak/>
              <w:t>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lastRenderedPageBreak/>
              <w:t>SPG</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w:t>
            </w:r>
            <w:r>
              <w:rPr>
                <w:rFonts w:ascii="宋体" w:hAnsi="宋体" w:hint="eastAsia"/>
                <w:color w:val="000000"/>
                <w:lang w:eastAsia="zh-Hans"/>
              </w:rPr>
              <w:lastRenderedPageBreak/>
              <w:t>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lastRenderedPageBreak/>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12,303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14,667,088.58</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5</w:t>
            </w:r>
            <w:r w:rsidR="00292576">
              <w:rPr>
                <w:rFonts w:ascii="宋体" w:hAnsi="宋体"/>
                <w:color w:val="000000"/>
                <w:lang w:eastAsia="zh-Hans"/>
              </w:rPr>
              <w:t>.</w:t>
            </w:r>
            <w:r>
              <w:rPr>
                <w:rFonts w:ascii="宋体" w:hAnsi="宋体" w:hint="eastAsia"/>
                <w:color w:val="000000"/>
                <w:lang w:eastAsia="zh-Hans"/>
              </w:rPr>
              <w:t>34</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5</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REALTY INCOME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Realty Income公司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O</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33,144</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13,801,406.27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5</w:t>
            </w:r>
            <w:r w:rsidR="00292576">
              <w:rPr>
                <w:rFonts w:ascii="宋体" w:hAnsi="宋体"/>
                <w:color w:val="000000"/>
                <w:lang w:eastAsia="zh-Hans"/>
              </w:rPr>
              <w:t>.</w:t>
            </w:r>
            <w:r>
              <w:rPr>
                <w:rFonts w:ascii="宋体" w:hAnsi="宋体" w:hint="eastAsia"/>
                <w:color w:val="000000"/>
                <w:lang w:eastAsia="zh-Hans"/>
              </w:rPr>
              <w:t>03</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DIGITAL REALTY TRUST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数字房地产信托有限公司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DLR</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12,601</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12,960,938.47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4</w:t>
            </w:r>
            <w:r w:rsidR="00292576">
              <w:rPr>
                <w:rFonts w:ascii="宋体" w:hAnsi="宋体"/>
                <w:color w:val="000000"/>
                <w:lang w:eastAsia="zh-Hans"/>
              </w:rPr>
              <w:t>.</w:t>
            </w:r>
            <w:r>
              <w:rPr>
                <w:rFonts w:ascii="宋体" w:hAnsi="宋体" w:hint="eastAsia"/>
                <w:color w:val="000000"/>
                <w:lang w:eastAsia="zh-Hans"/>
              </w:rPr>
              <w:t>72</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7</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PUBLIC STORAGE</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公共存储</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PSA</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6,014</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12,920,257.96</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4</w:t>
            </w:r>
            <w:r w:rsidR="00292576">
              <w:rPr>
                <w:rFonts w:ascii="宋体" w:hAnsi="宋体"/>
                <w:color w:val="000000"/>
                <w:lang w:eastAsia="zh-Hans"/>
              </w:rPr>
              <w:t>.</w:t>
            </w:r>
            <w:r>
              <w:rPr>
                <w:rFonts w:ascii="宋体" w:hAnsi="宋体" w:hint="eastAsia"/>
                <w:color w:val="000000"/>
                <w:lang w:eastAsia="zh-Hans"/>
              </w:rPr>
              <w:t>7</w:t>
            </w:r>
            <w:r w:rsidR="00292576">
              <w:rPr>
                <w:rFonts w:ascii="宋体" w:hAnsi="宋体"/>
                <w:color w:val="000000"/>
                <w:lang w:eastAsia="zh-Hans"/>
              </w:rPr>
              <w:t>0</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8</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GOODMAN GROUP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嘉民集团</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GMG</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澳大利亚证券交易所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澳大利亚</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75,431</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9,708,166.57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3</w:t>
            </w:r>
            <w:r w:rsidR="00292576">
              <w:rPr>
                <w:rFonts w:ascii="宋体" w:hAnsi="宋体"/>
                <w:color w:val="000000"/>
                <w:lang w:eastAsia="zh-Hans"/>
              </w:rPr>
              <w:t>.</w:t>
            </w:r>
            <w:r>
              <w:rPr>
                <w:rFonts w:ascii="宋体" w:hAnsi="宋体" w:hint="eastAsia"/>
                <w:color w:val="000000"/>
                <w:lang w:eastAsia="zh-Hans"/>
              </w:rPr>
              <w:t>53</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9</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VICI PROPERTIES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VICI Properties股份有限公司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VICI</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36,702</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8,593,879.15</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3</w:t>
            </w:r>
            <w:r w:rsidR="00292576">
              <w:rPr>
                <w:rFonts w:ascii="宋体" w:hAnsi="宋体"/>
                <w:color w:val="000000"/>
                <w:lang w:eastAsia="zh-Hans"/>
              </w:rPr>
              <w:t>.</w:t>
            </w:r>
            <w:r>
              <w:rPr>
                <w:rFonts w:ascii="宋体" w:hAnsi="宋体" w:hint="eastAsia"/>
                <w:color w:val="000000"/>
                <w:lang w:eastAsia="zh-Hans"/>
              </w:rPr>
              <w:t>13</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10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EXTRA SPACE STORAGE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Extra Space Storage有限公司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EXR</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7,953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8,477,030.47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3</w:t>
            </w:r>
            <w:r w:rsidR="00292576">
              <w:rPr>
                <w:rFonts w:ascii="宋体" w:hAnsi="宋体"/>
                <w:color w:val="000000"/>
                <w:lang w:eastAsia="zh-Hans"/>
              </w:rPr>
              <w:t>.</w:t>
            </w:r>
            <w:bookmarkStart w:id="211" w:name="_GoBack"/>
            <w:bookmarkEnd w:id="211"/>
            <w:r>
              <w:rPr>
                <w:rFonts w:ascii="宋体" w:hAnsi="宋体" w:hint="eastAsia"/>
                <w:color w:val="000000"/>
                <w:lang w:eastAsia="zh-Hans"/>
              </w:rPr>
              <w:t>09</w:t>
            </w:r>
          </w:p>
        </w:tc>
      </w:tr>
    </w:tbl>
    <w:p w:rsidR="008C0FF9" w:rsidRDefault="0070267B">
      <w:pPr>
        <w:spacing w:line="360" w:lineRule="auto"/>
        <w:divId w:val="1426656467"/>
      </w:pPr>
      <w:bookmarkStart w:id="212" w:name="m07_04_07_02"/>
      <w:bookmarkEnd w:id="206"/>
      <w:r>
        <w:rPr>
          <w:rFonts w:ascii="宋体" w:hAnsi="宋体" w:hint="eastAsia"/>
          <w:kern w:val="0"/>
          <w:szCs w:val="21"/>
        </w:rPr>
        <w:t>注：</w:t>
      </w:r>
      <w:r>
        <w:rPr>
          <w:rFonts w:ascii="宋体" w:hAnsi="宋体" w:hint="eastAsia"/>
          <w:lang w:eastAsia="zh-Hans"/>
        </w:rPr>
        <w:t>此处所用证券代码的类别是当地市场代码。</w:t>
      </w:r>
      <w:bookmarkEnd w:id="190"/>
      <w:bookmarkEnd w:id="207"/>
      <w:bookmarkEnd w:id="208"/>
      <w:bookmarkEnd w:id="209"/>
      <w:bookmarkEnd w:id="210"/>
    </w:p>
    <w:p w:rsidR="008C0FF9" w:rsidRDefault="0070267B">
      <w:pPr>
        <w:pStyle w:val="XBRLTitle3"/>
        <w:spacing w:before="156"/>
        <w:ind w:left="0"/>
      </w:pPr>
      <w:bookmarkStart w:id="213" w:name="_Toc513658029"/>
      <w:bookmarkStart w:id="214" w:name="_Toc514178691"/>
      <w:proofErr w:type="spellStart"/>
      <w:r>
        <w:rPr>
          <w:rFonts w:hint="eastAsia"/>
        </w:rPr>
        <w:t>报告期末积极投资按公允价值占基金资产净值比例大小排序的前五名股票及存托凭证投资明细</w:t>
      </w:r>
      <w:bookmarkEnd w:id="213"/>
      <w:bookmarkEnd w:id="214"/>
      <w:proofErr w:type="spellEnd"/>
      <w:r>
        <w:rPr>
          <w:rFonts w:hint="eastAsia"/>
        </w:rPr>
        <w:t xml:space="preserve"> </w:t>
      </w:r>
    </w:p>
    <w:p w:rsidR="008C0FF9" w:rsidRDefault="0070267B">
      <w:pPr>
        <w:spacing w:line="360" w:lineRule="auto"/>
        <w:ind w:firstLineChars="200" w:firstLine="420"/>
        <w:jc w:val="left"/>
      </w:pPr>
      <w:r>
        <w:rPr>
          <w:rFonts w:ascii="宋体" w:hAnsi="宋体" w:hint="eastAsia"/>
        </w:rPr>
        <w:t>本基金本报告期末未持有积极投资股票。</w:t>
      </w:r>
    </w:p>
    <w:p w:rsidR="008C0FF9" w:rsidRDefault="0070267B">
      <w:pPr>
        <w:pStyle w:val="XBRLTitle2"/>
        <w:spacing w:before="156" w:line="360" w:lineRule="auto"/>
        <w:ind w:left="454"/>
      </w:pPr>
      <w:bookmarkStart w:id="215" w:name="_Toc459213781"/>
      <w:bookmarkStart w:id="216" w:name="_Toc456107135"/>
      <w:bookmarkStart w:id="217" w:name="_Toc438654090"/>
      <w:bookmarkStart w:id="218" w:name="_Toc448480302"/>
      <w:bookmarkStart w:id="219" w:name="_Toc480465436"/>
      <w:bookmarkStart w:id="220" w:name="_Toc512611298"/>
      <w:bookmarkStart w:id="221" w:name="_Toc512612094"/>
      <w:bookmarkStart w:id="222" w:name="_Toc512612270"/>
      <w:bookmarkStart w:id="223" w:name="_Toc513658030"/>
      <w:bookmarkStart w:id="224" w:name="_Toc514178692"/>
      <w:bookmarkStart w:id="225" w:name="m505"/>
      <w:proofErr w:type="spellStart"/>
      <w:r>
        <w:rPr>
          <w:rFonts w:hint="eastAsia"/>
        </w:rPr>
        <w:t>报告期末按债券信用等级分类的债券投资组合</w:t>
      </w:r>
      <w:bookmarkEnd w:id="215"/>
      <w:bookmarkEnd w:id="216"/>
      <w:bookmarkEnd w:id="217"/>
      <w:bookmarkEnd w:id="218"/>
      <w:bookmarkEnd w:id="219"/>
      <w:bookmarkEnd w:id="220"/>
      <w:bookmarkEnd w:id="221"/>
      <w:bookmarkEnd w:id="222"/>
      <w:bookmarkEnd w:id="223"/>
      <w:bookmarkEnd w:id="224"/>
      <w:proofErr w:type="spellEnd"/>
      <w:r>
        <w:rPr>
          <w:rFonts w:hint="eastAsia"/>
        </w:rPr>
        <w:t xml:space="preserve"> </w:t>
      </w:r>
    </w:p>
    <w:p w:rsidR="008C0FF9" w:rsidRDefault="0070267B">
      <w:pPr>
        <w:spacing w:line="360" w:lineRule="auto"/>
        <w:ind w:firstLineChars="200" w:firstLine="420"/>
        <w:jc w:val="left"/>
      </w:pPr>
      <w:r>
        <w:rPr>
          <w:rFonts w:ascii="宋体" w:hAnsi="宋体" w:hint="eastAsia"/>
        </w:rPr>
        <w:t>本基金本报告期末未持有债券。</w:t>
      </w:r>
    </w:p>
    <w:p w:rsidR="008C0FF9" w:rsidRDefault="0070267B">
      <w:pPr>
        <w:pStyle w:val="XBRLTitle2"/>
        <w:spacing w:before="156" w:line="360" w:lineRule="auto"/>
        <w:ind w:left="454"/>
      </w:pPr>
      <w:bookmarkStart w:id="226" w:name="_Toc459213782"/>
      <w:bookmarkStart w:id="227" w:name="_Toc456107136"/>
      <w:bookmarkStart w:id="228" w:name="_Toc438654091"/>
      <w:bookmarkStart w:id="229" w:name="_Toc448480303"/>
      <w:bookmarkStart w:id="230" w:name="_Toc480465437"/>
      <w:bookmarkStart w:id="231" w:name="_Toc514178693"/>
      <w:bookmarkStart w:id="232" w:name="_Toc512611299"/>
      <w:bookmarkStart w:id="233" w:name="_Toc512612095"/>
      <w:bookmarkStart w:id="234" w:name="_Toc512612271"/>
      <w:bookmarkStart w:id="235" w:name="_Toc513658031"/>
      <w:bookmarkStart w:id="236" w:name="m506"/>
      <w:bookmarkEnd w:id="225"/>
      <w:proofErr w:type="spellStart"/>
      <w:r>
        <w:rPr>
          <w:rFonts w:hint="eastAsia"/>
        </w:rPr>
        <w:t>报告期末按公允价值占基金资产净值比例大小排名的前五名债券投资明细</w:t>
      </w:r>
      <w:bookmarkEnd w:id="226"/>
      <w:bookmarkEnd w:id="227"/>
      <w:bookmarkEnd w:id="228"/>
      <w:bookmarkEnd w:id="229"/>
      <w:bookmarkEnd w:id="230"/>
      <w:bookmarkEnd w:id="231"/>
      <w:proofErr w:type="spellEnd"/>
      <w:r>
        <w:rPr>
          <w:rFonts w:hint="eastAsia"/>
        </w:rPr>
        <w:t xml:space="preserve"> </w:t>
      </w:r>
      <w:bookmarkEnd w:id="232"/>
      <w:bookmarkEnd w:id="233"/>
      <w:bookmarkEnd w:id="234"/>
      <w:bookmarkEnd w:id="235"/>
    </w:p>
    <w:p w:rsidR="008C0FF9" w:rsidRDefault="0070267B">
      <w:pPr>
        <w:spacing w:line="360" w:lineRule="auto"/>
        <w:ind w:firstLineChars="200" w:firstLine="420"/>
        <w:jc w:val="left"/>
        <w:divId w:val="1933784094"/>
      </w:pPr>
      <w:r>
        <w:rPr>
          <w:rFonts w:ascii="宋体" w:hAnsi="宋体" w:hint="eastAsia"/>
          <w:color w:val="000000"/>
          <w:szCs w:val="21"/>
          <w:lang w:eastAsia="zh-Hans"/>
        </w:rPr>
        <w:t>本基金本报告期末未持有债券。</w:t>
      </w:r>
    </w:p>
    <w:p w:rsidR="008C0FF9" w:rsidRDefault="0070267B">
      <w:pPr>
        <w:pStyle w:val="XBRLTitle2"/>
        <w:spacing w:before="156" w:line="360" w:lineRule="auto"/>
        <w:ind w:left="454"/>
      </w:pPr>
      <w:bookmarkStart w:id="237" w:name="_Toc459213783"/>
      <w:bookmarkStart w:id="238" w:name="_Toc456107137"/>
      <w:bookmarkStart w:id="239" w:name="_Toc438654092"/>
      <w:bookmarkStart w:id="240" w:name="_Toc448480304"/>
      <w:bookmarkStart w:id="241" w:name="_Toc480465438"/>
      <w:bookmarkStart w:id="242" w:name="_Toc514178694"/>
      <w:bookmarkStart w:id="243" w:name="_Toc512611300"/>
      <w:bookmarkStart w:id="244" w:name="_Toc512612096"/>
      <w:bookmarkStart w:id="245" w:name="_Toc512612272"/>
      <w:bookmarkStart w:id="246" w:name="_Toc513658032"/>
      <w:bookmarkStart w:id="247" w:name="m507"/>
      <w:bookmarkEnd w:id="236"/>
      <w:proofErr w:type="spellStart"/>
      <w:r>
        <w:rPr>
          <w:rFonts w:hint="eastAsia"/>
        </w:rPr>
        <w:t>报告期末按公允价值占基金资产净值比例大小排名的前十名资产支持证券投资明细</w:t>
      </w:r>
      <w:bookmarkEnd w:id="237"/>
      <w:bookmarkEnd w:id="238"/>
      <w:bookmarkEnd w:id="239"/>
      <w:bookmarkEnd w:id="240"/>
      <w:bookmarkEnd w:id="241"/>
      <w:bookmarkEnd w:id="242"/>
      <w:proofErr w:type="spellEnd"/>
      <w:r>
        <w:rPr>
          <w:rFonts w:hint="eastAsia"/>
        </w:rPr>
        <w:t xml:space="preserve"> </w:t>
      </w:r>
      <w:bookmarkEnd w:id="243"/>
      <w:bookmarkEnd w:id="244"/>
      <w:bookmarkEnd w:id="245"/>
      <w:bookmarkEnd w:id="246"/>
    </w:p>
    <w:p w:rsidR="008C0FF9" w:rsidRDefault="0070267B">
      <w:pPr>
        <w:spacing w:line="360" w:lineRule="auto"/>
        <w:ind w:firstLineChars="200" w:firstLine="420"/>
        <w:jc w:val="left"/>
        <w:divId w:val="2104371135"/>
      </w:pPr>
      <w:r>
        <w:rPr>
          <w:rFonts w:ascii="宋体" w:hAnsi="宋体" w:hint="eastAsia"/>
          <w:color w:val="000000"/>
          <w:szCs w:val="21"/>
          <w:lang w:eastAsia="zh-Hans"/>
        </w:rPr>
        <w:t>本基金本报告期末未持有资产支持证券。</w:t>
      </w:r>
    </w:p>
    <w:p w:rsidR="008C0FF9" w:rsidRDefault="0070267B">
      <w:pPr>
        <w:pStyle w:val="XBRLTitle2"/>
        <w:spacing w:before="156" w:line="360" w:lineRule="auto"/>
        <w:ind w:left="454"/>
      </w:pPr>
      <w:bookmarkStart w:id="248" w:name="_Toc448480305"/>
      <w:bookmarkStart w:id="249" w:name="_Toc438654093"/>
      <w:bookmarkStart w:id="250" w:name="_Toc456107138"/>
      <w:bookmarkStart w:id="251" w:name="_Toc459213784"/>
      <w:bookmarkStart w:id="252" w:name="_Toc480465439"/>
      <w:bookmarkStart w:id="253" w:name="_Toc514178695"/>
      <w:bookmarkStart w:id="254" w:name="_Toc512611301"/>
      <w:bookmarkStart w:id="255" w:name="_Toc512612097"/>
      <w:bookmarkStart w:id="256" w:name="_Toc512612273"/>
      <w:bookmarkStart w:id="257" w:name="_Toc513658033"/>
      <w:bookmarkStart w:id="258" w:name="m508"/>
      <w:bookmarkEnd w:id="247"/>
      <w:proofErr w:type="spellStart"/>
      <w:r>
        <w:rPr>
          <w:rFonts w:hint="eastAsia"/>
        </w:rPr>
        <w:t>报告期末按公允价值占基金资产净值比例大小排名的前五名金融衍生品投资明细</w:t>
      </w:r>
      <w:bookmarkEnd w:id="248"/>
      <w:bookmarkEnd w:id="249"/>
      <w:bookmarkEnd w:id="250"/>
      <w:bookmarkEnd w:id="251"/>
      <w:bookmarkEnd w:id="252"/>
      <w:bookmarkEnd w:id="253"/>
      <w:proofErr w:type="spellEnd"/>
      <w:r>
        <w:rPr>
          <w:rFonts w:hint="eastAsia"/>
        </w:rPr>
        <w:t xml:space="preserve"> </w:t>
      </w:r>
      <w:bookmarkEnd w:id="254"/>
      <w:bookmarkEnd w:id="255"/>
      <w:bookmarkEnd w:id="256"/>
      <w:bookmarkEnd w:id="257"/>
    </w:p>
    <w:p w:rsidR="008C0FF9" w:rsidRDefault="0070267B">
      <w:pPr>
        <w:spacing w:line="360" w:lineRule="auto"/>
        <w:ind w:firstLineChars="200" w:firstLine="420"/>
        <w:divId w:val="1304433296"/>
      </w:pPr>
      <w:bookmarkStart w:id="259"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59"/>
      <w:r>
        <w:rPr>
          <w:rFonts w:ascii="宋体" w:hAnsi="宋体" w:hint="eastAsia"/>
          <w:szCs w:val="24"/>
          <w:lang w:eastAsia="zh-Hans"/>
        </w:rPr>
        <w:t xml:space="preserve"> </w:t>
      </w:r>
    </w:p>
    <w:p w:rsidR="008C0FF9" w:rsidRDefault="0070267B">
      <w:pPr>
        <w:pStyle w:val="XBRLTitle2"/>
        <w:spacing w:before="156" w:line="360" w:lineRule="auto"/>
        <w:ind w:left="454"/>
      </w:pPr>
      <w:bookmarkStart w:id="260" w:name="_Toc448480306"/>
      <w:bookmarkStart w:id="261" w:name="_Toc438654094"/>
      <w:bookmarkStart w:id="262" w:name="_Toc456107139"/>
      <w:bookmarkStart w:id="263" w:name="_Toc459213785"/>
      <w:bookmarkStart w:id="264" w:name="_Toc480465440"/>
      <w:bookmarkStart w:id="265" w:name="_Toc514178696"/>
      <w:bookmarkStart w:id="266" w:name="_Toc512611302"/>
      <w:bookmarkStart w:id="267" w:name="_Toc512612098"/>
      <w:bookmarkStart w:id="268" w:name="_Toc512612274"/>
      <w:bookmarkStart w:id="269" w:name="_Toc513658034"/>
      <w:bookmarkStart w:id="270" w:name="m509"/>
      <w:bookmarkEnd w:id="258"/>
      <w:proofErr w:type="spellStart"/>
      <w:r>
        <w:rPr>
          <w:rFonts w:hint="eastAsia"/>
        </w:rPr>
        <w:lastRenderedPageBreak/>
        <w:t>报告期末按公允价值占基金资产净值比例大小排序的前十名基金投资明细</w:t>
      </w:r>
      <w:bookmarkEnd w:id="260"/>
      <w:bookmarkEnd w:id="261"/>
      <w:bookmarkEnd w:id="262"/>
      <w:bookmarkEnd w:id="263"/>
      <w:bookmarkEnd w:id="264"/>
      <w:bookmarkEnd w:id="265"/>
      <w:proofErr w:type="spellEnd"/>
      <w:r>
        <w:rPr>
          <w:rFonts w:hint="eastAsia"/>
        </w:rPr>
        <w:t xml:space="preserve"> </w:t>
      </w:r>
      <w:bookmarkEnd w:id="266"/>
      <w:bookmarkEnd w:id="267"/>
      <w:bookmarkEnd w:id="268"/>
      <w:bookmarkEnd w:id="269"/>
    </w:p>
    <w:p w:rsidR="008C0FF9" w:rsidRDefault="0070267B">
      <w:pPr>
        <w:spacing w:line="360" w:lineRule="auto"/>
        <w:ind w:firstLineChars="200" w:firstLine="420"/>
      </w:pPr>
      <w:bookmarkStart w:id="271" w:name="m08QD_10"/>
      <w:bookmarkEnd w:id="212"/>
      <w:r>
        <w:rPr>
          <w:rFonts w:ascii="宋体" w:hAnsi="宋体" w:hint="eastAsia"/>
          <w:szCs w:val="21"/>
          <w:lang w:eastAsia="zh-Hans"/>
        </w:rPr>
        <w:t>本基金本报告期末未持有基金。</w:t>
      </w:r>
      <w:r>
        <w:rPr>
          <w:rFonts w:ascii="宋体" w:hAnsi="宋体" w:hint="eastAsia"/>
          <w:lang w:eastAsia="zh-Hans"/>
        </w:rPr>
        <w:t xml:space="preserve"> </w:t>
      </w:r>
      <w:bookmarkEnd w:id="271"/>
      <w:bookmarkEnd w:id="155"/>
      <w:bookmarkEnd w:id="156"/>
      <w:bookmarkEnd w:id="157"/>
      <w:bookmarkEnd w:id="158"/>
    </w:p>
    <w:p w:rsidR="008C0FF9" w:rsidRDefault="0070267B">
      <w:pPr>
        <w:pStyle w:val="XBRLTitle2"/>
        <w:spacing w:before="156" w:line="360" w:lineRule="auto"/>
        <w:ind w:left="454"/>
      </w:pPr>
      <w:bookmarkStart w:id="272" w:name="_Toc448480307"/>
      <w:bookmarkStart w:id="273" w:name="_Toc438654095"/>
      <w:bookmarkStart w:id="274" w:name="_Toc456107140"/>
      <w:bookmarkStart w:id="275" w:name="_Toc459213786"/>
      <w:bookmarkStart w:id="276" w:name="_Toc480465441"/>
      <w:bookmarkStart w:id="277" w:name="_Toc512611303"/>
      <w:bookmarkStart w:id="278" w:name="_Toc512612099"/>
      <w:bookmarkStart w:id="279" w:name="_Toc512612275"/>
      <w:bookmarkStart w:id="280" w:name="_Toc513658035"/>
      <w:bookmarkStart w:id="281" w:name="_Toc514178697"/>
      <w:bookmarkEnd w:id="270"/>
      <w:proofErr w:type="spellStart"/>
      <w:r>
        <w:rPr>
          <w:rFonts w:hint="eastAsia"/>
        </w:rPr>
        <w:t>投资组合报告附注</w:t>
      </w:r>
      <w:bookmarkEnd w:id="272"/>
      <w:bookmarkEnd w:id="273"/>
      <w:bookmarkEnd w:id="274"/>
      <w:bookmarkEnd w:id="275"/>
      <w:bookmarkEnd w:id="276"/>
      <w:bookmarkEnd w:id="277"/>
      <w:bookmarkEnd w:id="278"/>
      <w:bookmarkEnd w:id="279"/>
      <w:bookmarkEnd w:id="280"/>
      <w:bookmarkEnd w:id="281"/>
      <w:proofErr w:type="spellEnd"/>
      <w:r>
        <w:rPr>
          <w:rFonts w:hint="eastAsia"/>
        </w:rPr>
        <w:t xml:space="preserve"> </w:t>
      </w:r>
    </w:p>
    <w:p w:rsidR="008C0FF9" w:rsidRDefault="0070267B">
      <w:pPr>
        <w:pStyle w:val="XBRLTitle3"/>
        <w:spacing w:before="156"/>
        <w:ind w:left="0"/>
      </w:pPr>
      <w:bookmarkStart w:id="282" w:name="m510_01_1597"/>
      <w:r>
        <w:rPr>
          <w:rFonts w:hint="eastAsia"/>
          <w:lang w:eastAsia="zh-CN"/>
        </w:rPr>
        <w:t xml:space="preserve"> </w:t>
      </w:r>
      <w:bookmarkStart w:id="283" w:name="_Toc514088270"/>
      <w:bookmarkStart w:id="284" w:name="_Toc513542671"/>
      <w:bookmarkStart w:id="285" w:name="_Toc480465442"/>
      <w:bookmarkEnd w:id="283"/>
      <w:bookmarkEnd w:id="284"/>
      <w:bookmarkEnd w:id="285"/>
      <w:r>
        <w:rPr>
          <w:rFonts w:hint="eastAsia"/>
        </w:rPr>
        <w:t xml:space="preserve"> </w:t>
      </w:r>
    </w:p>
    <w:p w:rsidR="008C0FF9" w:rsidRDefault="0070267B">
      <w:pPr>
        <w:spacing w:line="360" w:lineRule="auto"/>
        <w:ind w:firstLineChars="200" w:firstLine="420"/>
      </w:pPr>
      <w:r>
        <w:rPr>
          <w:rFonts w:ascii="宋体" w:hAnsi="宋体" w:hint="eastAsia"/>
        </w:rPr>
        <w:t>本基金投资的前十名证券的发行主体</w:t>
      </w:r>
      <w:proofErr w:type="gramStart"/>
      <w:r>
        <w:rPr>
          <w:rFonts w:ascii="宋体" w:hAnsi="宋体" w:hint="eastAsia"/>
        </w:rPr>
        <w:t>本期未</w:t>
      </w:r>
      <w:proofErr w:type="gramEnd"/>
      <w:r>
        <w:rPr>
          <w:rFonts w:ascii="宋体" w:hAnsi="宋体" w:hint="eastAsia"/>
        </w:rPr>
        <w:t>出现被监管部门立案调查，或在报告编制日前一年内受到公开谴责、处罚的情形。</w:t>
      </w:r>
    </w:p>
    <w:p w:rsidR="008C0FF9" w:rsidRDefault="0070267B">
      <w:pPr>
        <w:pStyle w:val="XBRLTitle3"/>
        <w:spacing w:before="156"/>
        <w:ind w:left="0"/>
      </w:pPr>
      <w:bookmarkStart w:id="286" w:name="m510_01_1598"/>
      <w:bookmarkEnd w:id="282"/>
      <w:r>
        <w:rPr>
          <w:rFonts w:hint="eastAsia"/>
          <w:lang w:eastAsia="zh-CN"/>
        </w:rPr>
        <w:t xml:space="preserve"> </w:t>
      </w:r>
      <w:bookmarkStart w:id="287" w:name="_Toc514088271"/>
      <w:bookmarkStart w:id="288" w:name="_Toc513542672"/>
      <w:bookmarkStart w:id="289" w:name="_Toc480465443"/>
      <w:bookmarkEnd w:id="287"/>
      <w:bookmarkEnd w:id="288"/>
      <w:bookmarkEnd w:id="289"/>
      <w:r>
        <w:rPr>
          <w:rFonts w:hint="eastAsia"/>
        </w:rPr>
        <w:t xml:space="preserve"> </w:t>
      </w:r>
    </w:p>
    <w:p w:rsidR="008C0FF9" w:rsidRDefault="0070267B">
      <w:pPr>
        <w:spacing w:line="360" w:lineRule="auto"/>
        <w:ind w:firstLineChars="200" w:firstLine="420"/>
      </w:pPr>
      <w:r>
        <w:rPr>
          <w:rFonts w:ascii="宋体" w:hAnsi="宋体" w:hint="eastAsia"/>
        </w:rPr>
        <w:t>报告期内本基金投资的前十名股票中没有在基金合同规定备选股票库之外的股票。</w:t>
      </w:r>
    </w:p>
    <w:p w:rsidR="008C0FF9" w:rsidRDefault="0070267B">
      <w:pPr>
        <w:pStyle w:val="XBRLTitle3"/>
        <w:spacing w:before="156"/>
        <w:ind w:left="0"/>
      </w:pPr>
      <w:bookmarkStart w:id="290" w:name="_Toc480465444"/>
      <w:bookmarkStart w:id="291" w:name="_Toc514178700"/>
      <w:bookmarkStart w:id="292" w:name="_Toc513658038"/>
      <w:bookmarkStart w:id="293" w:name="m510_02"/>
      <w:bookmarkEnd w:id="286"/>
      <w:proofErr w:type="spellStart"/>
      <w:r>
        <w:rPr>
          <w:rFonts w:hint="eastAsia"/>
        </w:rPr>
        <w:t>其他资产构成</w:t>
      </w:r>
      <w:bookmarkEnd w:id="290"/>
      <w:bookmarkEnd w:id="291"/>
      <w:proofErr w:type="spellEnd"/>
      <w:r>
        <w:rPr>
          <w:rFonts w:hint="eastAsia"/>
        </w:rPr>
        <w:t xml:space="preserve"> </w:t>
      </w:r>
      <w:bookmarkEnd w:id="2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C0FF9">
        <w:trPr>
          <w:divId w:val="46034502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jc w:val="center"/>
            </w:pPr>
            <w:r>
              <w:rPr>
                <w:rFonts w:ascii="宋体" w:hAnsi="宋体" w:hint="eastAsia"/>
              </w:rPr>
              <w:t>金额（人民币元）</w:t>
            </w:r>
            <w:r>
              <w:t xml:space="preserve"> </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698,977.04</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1,120,916.22</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1,819,893.26</w:t>
            </w:r>
          </w:p>
        </w:tc>
      </w:tr>
    </w:tbl>
    <w:p w:rsidR="008C0FF9" w:rsidRDefault="0070267B">
      <w:pPr>
        <w:pStyle w:val="XBRLTitle3"/>
        <w:spacing w:before="156"/>
        <w:ind w:left="0"/>
      </w:pPr>
      <w:bookmarkStart w:id="294" w:name="_Toc480465445"/>
      <w:bookmarkStart w:id="295" w:name="_Toc514178701"/>
      <w:bookmarkStart w:id="296" w:name="_Toc513658039"/>
      <w:bookmarkStart w:id="297" w:name="m510_03"/>
      <w:bookmarkEnd w:id="293"/>
      <w:proofErr w:type="spellStart"/>
      <w:r>
        <w:rPr>
          <w:rFonts w:hint="eastAsia"/>
        </w:rPr>
        <w:t>报告期末持有的处于转股期的可转换债券明细</w:t>
      </w:r>
      <w:bookmarkEnd w:id="294"/>
      <w:bookmarkEnd w:id="295"/>
      <w:proofErr w:type="spellEnd"/>
      <w:r>
        <w:rPr>
          <w:rFonts w:hint="eastAsia"/>
        </w:rPr>
        <w:t xml:space="preserve"> </w:t>
      </w:r>
      <w:bookmarkEnd w:id="296"/>
    </w:p>
    <w:p w:rsidR="008C0FF9" w:rsidRDefault="0070267B">
      <w:pPr>
        <w:spacing w:line="360" w:lineRule="auto"/>
        <w:ind w:firstLineChars="200" w:firstLine="420"/>
        <w:jc w:val="left"/>
        <w:divId w:val="1294407382"/>
      </w:pPr>
      <w:r>
        <w:rPr>
          <w:rFonts w:ascii="宋体" w:hAnsi="宋体" w:hint="eastAsia"/>
        </w:rPr>
        <w:t xml:space="preserve">本基金本报告期末未持有处于转股期的可转换债券。 </w:t>
      </w:r>
    </w:p>
    <w:p w:rsidR="008C0FF9" w:rsidRDefault="0070267B">
      <w:pPr>
        <w:pStyle w:val="XBRLTitle3"/>
        <w:spacing w:before="156"/>
        <w:ind w:left="0"/>
      </w:pPr>
      <w:bookmarkStart w:id="298" w:name="_Toc480465446"/>
      <w:bookmarkStart w:id="299" w:name="_Toc513658040"/>
      <w:bookmarkStart w:id="300" w:name="_Toc514178702"/>
      <w:bookmarkStart w:id="301" w:name="m510_04"/>
      <w:bookmarkEnd w:id="297"/>
      <w:proofErr w:type="spellStart"/>
      <w:r>
        <w:rPr>
          <w:rFonts w:hint="eastAsia"/>
        </w:rPr>
        <w:t>报告期末前十名股票中存在流通受限情况的说明</w:t>
      </w:r>
      <w:bookmarkEnd w:id="298"/>
      <w:bookmarkEnd w:id="299"/>
      <w:bookmarkEnd w:id="300"/>
      <w:proofErr w:type="spellEnd"/>
    </w:p>
    <w:p w:rsidR="008C0FF9" w:rsidRDefault="0070267B">
      <w:pPr>
        <w:pStyle w:val="XBRLTitle4"/>
        <w:numPr>
          <w:ilvl w:val="0"/>
          <w:numId w:val="0"/>
        </w:numPr>
        <w:spacing w:before="156"/>
      </w:pPr>
      <w:bookmarkStart w:id="302" w:name="_Toc513658041"/>
      <w:bookmarkStart w:id="303" w:name="_Toc514178703"/>
      <w:r>
        <w:rPr>
          <w:rFonts w:hint="eastAsia"/>
        </w:rPr>
        <w:t xml:space="preserve">5.10.5.1 </w:t>
      </w:r>
      <w:proofErr w:type="spellStart"/>
      <w:r>
        <w:rPr>
          <w:rFonts w:hint="eastAsia"/>
        </w:rPr>
        <w:t>报告期末指数投资前十名股票中存在流通受限情况的说明</w:t>
      </w:r>
      <w:bookmarkEnd w:id="302"/>
      <w:bookmarkEnd w:id="303"/>
      <w:proofErr w:type="spellEnd"/>
      <w:r>
        <w:rPr>
          <w:rFonts w:hint="eastAsia"/>
        </w:rPr>
        <w:t xml:space="preserve"> </w:t>
      </w:r>
    </w:p>
    <w:p w:rsidR="008C0FF9" w:rsidRDefault="0070267B">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rsidR="008C0FF9" w:rsidRDefault="0070267B">
      <w:pPr>
        <w:pStyle w:val="XBRLTitle4"/>
        <w:numPr>
          <w:ilvl w:val="0"/>
          <w:numId w:val="0"/>
        </w:numPr>
        <w:spacing w:before="156"/>
      </w:pPr>
      <w:bookmarkStart w:id="304" w:name="_Toc513658042"/>
      <w:bookmarkStart w:id="305" w:name="_Toc514178704"/>
      <w:r>
        <w:rPr>
          <w:rFonts w:hint="eastAsia"/>
        </w:rPr>
        <w:t xml:space="preserve">5.10.5.2 </w:t>
      </w:r>
      <w:proofErr w:type="spellStart"/>
      <w:r>
        <w:rPr>
          <w:rFonts w:hint="eastAsia"/>
        </w:rPr>
        <w:t>报告期末积极投资前五名股票中存在流通受限情况的说明</w:t>
      </w:r>
      <w:bookmarkEnd w:id="304"/>
      <w:bookmarkEnd w:id="305"/>
      <w:proofErr w:type="spellEnd"/>
      <w:r>
        <w:rPr>
          <w:rFonts w:hint="eastAsia"/>
        </w:rPr>
        <w:t xml:space="preserve"> </w:t>
      </w:r>
    </w:p>
    <w:p w:rsidR="008C0FF9" w:rsidRDefault="0070267B">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bookmarkEnd w:id="17"/>
    </w:p>
    <w:p w:rsidR="008C0FF9" w:rsidRDefault="0070267B">
      <w:pPr>
        <w:pStyle w:val="XBRLTitle3"/>
        <w:spacing w:before="156"/>
        <w:ind w:left="0"/>
      </w:pPr>
      <w:bookmarkStart w:id="306" w:name="_Toc480465447"/>
      <w:bookmarkStart w:id="307" w:name="_Toc513658043"/>
      <w:bookmarkStart w:id="308" w:name="_Toc514178705"/>
      <w:bookmarkEnd w:id="301"/>
      <w:proofErr w:type="spellStart"/>
      <w:r>
        <w:rPr>
          <w:rFonts w:hint="eastAsia"/>
        </w:rPr>
        <w:t>投资组合报告附注的其他文字描述部分</w:t>
      </w:r>
      <w:bookmarkEnd w:id="306"/>
      <w:bookmarkEnd w:id="307"/>
      <w:bookmarkEnd w:id="308"/>
      <w:proofErr w:type="spellEnd"/>
    </w:p>
    <w:p w:rsidR="008C0FF9" w:rsidRDefault="0070267B">
      <w:pPr>
        <w:spacing w:line="360" w:lineRule="auto"/>
        <w:ind w:firstLineChars="200" w:firstLine="420"/>
        <w:jc w:val="left"/>
      </w:pPr>
      <w:r>
        <w:rPr>
          <w:rFonts w:ascii="宋体" w:hAnsi="宋体" w:hint="eastAsia"/>
        </w:rPr>
        <w:t>因四舍五入原因，投资组合报告中分项之和与合计可能存在尾差。</w:t>
      </w:r>
    </w:p>
    <w:p w:rsidR="008C0FF9" w:rsidRDefault="0070267B">
      <w:pPr>
        <w:pStyle w:val="XBRLTitle1"/>
        <w:spacing w:before="156" w:line="360" w:lineRule="auto"/>
        <w:ind w:left="425"/>
      </w:pPr>
      <w:bookmarkStart w:id="309" w:name="_Toc514178706"/>
      <w:proofErr w:type="spellStart"/>
      <w:r>
        <w:rPr>
          <w:rFonts w:hint="eastAsia"/>
        </w:rPr>
        <w:t>开放式基金份额变动</w:t>
      </w:r>
      <w:bookmarkStart w:id="310" w:name="m601_tab"/>
      <w:bookmarkEnd w:id="309"/>
      <w:bookmarkEnd w:id="149"/>
      <w:bookmarkEnd w:id="150"/>
      <w:bookmarkEnd w:id="151"/>
      <w:bookmarkEnd w:id="152"/>
      <w:proofErr w:type="spellEnd"/>
    </w:p>
    <w:p w:rsidR="008C0FF9" w:rsidRDefault="0070267B">
      <w:pPr>
        <w:wordWrap w:val="0"/>
        <w:spacing w:line="360" w:lineRule="auto"/>
        <w:jc w:val="right"/>
      </w:pPr>
      <w:bookmarkStart w:id="311" w:name="m10_01_tab"/>
      <w:bookmarkEnd w:id="12"/>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8C0FF9">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bookmarkStart w:id="312" w:name="m10_01" w:colFirst="1" w:colLast="2"/>
            <w:bookmarkEnd w:id="311"/>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0FF9" w:rsidRDefault="0070267B">
            <w:pPr>
              <w:ind w:right="3"/>
              <w:jc w:val="center"/>
            </w:pPr>
            <w:r>
              <w:rPr>
                <w:rFonts w:ascii="宋体" w:hAnsi="宋体" w:hint="eastAsia"/>
                <w:lang w:eastAsia="zh-Hans"/>
              </w:rPr>
              <w:t>摩根富时发达市场REITs</w:t>
            </w:r>
            <w:r>
              <w:rPr>
                <w:rFonts w:ascii="宋体" w:hAnsi="宋体" w:hint="eastAsia"/>
                <w:lang w:eastAsia="zh-Hans"/>
              </w:rPr>
              <w:lastRenderedPageBreak/>
              <w:t>指数(QDII)人民币A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0FF9" w:rsidRDefault="0070267B">
            <w:pPr>
              <w:ind w:right="3"/>
              <w:jc w:val="center"/>
            </w:pPr>
            <w:r>
              <w:rPr>
                <w:rFonts w:ascii="宋体" w:hAnsi="宋体" w:hint="eastAsia"/>
                <w:lang w:eastAsia="zh-Hans"/>
              </w:rPr>
              <w:lastRenderedPageBreak/>
              <w:t>摩根富时发达市场REITs</w:t>
            </w:r>
            <w:r>
              <w:rPr>
                <w:rFonts w:ascii="宋体" w:hAnsi="宋体" w:hint="eastAsia"/>
                <w:lang w:eastAsia="zh-Hans"/>
              </w:rPr>
              <w:lastRenderedPageBreak/>
              <w:t>指数(QDII)人民币C</w:t>
            </w:r>
            <w:r>
              <w:rPr>
                <w:rFonts w:ascii="宋体" w:hAnsi="宋体" w:hint="eastAsia"/>
                <w:kern w:val="0"/>
                <w:szCs w:val="24"/>
                <w:lang w:eastAsia="zh-Hans"/>
              </w:rPr>
              <w:t xml:space="preserve"> </w:t>
            </w:r>
          </w:p>
        </w:tc>
      </w:tr>
      <w:tr w:rsidR="008C0F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179,855,922.14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9,765,293.18</w:t>
            </w:r>
          </w:p>
        </w:tc>
      </w:tr>
      <w:tr w:rsidR="008C0F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20,204,341.04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14,717,175.73</w:t>
            </w:r>
          </w:p>
        </w:tc>
      </w:tr>
      <w:tr w:rsidR="008C0F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14,038,903.90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9,190,309.07</w:t>
            </w:r>
          </w:p>
        </w:tc>
      </w:tr>
      <w:tr w:rsidR="008C0F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w:t>
            </w:r>
          </w:p>
        </w:tc>
      </w:tr>
      <w:tr w:rsidR="008C0F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186,021,359.28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15,292,159.84</w:t>
            </w:r>
          </w:p>
        </w:tc>
      </w:tr>
    </w:tbl>
    <w:p w:rsidR="008C0FF9" w:rsidRDefault="0070267B">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12"/>
      <w:r>
        <w:rPr>
          <w:rFonts w:ascii="宋体" w:hAnsi="宋体" w:hint="eastAsia"/>
        </w:rPr>
        <w:t xml:space="preserve"> </w:t>
      </w:r>
    </w:p>
    <w:p w:rsidR="008C0FF9" w:rsidRDefault="0070267B">
      <w:pPr>
        <w:pStyle w:val="XBRLTitle1"/>
        <w:spacing w:before="156" w:line="360" w:lineRule="auto"/>
        <w:ind w:left="425"/>
      </w:pPr>
      <w:bookmarkStart w:id="313" w:name="m7manage01"/>
      <w:bookmarkStart w:id="314" w:name="_Toc512519522"/>
      <w:bookmarkStart w:id="315" w:name="_Toc481075090"/>
      <w:bookmarkStart w:id="316" w:name="_Toc438646478"/>
      <w:bookmarkStart w:id="317" w:name="_Toc490050043"/>
      <w:bookmarkStart w:id="318" w:name="_Toc514178707"/>
      <w:bookmarkEnd w:id="153"/>
      <w:bookmarkEnd w:id="310"/>
      <w:proofErr w:type="spellStart"/>
      <w:r>
        <w:rPr>
          <w:rFonts w:hint="eastAsia"/>
        </w:rPr>
        <w:t>基金管理人运用固有资金投资本基金交易明细</w:t>
      </w:r>
      <w:bookmarkEnd w:id="313"/>
      <w:bookmarkEnd w:id="314"/>
      <w:bookmarkEnd w:id="315"/>
      <w:bookmarkEnd w:id="316"/>
      <w:bookmarkEnd w:id="317"/>
      <w:bookmarkEnd w:id="318"/>
      <w:proofErr w:type="spellEnd"/>
      <w:r>
        <w:rPr>
          <w:rFonts w:hint="eastAsia"/>
        </w:rPr>
        <w:t xml:space="preserve"> </w:t>
      </w:r>
    </w:p>
    <w:p w:rsidR="008C0FF9" w:rsidRDefault="0070267B">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8C0FF9" w:rsidRDefault="0070267B">
      <w:pPr>
        <w:pStyle w:val="XBRLTitle1"/>
        <w:spacing w:before="156" w:line="360" w:lineRule="auto"/>
        <w:ind w:left="425"/>
      </w:pPr>
      <w:bookmarkStart w:id="319" w:name="_Toc512519526"/>
      <w:bookmarkStart w:id="320" w:name="_Toc490050046"/>
      <w:bookmarkStart w:id="321" w:name="_Toc481075094"/>
      <w:bookmarkStart w:id="322" w:name="_Toc479856294"/>
      <w:bookmarkStart w:id="323" w:name="_Toc514178710"/>
      <w:bookmarkStart w:id="324" w:name="m701"/>
      <w:proofErr w:type="spellStart"/>
      <w:r>
        <w:rPr>
          <w:rFonts w:hint="eastAsia"/>
        </w:rPr>
        <w:t>影响投资者决策的其他重要信息</w:t>
      </w:r>
      <w:bookmarkEnd w:id="319"/>
      <w:bookmarkEnd w:id="320"/>
      <w:bookmarkEnd w:id="321"/>
      <w:bookmarkEnd w:id="322"/>
      <w:bookmarkEnd w:id="323"/>
      <w:proofErr w:type="spellEnd"/>
      <w:r>
        <w:rPr>
          <w:rFonts w:hint="eastAsia"/>
          <w:lang w:eastAsia="zh-CN"/>
        </w:rPr>
        <w:t xml:space="preserve"> </w:t>
      </w:r>
    </w:p>
    <w:p w:rsidR="008C0FF9" w:rsidRDefault="0070267B">
      <w:pPr>
        <w:pStyle w:val="XBRLTitle2"/>
        <w:spacing w:before="156" w:line="360" w:lineRule="auto"/>
        <w:ind w:left="454"/>
      </w:pPr>
      <w:bookmarkStart w:id="325" w:name="_Toc512519527"/>
      <w:bookmarkStart w:id="326" w:name="_Toc481075095"/>
      <w:bookmarkStart w:id="327" w:name="_Toc490050047"/>
      <w:bookmarkStart w:id="328" w:name="_Toc514178711"/>
      <w:r>
        <w:rPr>
          <w:rFonts w:hint="eastAsia"/>
          <w:kern w:val="0"/>
        </w:rPr>
        <w:t>报告期内单一投资者持有基金份额比例达到或超过20%的情况</w:t>
      </w:r>
      <w:bookmarkEnd w:id="325"/>
      <w:bookmarkEnd w:id="326"/>
      <w:bookmarkEnd w:id="327"/>
      <w:bookmarkEnd w:id="328"/>
      <w:r>
        <w:rPr>
          <w:rFonts w:hint="eastAsia"/>
          <w:kern w:val="0"/>
          <w:lang w:eastAsia="zh-CN"/>
        </w:rPr>
        <w:t xml:space="preserve"> </w:t>
      </w:r>
    </w:p>
    <w:bookmarkEnd w:id="18"/>
    <w:bookmarkEnd w:id="32"/>
    <w:bookmarkEnd w:id="33"/>
    <w:p w:rsidR="008C0FF9" w:rsidRDefault="0070267B">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8C0FF9" w:rsidRDefault="0070267B">
      <w:pPr>
        <w:pStyle w:val="XBRLTitle1"/>
        <w:spacing w:before="156" w:line="360" w:lineRule="auto"/>
        <w:ind w:left="425"/>
      </w:pPr>
      <w:bookmarkStart w:id="329" w:name="_Toc512519529"/>
      <w:bookmarkStart w:id="330" w:name="_Toc490050049"/>
      <w:bookmarkStart w:id="331" w:name="_Toc481075097"/>
      <w:bookmarkStart w:id="332" w:name="_Toc438646481"/>
      <w:bookmarkStart w:id="333" w:name="_Toc514178713"/>
      <w:bookmarkEnd w:id="324"/>
      <w:proofErr w:type="spellStart"/>
      <w:r>
        <w:rPr>
          <w:rFonts w:hint="eastAsia"/>
        </w:rPr>
        <w:t>备查文件目录</w:t>
      </w:r>
      <w:bookmarkEnd w:id="329"/>
      <w:bookmarkEnd w:id="330"/>
      <w:bookmarkEnd w:id="331"/>
      <w:bookmarkEnd w:id="332"/>
      <w:bookmarkEnd w:id="333"/>
      <w:proofErr w:type="spellEnd"/>
      <w:r>
        <w:rPr>
          <w:rFonts w:hint="eastAsia"/>
        </w:rPr>
        <w:t xml:space="preserve"> </w:t>
      </w:r>
    </w:p>
    <w:p w:rsidR="008C0FF9" w:rsidRDefault="0070267B">
      <w:pPr>
        <w:pStyle w:val="XBRLTitle2"/>
        <w:spacing w:before="156" w:line="360" w:lineRule="auto"/>
        <w:ind w:left="454"/>
      </w:pPr>
      <w:bookmarkStart w:id="334" w:name="_Toc438646482"/>
      <w:bookmarkStart w:id="335" w:name="_Toc512519530"/>
      <w:bookmarkStart w:id="336" w:name="_Toc481075098"/>
      <w:bookmarkStart w:id="337" w:name="_Toc490050050"/>
      <w:bookmarkStart w:id="338" w:name="_Toc514178714"/>
      <w:bookmarkStart w:id="339" w:name="m801_01_1733"/>
      <w:proofErr w:type="spellStart"/>
      <w:r>
        <w:rPr>
          <w:rFonts w:hint="eastAsia"/>
        </w:rPr>
        <w:t>备查文件目录</w:t>
      </w:r>
      <w:bookmarkEnd w:id="334"/>
      <w:bookmarkEnd w:id="335"/>
      <w:bookmarkEnd w:id="336"/>
      <w:bookmarkEnd w:id="337"/>
      <w:bookmarkEnd w:id="338"/>
      <w:proofErr w:type="spellEnd"/>
      <w:r>
        <w:rPr>
          <w:rFonts w:hint="eastAsia"/>
        </w:rPr>
        <w:t xml:space="preserve"> </w:t>
      </w:r>
    </w:p>
    <w:p w:rsidR="008C0FF9" w:rsidRDefault="0070267B">
      <w:pPr>
        <w:spacing w:line="360" w:lineRule="auto"/>
        <w:ind w:firstLineChars="200" w:firstLine="420"/>
        <w:jc w:val="left"/>
      </w:pPr>
      <w:r>
        <w:rPr>
          <w:rFonts w:ascii="宋体" w:hAnsi="宋体" w:cs="宋体" w:hint="eastAsia"/>
          <w:color w:val="000000"/>
          <w:kern w:val="0"/>
        </w:rPr>
        <w:t>1. 中国证监会准予本基金募集注册的文件；</w:t>
      </w:r>
      <w:r>
        <w:rPr>
          <w:rFonts w:ascii="宋体" w:hAnsi="宋体" w:cs="宋体" w:hint="eastAsia"/>
          <w:color w:val="000000"/>
          <w:kern w:val="0"/>
        </w:rPr>
        <w:br/>
        <w:t xml:space="preserve">　　2.《摩根富时发达市场REITs指数型证券投资基金(QDII)基金合同》；</w:t>
      </w:r>
      <w:r>
        <w:rPr>
          <w:rFonts w:ascii="宋体" w:hAnsi="宋体" w:cs="宋体" w:hint="eastAsia"/>
          <w:color w:val="000000"/>
          <w:kern w:val="0"/>
        </w:rPr>
        <w:br/>
        <w:t xml:space="preserve">　　3.《摩根富时发达市场REITs指数型证券投资基金(QDII)托管协议》；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rsidR="008C0FF9" w:rsidRDefault="0070267B">
      <w:pPr>
        <w:pStyle w:val="XBRLTitle2"/>
        <w:spacing w:before="156" w:line="360" w:lineRule="auto"/>
        <w:ind w:left="454"/>
      </w:pPr>
      <w:bookmarkStart w:id="340" w:name="_Toc438646483"/>
      <w:bookmarkStart w:id="341" w:name="_Toc512519531"/>
      <w:bookmarkStart w:id="342" w:name="_Toc481075099"/>
      <w:bookmarkStart w:id="343" w:name="_Toc490050051"/>
      <w:bookmarkStart w:id="344" w:name="_Toc514178715"/>
      <w:bookmarkStart w:id="345" w:name="m801_01_1734"/>
      <w:bookmarkEnd w:id="339"/>
      <w:proofErr w:type="spellStart"/>
      <w:r>
        <w:rPr>
          <w:rFonts w:hint="eastAsia"/>
        </w:rPr>
        <w:t>存放地点</w:t>
      </w:r>
      <w:bookmarkEnd w:id="340"/>
      <w:bookmarkEnd w:id="341"/>
      <w:bookmarkEnd w:id="342"/>
      <w:bookmarkEnd w:id="343"/>
      <w:bookmarkEnd w:id="344"/>
      <w:proofErr w:type="spellEnd"/>
      <w:r>
        <w:rPr>
          <w:rFonts w:hint="eastAsia"/>
        </w:rPr>
        <w:t xml:space="preserve"> </w:t>
      </w:r>
    </w:p>
    <w:p w:rsidR="008C0FF9" w:rsidRDefault="0070267B">
      <w:pPr>
        <w:spacing w:line="360" w:lineRule="auto"/>
        <w:ind w:firstLineChars="200" w:firstLine="420"/>
        <w:jc w:val="left"/>
      </w:pPr>
      <w:r>
        <w:rPr>
          <w:rFonts w:ascii="宋体" w:hAnsi="宋体" w:cs="宋体" w:hint="eastAsia"/>
          <w:color w:val="000000"/>
          <w:kern w:val="0"/>
        </w:rPr>
        <w:t>基金管理人或基金托管人住所。</w:t>
      </w:r>
    </w:p>
    <w:p w:rsidR="008C0FF9" w:rsidRDefault="0070267B">
      <w:pPr>
        <w:pStyle w:val="XBRLTitle2"/>
        <w:spacing w:before="156" w:line="360" w:lineRule="auto"/>
        <w:ind w:left="454"/>
      </w:pPr>
      <w:bookmarkStart w:id="346" w:name="_Toc438646484"/>
      <w:bookmarkStart w:id="347" w:name="_Toc512519532"/>
      <w:bookmarkStart w:id="348" w:name="_Toc481075100"/>
      <w:bookmarkStart w:id="349" w:name="_Toc490050052"/>
      <w:bookmarkStart w:id="350" w:name="_Toc514178716"/>
      <w:bookmarkStart w:id="351" w:name="m801_01_1735"/>
      <w:bookmarkEnd w:id="345"/>
      <w:proofErr w:type="spellStart"/>
      <w:r>
        <w:rPr>
          <w:rFonts w:hint="eastAsia"/>
        </w:rPr>
        <w:t>查阅方式</w:t>
      </w:r>
      <w:bookmarkEnd w:id="346"/>
      <w:bookmarkEnd w:id="347"/>
      <w:bookmarkEnd w:id="348"/>
      <w:bookmarkEnd w:id="349"/>
      <w:bookmarkEnd w:id="350"/>
      <w:proofErr w:type="spellEnd"/>
      <w:r>
        <w:rPr>
          <w:rFonts w:hint="eastAsia"/>
        </w:rPr>
        <w:t xml:space="preserve"> </w:t>
      </w:r>
    </w:p>
    <w:p w:rsidR="008C0FF9" w:rsidRDefault="0070267B">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51"/>
    <w:p w:rsidR="008C0FF9" w:rsidRDefault="0070267B">
      <w:pPr>
        <w:spacing w:line="360" w:lineRule="auto"/>
        <w:ind w:firstLineChars="600" w:firstLine="1687"/>
        <w:jc w:val="left"/>
      </w:pPr>
      <w:r>
        <w:rPr>
          <w:rFonts w:ascii="宋体" w:hAnsi="宋体" w:hint="eastAsia"/>
          <w:b/>
          <w:bCs/>
          <w:sz w:val="28"/>
          <w:szCs w:val="30"/>
        </w:rPr>
        <w:t xml:space="preserve">　 </w:t>
      </w:r>
    </w:p>
    <w:p w:rsidR="008C0FF9" w:rsidRDefault="0070267B">
      <w:pPr>
        <w:spacing w:line="360" w:lineRule="auto"/>
        <w:ind w:firstLineChars="600" w:firstLine="1687"/>
        <w:jc w:val="left"/>
      </w:pPr>
      <w:r>
        <w:rPr>
          <w:rFonts w:ascii="宋体" w:hAnsi="宋体" w:hint="eastAsia"/>
          <w:b/>
          <w:bCs/>
          <w:sz w:val="28"/>
          <w:szCs w:val="30"/>
        </w:rPr>
        <w:t xml:space="preserve">　 </w:t>
      </w:r>
    </w:p>
    <w:p w:rsidR="008C0FF9" w:rsidRDefault="0070267B">
      <w:pPr>
        <w:spacing w:line="360" w:lineRule="auto"/>
        <w:ind w:firstLineChars="600" w:firstLine="1446"/>
        <w:jc w:val="right"/>
      </w:pPr>
      <w:r>
        <w:rPr>
          <w:rFonts w:ascii="宋体" w:hAnsi="宋体" w:hint="eastAsia"/>
          <w:b/>
          <w:bCs/>
          <w:sz w:val="24"/>
          <w:szCs w:val="24"/>
        </w:rPr>
        <w:t>摩根基金管理（中国）有限公司</w:t>
      </w:r>
    </w:p>
    <w:p w:rsidR="008C0FF9" w:rsidRDefault="0070267B">
      <w:pPr>
        <w:spacing w:line="360" w:lineRule="auto"/>
        <w:ind w:firstLineChars="600" w:firstLine="1446"/>
        <w:jc w:val="right"/>
      </w:pPr>
      <w:r>
        <w:rPr>
          <w:rFonts w:ascii="宋体" w:hAnsi="宋体" w:hint="eastAsia"/>
          <w:b/>
          <w:bCs/>
          <w:sz w:val="24"/>
          <w:szCs w:val="24"/>
        </w:rPr>
        <w:t>2025年4月22日</w:t>
      </w:r>
      <w:bookmarkEnd w:id="19"/>
    </w:p>
    <w:sectPr w:rsidR="008C0FF9">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F9" w:rsidRDefault="0070267B">
      <w:pPr>
        <w:rPr>
          <w:szCs w:val="21"/>
        </w:rPr>
      </w:pPr>
      <w:r>
        <w:rPr>
          <w:szCs w:val="21"/>
        </w:rPr>
        <w:separator/>
      </w:r>
      <w:r>
        <w:rPr>
          <w:szCs w:val="21"/>
        </w:rPr>
        <w:t xml:space="preserve"> </w:t>
      </w:r>
    </w:p>
  </w:endnote>
  <w:endnote w:type="continuationSeparator" w:id="0">
    <w:p w:rsidR="008C0FF9" w:rsidRDefault="0070267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F9" w:rsidRDefault="0070267B">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292576">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292576">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F9" w:rsidRDefault="0070267B">
      <w:pPr>
        <w:rPr>
          <w:szCs w:val="21"/>
        </w:rPr>
      </w:pPr>
      <w:r>
        <w:rPr>
          <w:szCs w:val="21"/>
        </w:rPr>
        <w:separator/>
      </w:r>
      <w:r>
        <w:rPr>
          <w:szCs w:val="21"/>
        </w:rPr>
        <w:t xml:space="preserve"> </w:t>
      </w:r>
    </w:p>
  </w:footnote>
  <w:footnote w:type="continuationSeparator" w:id="0">
    <w:p w:rsidR="008C0FF9" w:rsidRDefault="0070267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F9" w:rsidRDefault="0070267B">
    <w:pPr>
      <w:pStyle w:val="a8"/>
      <w:jc w:val="right"/>
    </w:pPr>
    <w:r>
      <w:rPr>
        <w:rFonts w:ascii="宋体" w:hAnsi="宋体" w:hint="eastAsia"/>
      </w:rPr>
      <w:t>摩根富</w:t>
    </w:r>
    <w:proofErr w:type="gramStart"/>
    <w:r>
      <w:rPr>
        <w:rFonts w:ascii="宋体" w:hAnsi="宋体" w:hint="eastAsia"/>
      </w:rPr>
      <w:t>时发达</w:t>
    </w:r>
    <w:proofErr w:type="gramEnd"/>
    <w:r>
      <w:rPr>
        <w:rFonts w:ascii="宋体" w:hAnsi="宋体" w:hint="eastAsia"/>
      </w:rPr>
      <w:t>市场REITs指数型证券投资基金(QDII)2025年第1季度报告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F34B85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584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7B"/>
    <w:rsid w:val="00292576"/>
    <w:rsid w:val="0070267B"/>
    <w:rsid w:val="008C0FF9"/>
    <w:rsid w:val="00AE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44C4EB1"/>
  <w15:chartTrackingRefBased/>
  <w15:docId w15:val="{DF7AA0A4-FE9F-4DA3-892E-28E18CA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宋体" w:hAnsi="宋体"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宋体" w:hAnsi="宋体"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eastAsia"/>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eastAsia"/>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42">
    <w:name w:val="toc 4"/>
    <w:basedOn w:val="a"/>
    <w:next w:val="a"/>
    <w:autoRedefine/>
    <w:uiPriority w:val="39"/>
    <w:semiHidden/>
    <w:unhideWhenUsed/>
    <w:pPr>
      <w:ind w:leftChars="600" w:left="126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宋体" w:hAnsi="宋体"/>
      <w:kern w:val="0"/>
      <w:sz w:val="32"/>
      <w:szCs w:val="32"/>
    </w:rPr>
  </w:style>
  <w:style w:type="character" w:customStyle="1" w:styleId="ad">
    <w:name w:val="标题 字符"/>
    <w:basedOn w:val="a0"/>
    <w:uiPriority w:val="10"/>
    <w:locked/>
    <w:rPr>
      <w:rFonts w:asciiTheme="majorHAnsi" w:eastAsiaTheme="majorEastAsia" w:hAnsiTheme="majorHAnsi" w:cstheme="majorBidi" w:hint="eastAsia"/>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宋体" w:hAnsi="宋体"/>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宋体"/>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宋体" w:hAnsi="宋体"/>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firstLine="0"/>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kinsoku w:val="0"/>
      <w:overflowPunct w:val="0"/>
      <w:adjustRightInd w:val="0"/>
      <w:snapToGrid w:val="0"/>
      <w:spacing w:beforeLines="50" w:before="0" w:after="0" w:line="360" w:lineRule="auto"/>
      <w:ind w:firstLine="0"/>
      <w:outlineLvl w:val="9"/>
    </w:pPr>
    <w:rPr>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eastAsia"/>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eastAsia"/>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eastAsia"/>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eastAsia="宋体" w:hAnsiTheme="majorHAnsi" w:cstheme="majorBidi" w:hint="eastAsia"/>
      <w:b/>
      <w:bCs/>
      <w:kern w:val="2"/>
      <w:sz w:val="32"/>
      <w:szCs w:val="32"/>
    </w:rPr>
  </w:style>
  <w:style w:type="character" w:customStyle="1" w:styleId="Char4">
    <w:name w:val="副标题 Char"/>
    <w:basedOn w:val="a0"/>
    <w:locked/>
    <w:rPr>
      <w:rFonts w:asciiTheme="majorHAnsi" w:eastAsia="宋体" w:hAnsiTheme="majorHAnsi" w:cstheme="majorBidi" w:hint="eastAsia"/>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宋体" w:eastAsia="宋体" w:hAnsi="宋体" w:cs="Times New Roman" w:hint="eastAsia"/>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宋体" w:eastAsia="宋体" w:hAnsi="宋体" w:cs="Times New Roman" w:hint="eastAsia"/>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宋体" w:eastAsia="宋体" w:hAnsi="宋体" w:cs="Times New Roman" w:hint="eastAsia"/>
      <w:b/>
      <w:bCs/>
      <w:sz w:val="32"/>
      <w:szCs w:val="32"/>
    </w:rPr>
  </w:style>
  <w:style w:type="character" w:customStyle="1" w:styleId="16">
    <w:name w:val="副标题 字符1"/>
    <w:link w:val="ae"/>
    <w:locked/>
    <w:rPr>
      <w:rFonts w:ascii="宋体" w:eastAsia="宋体" w:hAnsi="宋体" w:cs="Times New Roman" w:hint="eastAsia"/>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eastAsia"/>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0852">
      <w:marLeft w:val="0"/>
      <w:marRight w:val="0"/>
      <w:marTop w:val="0"/>
      <w:marBottom w:val="0"/>
      <w:divBdr>
        <w:top w:val="none" w:sz="0" w:space="0" w:color="auto"/>
        <w:left w:val="none" w:sz="0" w:space="0" w:color="auto"/>
        <w:bottom w:val="none" w:sz="0" w:space="0" w:color="auto"/>
        <w:right w:val="none" w:sz="0" w:space="0" w:color="auto"/>
      </w:divBdr>
      <w:divsChild>
        <w:div w:id="1663893657">
          <w:marLeft w:val="0"/>
          <w:marRight w:val="0"/>
          <w:marTop w:val="0"/>
          <w:marBottom w:val="0"/>
          <w:divBdr>
            <w:top w:val="none" w:sz="0" w:space="0" w:color="auto"/>
            <w:left w:val="none" w:sz="0" w:space="0" w:color="auto"/>
            <w:bottom w:val="none" w:sz="0" w:space="0" w:color="auto"/>
            <w:right w:val="none" w:sz="0" w:space="0" w:color="auto"/>
          </w:divBdr>
          <w:divsChild>
            <w:div w:id="18671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5028">
      <w:marLeft w:val="0"/>
      <w:marRight w:val="0"/>
      <w:marTop w:val="0"/>
      <w:marBottom w:val="0"/>
      <w:divBdr>
        <w:top w:val="none" w:sz="0" w:space="0" w:color="auto"/>
        <w:left w:val="none" w:sz="0" w:space="0" w:color="auto"/>
        <w:bottom w:val="none" w:sz="0" w:space="0" w:color="auto"/>
        <w:right w:val="none" w:sz="0" w:space="0" w:color="auto"/>
      </w:divBdr>
    </w:div>
    <w:div w:id="546722301">
      <w:marLeft w:val="0"/>
      <w:marRight w:val="0"/>
      <w:marTop w:val="0"/>
      <w:marBottom w:val="0"/>
      <w:divBdr>
        <w:top w:val="none" w:sz="0" w:space="0" w:color="auto"/>
        <w:left w:val="none" w:sz="0" w:space="0" w:color="auto"/>
        <w:bottom w:val="none" w:sz="0" w:space="0" w:color="auto"/>
        <w:right w:val="none" w:sz="0" w:space="0" w:color="auto"/>
      </w:divBdr>
    </w:div>
    <w:div w:id="770005045">
      <w:marLeft w:val="0"/>
      <w:marRight w:val="0"/>
      <w:marTop w:val="0"/>
      <w:marBottom w:val="0"/>
      <w:divBdr>
        <w:top w:val="none" w:sz="0" w:space="0" w:color="auto"/>
        <w:left w:val="none" w:sz="0" w:space="0" w:color="auto"/>
        <w:bottom w:val="none" w:sz="0" w:space="0" w:color="auto"/>
        <w:right w:val="none" w:sz="0" w:space="0" w:color="auto"/>
      </w:divBdr>
    </w:div>
    <w:div w:id="813718480">
      <w:marLeft w:val="0"/>
      <w:marRight w:val="0"/>
      <w:marTop w:val="0"/>
      <w:marBottom w:val="0"/>
      <w:divBdr>
        <w:top w:val="none" w:sz="0" w:space="0" w:color="auto"/>
        <w:left w:val="none" w:sz="0" w:space="0" w:color="auto"/>
        <w:bottom w:val="none" w:sz="0" w:space="0" w:color="auto"/>
        <w:right w:val="none" w:sz="0" w:space="0" w:color="auto"/>
      </w:divBdr>
    </w:div>
    <w:div w:id="940992965">
      <w:marLeft w:val="0"/>
      <w:marRight w:val="0"/>
      <w:marTop w:val="0"/>
      <w:marBottom w:val="0"/>
      <w:divBdr>
        <w:top w:val="none" w:sz="0" w:space="0" w:color="auto"/>
        <w:left w:val="none" w:sz="0" w:space="0" w:color="auto"/>
        <w:bottom w:val="none" w:sz="0" w:space="0" w:color="auto"/>
        <w:right w:val="none" w:sz="0" w:space="0" w:color="auto"/>
      </w:divBdr>
    </w:div>
    <w:div w:id="1082801694">
      <w:marLeft w:val="0"/>
      <w:marRight w:val="0"/>
      <w:marTop w:val="0"/>
      <w:marBottom w:val="0"/>
      <w:divBdr>
        <w:top w:val="none" w:sz="0" w:space="0" w:color="auto"/>
        <w:left w:val="none" w:sz="0" w:space="0" w:color="auto"/>
        <w:bottom w:val="none" w:sz="0" w:space="0" w:color="auto"/>
        <w:right w:val="none" w:sz="0" w:space="0" w:color="auto"/>
      </w:divBdr>
      <w:divsChild>
        <w:div w:id="1015303402">
          <w:marLeft w:val="0"/>
          <w:marRight w:val="0"/>
          <w:marTop w:val="0"/>
          <w:marBottom w:val="0"/>
          <w:divBdr>
            <w:top w:val="none" w:sz="0" w:space="0" w:color="auto"/>
            <w:left w:val="none" w:sz="0" w:space="0" w:color="auto"/>
            <w:bottom w:val="none" w:sz="0" w:space="0" w:color="auto"/>
            <w:right w:val="none" w:sz="0" w:space="0" w:color="auto"/>
          </w:divBdr>
        </w:div>
      </w:divsChild>
    </w:div>
    <w:div w:id="1109423645">
      <w:marLeft w:val="0"/>
      <w:marRight w:val="0"/>
      <w:marTop w:val="0"/>
      <w:marBottom w:val="0"/>
      <w:divBdr>
        <w:top w:val="none" w:sz="0" w:space="0" w:color="auto"/>
        <w:left w:val="none" w:sz="0" w:space="0" w:color="auto"/>
        <w:bottom w:val="none" w:sz="0" w:space="0" w:color="auto"/>
        <w:right w:val="none" w:sz="0" w:space="0" w:color="auto"/>
      </w:divBdr>
      <w:divsChild>
        <w:div w:id="1193763885">
          <w:marLeft w:val="0"/>
          <w:marRight w:val="0"/>
          <w:marTop w:val="0"/>
          <w:marBottom w:val="0"/>
          <w:divBdr>
            <w:top w:val="none" w:sz="0" w:space="0" w:color="auto"/>
            <w:left w:val="none" w:sz="0" w:space="0" w:color="auto"/>
            <w:bottom w:val="none" w:sz="0" w:space="0" w:color="auto"/>
            <w:right w:val="none" w:sz="0" w:space="0" w:color="auto"/>
          </w:divBdr>
        </w:div>
      </w:divsChild>
    </w:div>
    <w:div w:id="1185904313">
      <w:marLeft w:val="0"/>
      <w:marRight w:val="0"/>
      <w:marTop w:val="0"/>
      <w:marBottom w:val="0"/>
      <w:divBdr>
        <w:top w:val="none" w:sz="0" w:space="0" w:color="auto"/>
        <w:left w:val="none" w:sz="0" w:space="0" w:color="auto"/>
        <w:bottom w:val="none" w:sz="0" w:space="0" w:color="auto"/>
        <w:right w:val="none" w:sz="0" w:space="0" w:color="auto"/>
      </w:divBdr>
    </w:div>
    <w:div w:id="1294407382">
      <w:marLeft w:val="0"/>
      <w:marRight w:val="0"/>
      <w:marTop w:val="0"/>
      <w:marBottom w:val="0"/>
      <w:divBdr>
        <w:top w:val="none" w:sz="0" w:space="0" w:color="auto"/>
        <w:left w:val="none" w:sz="0" w:space="0" w:color="auto"/>
        <w:bottom w:val="none" w:sz="0" w:space="0" w:color="auto"/>
        <w:right w:val="none" w:sz="0" w:space="0" w:color="auto"/>
      </w:divBdr>
    </w:div>
    <w:div w:id="1304433296">
      <w:marLeft w:val="0"/>
      <w:marRight w:val="0"/>
      <w:marTop w:val="0"/>
      <w:marBottom w:val="0"/>
      <w:divBdr>
        <w:top w:val="none" w:sz="0" w:space="0" w:color="auto"/>
        <w:left w:val="none" w:sz="0" w:space="0" w:color="auto"/>
        <w:bottom w:val="none" w:sz="0" w:space="0" w:color="auto"/>
        <w:right w:val="none" w:sz="0" w:space="0" w:color="auto"/>
      </w:divBdr>
    </w:div>
    <w:div w:id="1379821322">
      <w:marLeft w:val="0"/>
      <w:marRight w:val="0"/>
      <w:marTop w:val="0"/>
      <w:marBottom w:val="0"/>
      <w:divBdr>
        <w:top w:val="none" w:sz="0" w:space="0" w:color="auto"/>
        <w:left w:val="none" w:sz="0" w:space="0" w:color="auto"/>
        <w:bottom w:val="none" w:sz="0" w:space="0" w:color="auto"/>
        <w:right w:val="none" w:sz="0" w:space="0" w:color="auto"/>
      </w:divBdr>
    </w:div>
    <w:div w:id="1426656467">
      <w:marLeft w:val="0"/>
      <w:marRight w:val="0"/>
      <w:marTop w:val="0"/>
      <w:marBottom w:val="0"/>
      <w:divBdr>
        <w:top w:val="none" w:sz="0" w:space="0" w:color="auto"/>
        <w:left w:val="none" w:sz="0" w:space="0" w:color="auto"/>
        <w:bottom w:val="none" w:sz="0" w:space="0" w:color="auto"/>
        <w:right w:val="none" w:sz="0" w:space="0" w:color="auto"/>
      </w:divBdr>
      <w:divsChild>
        <w:div w:id="1110201462">
          <w:marLeft w:val="0"/>
          <w:marRight w:val="0"/>
          <w:marTop w:val="0"/>
          <w:marBottom w:val="0"/>
          <w:divBdr>
            <w:top w:val="none" w:sz="0" w:space="0" w:color="auto"/>
            <w:left w:val="none" w:sz="0" w:space="0" w:color="auto"/>
            <w:bottom w:val="none" w:sz="0" w:space="0" w:color="auto"/>
            <w:right w:val="none" w:sz="0" w:space="0" w:color="auto"/>
          </w:divBdr>
        </w:div>
      </w:divsChild>
    </w:div>
    <w:div w:id="1492872722">
      <w:marLeft w:val="0"/>
      <w:marRight w:val="0"/>
      <w:marTop w:val="0"/>
      <w:marBottom w:val="0"/>
      <w:divBdr>
        <w:top w:val="none" w:sz="0" w:space="0" w:color="auto"/>
        <w:left w:val="none" w:sz="0" w:space="0" w:color="auto"/>
        <w:bottom w:val="none" w:sz="0" w:space="0" w:color="auto"/>
        <w:right w:val="none" w:sz="0" w:space="0" w:color="auto"/>
      </w:divBdr>
    </w:div>
    <w:div w:id="1506897806">
      <w:marLeft w:val="0"/>
      <w:marRight w:val="0"/>
      <w:marTop w:val="0"/>
      <w:marBottom w:val="0"/>
      <w:divBdr>
        <w:top w:val="none" w:sz="0" w:space="0" w:color="auto"/>
        <w:left w:val="none" w:sz="0" w:space="0" w:color="auto"/>
        <w:bottom w:val="none" w:sz="0" w:space="0" w:color="auto"/>
        <w:right w:val="none" w:sz="0" w:space="0" w:color="auto"/>
      </w:divBdr>
    </w:div>
    <w:div w:id="1933784094">
      <w:marLeft w:val="0"/>
      <w:marRight w:val="0"/>
      <w:marTop w:val="0"/>
      <w:marBottom w:val="0"/>
      <w:divBdr>
        <w:top w:val="none" w:sz="0" w:space="0" w:color="auto"/>
        <w:left w:val="none" w:sz="0" w:space="0" w:color="auto"/>
        <w:bottom w:val="none" w:sz="0" w:space="0" w:color="auto"/>
        <w:right w:val="none" w:sz="0" w:space="0" w:color="auto"/>
      </w:divBdr>
    </w:div>
    <w:div w:id="1976905361">
      <w:marLeft w:val="0"/>
      <w:marRight w:val="0"/>
      <w:marTop w:val="0"/>
      <w:marBottom w:val="0"/>
      <w:divBdr>
        <w:top w:val="none" w:sz="0" w:space="0" w:color="auto"/>
        <w:left w:val="none" w:sz="0" w:space="0" w:color="auto"/>
        <w:bottom w:val="none" w:sz="0" w:space="0" w:color="auto"/>
        <w:right w:val="none" w:sz="0" w:space="0" w:color="auto"/>
      </w:divBdr>
    </w:div>
    <w:div w:id="2072385187">
      <w:marLeft w:val="0"/>
      <w:marRight w:val="0"/>
      <w:marTop w:val="0"/>
      <w:marBottom w:val="0"/>
      <w:divBdr>
        <w:top w:val="none" w:sz="0" w:space="0" w:color="auto"/>
        <w:left w:val="none" w:sz="0" w:space="0" w:color="auto"/>
        <w:bottom w:val="none" w:sz="0" w:space="0" w:color="auto"/>
        <w:right w:val="none" w:sz="0" w:space="0" w:color="auto"/>
      </w:divBdr>
    </w:div>
    <w:div w:id="2104371135">
      <w:marLeft w:val="0"/>
      <w:marRight w:val="0"/>
      <w:marTop w:val="0"/>
      <w:marBottom w:val="0"/>
      <w:divBdr>
        <w:top w:val="none" w:sz="0" w:space="0" w:color="auto"/>
        <w:left w:val="none" w:sz="0" w:space="0" w:color="auto"/>
        <w:bottom w:val="none" w:sz="0" w:space="0" w:color="auto"/>
        <w:right w:val="none" w:sz="0" w:space="0" w:color="auto"/>
      </w:divBdr>
    </w:div>
    <w:div w:id="2109806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5B1C5-2718-4420-AADA-6E689EB7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6766</Words>
  <Characters>2708</Characters>
  <Application>Microsoft Office Word</Application>
  <DocSecurity>0</DocSecurity>
  <Lines>22</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QD指数季报</dc:title>
  <dc:subject/>
  <dc:creator>yss</dc:creator>
  <cp:keywords/>
  <dc:description/>
  <cp:lastModifiedBy>Wenyu.Qiu@FA</cp:lastModifiedBy>
  <cp:revision>4</cp:revision>
  <dcterms:created xsi:type="dcterms:W3CDTF">2025-04-15T12:24:00Z</dcterms:created>
  <dcterms:modified xsi:type="dcterms:W3CDTF">2025-04-28T06:15:00Z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