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EF0A05"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397616" w:rsidRPr="00EF0A05"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EF0A05"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EF0A05"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4A355B" w:rsidRPr="00EF0A05" w:rsidRDefault="004A355B" w:rsidP="004A355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4A355B" w:rsidRPr="00EF0A05" w:rsidRDefault="004A355B" w:rsidP="001A149A">
      <w:pPr>
        <w:spacing w:line="360" w:lineRule="auto"/>
        <w:jc w:val="center"/>
        <w:rPr>
          <w:rFonts w:asciiTheme="minorEastAsia" w:eastAsiaTheme="minorEastAsia" w:hAnsiTheme="minorEastAsia"/>
          <w:b/>
          <w:color w:val="000000" w:themeColor="text1"/>
          <w:sz w:val="36"/>
          <w:szCs w:val="36"/>
        </w:rPr>
      </w:pPr>
      <w:r w:rsidRPr="00EF0A05">
        <w:rPr>
          <w:rFonts w:asciiTheme="minorEastAsia" w:eastAsiaTheme="minorEastAsia" w:hAnsiTheme="minorEastAsia" w:hint="eastAsia"/>
          <w:b/>
          <w:color w:val="000000" w:themeColor="text1"/>
          <w:sz w:val="36"/>
          <w:szCs w:val="36"/>
        </w:rPr>
        <w:t>上投摩根富时发达市场REITs指数型证券投资基金（QDII）</w:t>
      </w:r>
    </w:p>
    <w:p w:rsidR="004A355B" w:rsidRPr="00EF0A05" w:rsidRDefault="004A355B" w:rsidP="001A149A">
      <w:pPr>
        <w:spacing w:line="360" w:lineRule="auto"/>
        <w:jc w:val="center"/>
        <w:rPr>
          <w:rFonts w:asciiTheme="minorEastAsia" w:eastAsiaTheme="minorEastAsia" w:hAnsiTheme="minorEastAsia"/>
          <w:b/>
          <w:color w:val="000000" w:themeColor="text1"/>
          <w:sz w:val="36"/>
          <w:szCs w:val="36"/>
        </w:rPr>
      </w:pPr>
      <w:r w:rsidRPr="00EF0A05">
        <w:rPr>
          <w:rFonts w:asciiTheme="minorEastAsia" w:eastAsiaTheme="minorEastAsia" w:hAnsiTheme="minorEastAsia" w:hint="eastAsia"/>
          <w:b/>
          <w:color w:val="000000" w:themeColor="text1"/>
          <w:sz w:val="36"/>
          <w:szCs w:val="36"/>
        </w:rPr>
        <w:t>2019年第4季度报告</w:t>
      </w:r>
    </w:p>
    <w:p w:rsidR="00397616" w:rsidRPr="00EF0A05" w:rsidRDefault="00B814D9" w:rsidP="001A149A">
      <w:pPr>
        <w:spacing w:line="360" w:lineRule="auto"/>
        <w:jc w:val="center"/>
        <w:rPr>
          <w:rFonts w:asciiTheme="minorEastAsia" w:eastAsiaTheme="minorEastAsia" w:hAnsiTheme="minorEastAsia"/>
          <w:b/>
          <w:color w:val="000000" w:themeColor="text1"/>
          <w:sz w:val="36"/>
          <w:szCs w:val="36"/>
        </w:rPr>
      </w:pPr>
      <w:r w:rsidRPr="00EF0A05">
        <w:rPr>
          <w:rFonts w:asciiTheme="minorEastAsia" w:eastAsiaTheme="minorEastAsia" w:hAnsiTheme="minorEastAsia"/>
          <w:b/>
          <w:color w:val="000000" w:themeColor="text1"/>
          <w:sz w:val="36"/>
          <w:szCs w:val="36"/>
        </w:rPr>
        <w:t>2019年12月31日</w:t>
      </w: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jc w:val="center"/>
        <w:rPr>
          <w:rFonts w:asciiTheme="minorEastAsia" w:eastAsiaTheme="minorEastAsia" w:hAnsiTheme="minorEastAsia"/>
          <w:b/>
          <w:color w:val="000000" w:themeColor="text1"/>
          <w:sz w:val="24"/>
        </w:rPr>
      </w:pPr>
    </w:p>
    <w:p w:rsidR="00397616" w:rsidRPr="00EF0A05" w:rsidRDefault="00397616" w:rsidP="00397616">
      <w:pPr>
        <w:spacing w:line="360" w:lineRule="auto"/>
        <w:rPr>
          <w:rFonts w:asciiTheme="minorEastAsia" w:eastAsiaTheme="minorEastAsia" w:hAnsiTheme="minorEastAsia"/>
          <w:b/>
          <w:color w:val="000000" w:themeColor="text1"/>
          <w:sz w:val="24"/>
        </w:rPr>
      </w:pPr>
    </w:p>
    <w:p w:rsidR="00397616" w:rsidRPr="00EF0A05" w:rsidRDefault="00397616" w:rsidP="001A149A">
      <w:pPr>
        <w:spacing w:line="360" w:lineRule="auto"/>
        <w:ind w:firstLineChars="900" w:firstLine="2168"/>
        <w:rPr>
          <w:rFonts w:asciiTheme="minorEastAsia" w:eastAsiaTheme="minorEastAsia" w:hAnsiTheme="minorEastAsia"/>
          <w:b/>
          <w:color w:val="000000" w:themeColor="text1"/>
          <w:sz w:val="24"/>
        </w:rPr>
      </w:pPr>
      <w:r w:rsidRPr="00EF0A05">
        <w:rPr>
          <w:rFonts w:asciiTheme="minorEastAsia" w:eastAsiaTheme="minorEastAsia" w:hAnsiTheme="minorEastAsia" w:hint="eastAsia"/>
          <w:b/>
          <w:color w:val="000000" w:themeColor="text1"/>
          <w:sz w:val="24"/>
        </w:rPr>
        <w:t>基金管理人：</w:t>
      </w:r>
      <w:r w:rsidR="005C25C8" w:rsidRPr="00EF0A05">
        <w:rPr>
          <w:rFonts w:asciiTheme="minorEastAsia" w:eastAsiaTheme="minorEastAsia" w:hAnsiTheme="minorEastAsia"/>
          <w:b/>
          <w:color w:val="000000" w:themeColor="text1"/>
          <w:sz w:val="24"/>
        </w:rPr>
        <w:t>上投摩根基金管理有限公司</w:t>
      </w:r>
    </w:p>
    <w:p w:rsidR="00397616" w:rsidRPr="00EF0A05" w:rsidRDefault="00397616" w:rsidP="001A149A">
      <w:pPr>
        <w:spacing w:line="360" w:lineRule="auto"/>
        <w:ind w:firstLineChars="900" w:firstLine="2168"/>
        <w:rPr>
          <w:rFonts w:asciiTheme="minorEastAsia" w:eastAsiaTheme="minorEastAsia" w:hAnsiTheme="minorEastAsia"/>
          <w:b/>
          <w:color w:val="000000" w:themeColor="text1"/>
          <w:sz w:val="24"/>
        </w:rPr>
      </w:pPr>
      <w:r w:rsidRPr="00EF0A05">
        <w:rPr>
          <w:rFonts w:asciiTheme="minorEastAsia" w:eastAsiaTheme="minorEastAsia" w:hAnsiTheme="minorEastAsia" w:hint="eastAsia"/>
          <w:b/>
          <w:color w:val="000000" w:themeColor="text1"/>
          <w:sz w:val="24"/>
        </w:rPr>
        <w:t>基金托管人：</w:t>
      </w:r>
      <w:r w:rsidR="005C25C8" w:rsidRPr="00EF0A05">
        <w:rPr>
          <w:rFonts w:asciiTheme="minorEastAsia" w:eastAsiaTheme="minorEastAsia" w:hAnsiTheme="minorEastAsia"/>
          <w:b/>
          <w:color w:val="000000" w:themeColor="text1"/>
          <w:sz w:val="24"/>
        </w:rPr>
        <w:t>招商银行股份有限公司</w:t>
      </w:r>
    </w:p>
    <w:p w:rsidR="00397616" w:rsidRPr="00EF0A05" w:rsidRDefault="00397616" w:rsidP="001A149A">
      <w:pPr>
        <w:spacing w:line="360" w:lineRule="auto"/>
        <w:ind w:firstLineChars="900" w:firstLine="2168"/>
        <w:rPr>
          <w:rFonts w:asciiTheme="minorEastAsia" w:eastAsiaTheme="minorEastAsia" w:hAnsiTheme="minorEastAsia"/>
          <w:b/>
          <w:color w:val="000000" w:themeColor="text1"/>
          <w:sz w:val="24"/>
        </w:rPr>
        <w:sectPr w:rsidR="00397616" w:rsidRPr="00EF0A05" w:rsidSect="00D6226F">
          <w:headerReference w:type="default" r:id="rId7"/>
          <w:footerReference w:type="default" r:id="rId8"/>
          <w:pgSz w:w="11926" w:h="15840"/>
          <w:pgMar w:top="1418" w:right="1418" w:bottom="851" w:left="1418" w:header="851" w:footer="992" w:gutter="0"/>
          <w:cols w:space="720"/>
          <w:noEndnote/>
        </w:sectPr>
      </w:pPr>
      <w:r w:rsidRPr="00EF0A05">
        <w:rPr>
          <w:rFonts w:asciiTheme="minorEastAsia" w:eastAsiaTheme="minorEastAsia" w:hAnsiTheme="minorEastAsia" w:hint="eastAsia"/>
          <w:b/>
          <w:color w:val="000000" w:themeColor="text1"/>
          <w:sz w:val="24"/>
        </w:rPr>
        <w:t>报告</w:t>
      </w:r>
      <w:r w:rsidRPr="00EF0A05">
        <w:rPr>
          <w:rFonts w:asciiTheme="minorEastAsia" w:eastAsiaTheme="minorEastAsia" w:hAnsiTheme="minorEastAsia"/>
          <w:b/>
          <w:color w:val="000000" w:themeColor="text1"/>
          <w:sz w:val="24"/>
        </w:rPr>
        <w:t>送出日期：</w:t>
      </w:r>
      <w:r w:rsidR="00E55986" w:rsidRPr="00EF0A05">
        <w:rPr>
          <w:rFonts w:asciiTheme="minorEastAsia" w:eastAsiaTheme="minorEastAsia" w:hAnsiTheme="minorEastAsia"/>
          <w:b/>
          <w:color w:val="000000" w:themeColor="text1"/>
          <w:sz w:val="24"/>
        </w:rPr>
        <w:t>二〇二〇年一月二十日</w:t>
      </w:r>
    </w:p>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lastRenderedPageBreak/>
        <w:t>§</w:t>
      </w:r>
      <w:r w:rsidRPr="00EF0A05">
        <w:rPr>
          <w:rFonts w:asciiTheme="minorEastAsia" w:eastAsiaTheme="minorEastAsia" w:hAnsiTheme="minorEastAsia" w:cs="Arial"/>
          <w:color w:val="000000" w:themeColor="text1"/>
          <w:kern w:val="0"/>
          <w:sz w:val="24"/>
          <w:szCs w:val="24"/>
        </w:rPr>
        <w:t xml:space="preserve">1  </w:t>
      </w:r>
      <w:r w:rsidRPr="00EF0A05">
        <w:rPr>
          <w:rFonts w:asciiTheme="minorEastAsia" w:eastAsiaTheme="minorEastAsia" w:hAnsiTheme="minorEastAsia" w:cs="Arial" w:hint="eastAsia"/>
          <w:color w:val="000000" w:themeColor="text1"/>
          <w:kern w:val="0"/>
          <w:sz w:val="24"/>
          <w:szCs w:val="24"/>
        </w:rPr>
        <w:t>重要提示</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 w:val="24"/>
        </w:rPr>
        <w:t xml:space="preserve"> </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基金托管人招商银行股份有限公司根据本基金合同规定，于</w:t>
      </w:r>
      <w:r>
        <w:rPr>
          <w:rFonts w:asciiTheme="minorEastAsia" w:eastAsiaTheme="minorEastAsia" w:hAnsiTheme="minorEastAsia"/>
          <w:color w:val="000000" w:themeColor="text1"/>
          <w:sz w:val="24"/>
        </w:rPr>
        <w:t>2020</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17</w:t>
      </w:r>
      <w:r>
        <w:rPr>
          <w:rFonts w:asciiTheme="minorEastAsia" w:eastAsiaTheme="minorEastAsia" w:hAnsiTheme="minorEastAsia"/>
          <w:color w:val="000000" w:themeColor="text1"/>
          <w:sz w:val="24"/>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 w:val="24"/>
        </w:rPr>
        <w:t xml:space="preserve"> </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基金管理人承诺以诚实信用、勤勉尽责的原则管理和运用基金资产，但不保证基金一定盈利。</w:t>
      </w:r>
      <w:r>
        <w:rPr>
          <w:rFonts w:asciiTheme="minorEastAsia" w:eastAsiaTheme="minorEastAsia" w:hAnsiTheme="minorEastAsia"/>
          <w:color w:val="000000" w:themeColor="text1"/>
          <w:sz w:val="24"/>
        </w:rPr>
        <w:t xml:space="preserve"> </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 w:val="24"/>
        </w:rPr>
        <w:t xml:space="preserve"> </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本报告中财务资料未经审计。</w:t>
      </w:r>
    </w:p>
    <w:p w:rsidR="0076518F" w:rsidRPr="00EF0A05" w:rsidRDefault="005C25C8" w:rsidP="002328FE">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本报告期自2019年10月1日起至12月31日止。</w:t>
      </w:r>
    </w:p>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t>§</w:t>
      </w:r>
      <w:r w:rsidRPr="00EF0A05">
        <w:rPr>
          <w:rFonts w:asciiTheme="minorEastAsia" w:eastAsiaTheme="minorEastAsia" w:hAnsiTheme="minorEastAsia" w:cs="Arial"/>
          <w:color w:val="000000" w:themeColor="text1"/>
          <w:kern w:val="0"/>
          <w:sz w:val="24"/>
          <w:szCs w:val="24"/>
        </w:rPr>
        <w:t xml:space="preserve">2  </w:t>
      </w:r>
      <w:r w:rsidRPr="00EF0A05">
        <w:rPr>
          <w:rFonts w:asciiTheme="minorEastAsia" w:eastAsiaTheme="minorEastAsia" w:hAnsiTheme="minorEastAsia" w:cs="Arial" w:hint="eastAsia"/>
          <w:color w:val="000000" w:themeColor="text1"/>
          <w:kern w:val="0"/>
          <w:sz w:val="24"/>
          <w:szCs w:val="24"/>
        </w:rPr>
        <w:t>基金产品概况</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528"/>
      </w:tblGrid>
      <w:tr w:rsidR="00EF0A05" w:rsidRPr="00EF0A05" w:rsidTr="00193ABD">
        <w:tc>
          <w:tcPr>
            <w:tcW w:w="2977" w:type="dxa"/>
            <w:vAlign w:val="center"/>
          </w:tcPr>
          <w:p w:rsidR="005C25C8" w:rsidRPr="00EF0A05" w:rsidRDefault="005C25C8" w:rsidP="00193ABD">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基金简称</w:t>
            </w:r>
          </w:p>
        </w:tc>
        <w:tc>
          <w:tcPr>
            <w:tcW w:w="5528" w:type="dxa"/>
            <w:vAlign w:val="center"/>
          </w:tcPr>
          <w:p w:rsidR="005C25C8" w:rsidRPr="00EF0A05" w:rsidRDefault="005C25C8" w:rsidP="00193ABD">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上投摩根富时发达市场REITs指数（QDII）</w:t>
            </w:r>
          </w:p>
        </w:tc>
      </w:tr>
      <w:tr w:rsidR="00EF0A05" w:rsidRPr="00EF0A05" w:rsidTr="00193ABD">
        <w:tc>
          <w:tcPr>
            <w:tcW w:w="2977" w:type="dxa"/>
            <w:tcBorders>
              <w:top w:val="single" w:sz="4" w:space="0" w:color="auto"/>
              <w:left w:val="single" w:sz="4" w:space="0" w:color="auto"/>
              <w:bottom w:val="single" w:sz="4" w:space="0" w:color="auto"/>
              <w:right w:val="single" w:sz="4" w:space="0" w:color="auto"/>
            </w:tcBorders>
            <w:hideMark/>
          </w:tcPr>
          <w:p w:rsidR="003E379B" w:rsidRPr="00EF0A05" w:rsidRDefault="003E379B">
            <w:pPr>
              <w:adjustRightInd w:val="0"/>
              <w:spacing w:before="29" w:line="360" w:lineRule="auto"/>
              <w:ind w:left="17"/>
              <w:jc w:val="left"/>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基金主代码</w:t>
            </w:r>
          </w:p>
        </w:tc>
        <w:tc>
          <w:tcPr>
            <w:tcW w:w="5528" w:type="dxa"/>
            <w:tcBorders>
              <w:top w:val="single" w:sz="4" w:space="0" w:color="auto"/>
              <w:left w:val="single" w:sz="4" w:space="0" w:color="auto"/>
              <w:bottom w:val="single" w:sz="4" w:space="0" w:color="auto"/>
              <w:right w:val="single" w:sz="4" w:space="0" w:color="auto"/>
            </w:tcBorders>
            <w:hideMark/>
          </w:tcPr>
          <w:p w:rsidR="003E379B" w:rsidRPr="00EF0A05" w:rsidRDefault="003E379B">
            <w:pPr>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hint="eastAsia"/>
                <w:color w:val="000000" w:themeColor="text1"/>
                <w:kern w:val="0"/>
                <w:sz w:val="24"/>
              </w:rPr>
              <w:t>005613</w:t>
            </w:r>
          </w:p>
        </w:tc>
      </w:tr>
      <w:tr w:rsidR="00EF0A05" w:rsidRPr="00EF0A05" w:rsidTr="00193ABD">
        <w:tc>
          <w:tcPr>
            <w:tcW w:w="2977" w:type="dxa"/>
            <w:tcBorders>
              <w:top w:val="single" w:sz="4" w:space="0" w:color="auto"/>
              <w:left w:val="single" w:sz="4" w:space="0" w:color="auto"/>
              <w:bottom w:val="single" w:sz="4" w:space="0" w:color="auto"/>
              <w:right w:val="single" w:sz="4" w:space="0" w:color="auto"/>
            </w:tcBorders>
          </w:tcPr>
          <w:p w:rsidR="00747125" w:rsidRPr="00EF0A05" w:rsidRDefault="00747125">
            <w:pPr>
              <w:adjustRightInd w:val="0"/>
              <w:spacing w:before="29" w:line="360" w:lineRule="auto"/>
              <w:ind w:left="17"/>
              <w:jc w:val="left"/>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交易代码</w:t>
            </w:r>
          </w:p>
        </w:tc>
        <w:tc>
          <w:tcPr>
            <w:tcW w:w="5528" w:type="dxa"/>
            <w:tcBorders>
              <w:top w:val="single" w:sz="4" w:space="0" w:color="auto"/>
              <w:left w:val="single" w:sz="4" w:space="0" w:color="auto"/>
              <w:bottom w:val="single" w:sz="4" w:space="0" w:color="auto"/>
              <w:right w:val="single" w:sz="4" w:space="0" w:color="auto"/>
            </w:tcBorders>
          </w:tcPr>
          <w:p w:rsidR="00747125" w:rsidRPr="00EF0A05" w:rsidRDefault="00747125">
            <w:pPr>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005613</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基金运作方式</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契约型开放式</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基金合同生效日</w:t>
            </w:r>
          </w:p>
        </w:tc>
        <w:tc>
          <w:tcPr>
            <w:tcW w:w="5528" w:type="dxa"/>
            <w:vAlign w:val="center"/>
          </w:tcPr>
          <w:p w:rsidR="005C25C8" w:rsidRPr="00EF0A05" w:rsidRDefault="009A06E4" w:rsidP="00CA3C4F">
            <w:pPr>
              <w:adjustRightInd w:val="0"/>
              <w:spacing w:before="29" w:line="360" w:lineRule="auto"/>
              <w:ind w:left="17"/>
              <w:jc w:val="left"/>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2018年4月26日</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报告期末基金份额总额</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221,826,187.17</w:t>
            </w:r>
            <w:r w:rsidR="004009A4" w:rsidRPr="00EF0A05">
              <w:rPr>
                <w:rFonts w:asciiTheme="minorEastAsia" w:eastAsiaTheme="minorEastAsia" w:hAnsiTheme="minorEastAsia" w:hint="eastAsia"/>
                <w:color w:val="000000" w:themeColor="text1"/>
                <w:kern w:val="0"/>
                <w:sz w:val="24"/>
              </w:rPr>
              <w:t>份</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投资目标</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本基金采用被动式指数化投资策略，通过严格的投资程序约束和数量化风险管理手段，力求实现对标的指数的有效跟踪，追求跟踪误差的最小化。本基金力争控制基金净值增长率与业绩比较基准之间的日均跟踪偏离度小于0.5%，基金净值增长率与业绩比较基准之间的年跟踪误差不超过5%。</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投资策略</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本基金采用抽样复制策略进行被动式指数化投资，</w:t>
            </w:r>
            <w:r w:rsidRPr="00EF0A05">
              <w:rPr>
                <w:rFonts w:asciiTheme="minorEastAsia" w:eastAsiaTheme="minorEastAsia" w:hAnsiTheme="minorEastAsia"/>
                <w:color w:val="000000" w:themeColor="text1"/>
                <w:kern w:val="0"/>
                <w:sz w:val="24"/>
              </w:rPr>
              <w:lastRenderedPageBreak/>
              <w:t>在富时发达市场REITs指数（英文为FTSE EPRA/NAREIT Developed REITs Index）成分股、备选成分股中，优选流动性好、基本面稳健的REITs构建REITs组合，以较小的交易成本实现较低的跟踪误差。但因特殊情况导致基金无法有效跟踪标的指数时，本基金将运用其他方法建立实际组合，力求实现跟踪误差最小化。</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lastRenderedPageBreak/>
              <w:t>业绩比较基准</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95%×富时发达市场REITs指数收益率+ 5%×税后银行活期存款收益率</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风险收益特征</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本基金为指数型基金，主要采用抽样复制法跟踪标的指数，具有与标的指数以及标的指数所代表的投资市场相似的风险收益特征，风险和收益高于货币市场基金、债券型基金和混合型基金。本基金风险收益特征会定期评估并在公司网站发布，请投资者关注。</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基金管理人</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上投摩根基金管理有限公司</w:t>
            </w:r>
          </w:p>
        </w:tc>
      </w:tr>
      <w:tr w:rsidR="00EF0A05" w:rsidRPr="00EF0A05" w:rsidTr="00193ABD">
        <w:tc>
          <w:tcPr>
            <w:tcW w:w="2977"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基金托管人</w:t>
            </w:r>
          </w:p>
        </w:tc>
        <w:tc>
          <w:tcPr>
            <w:tcW w:w="5528" w:type="dxa"/>
            <w:vAlign w:val="center"/>
          </w:tcPr>
          <w:p w:rsidR="005C25C8" w:rsidRPr="00EF0A05" w:rsidRDefault="005C25C8" w:rsidP="00CA3C4F">
            <w:pPr>
              <w:adjustRightInd w:val="0"/>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招商银行股份有限公司</w:t>
            </w:r>
          </w:p>
        </w:tc>
      </w:tr>
      <w:tr w:rsidR="00EF0A05" w:rsidRPr="00EF0A05" w:rsidTr="00193ABD">
        <w:tc>
          <w:tcPr>
            <w:tcW w:w="2977" w:type="dxa"/>
            <w:vAlign w:val="center"/>
          </w:tcPr>
          <w:p w:rsidR="000E5D28" w:rsidRPr="00EF0A05" w:rsidRDefault="000E5D28" w:rsidP="00CA3C4F">
            <w:pPr>
              <w:adjustRightInd w:val="0"/>
              <w:spacing w:before="29" w:line="360" w:lineRule="auto"/>
              <w:ind w:left="17"/>
              <w:jc w:val="left"/>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境外资产托管人英文名称</w:t>
            </w:r>
          </w:p>
        </w:tc>
        <w:tc>
          <w:tcPr>
            <w:tcW w:w="5528" w:type="dxa"/>
            <w:vAlign w:val="center"/>
          </w:tcPr>
          <w:p w:rsidR="000E5D28" w:rsidRPr="00EF0A05" w:rsidRDefault="000E5D28" w:rsidP="00CA3C4F">
            <w:pPr>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hint="eastAsia"/>
                <w:color w:val="000000" w:themeColor="text1"/>
                <w:kern w:val="0"/>
                <w:sz w:val="24"/>
              </w:rPr>
              <w:t>The Hong Kong and Shanghai Banking Corporation Limited</w:t>
            </w:r>
          </w:p>
        </w:tc>
      </w:tr>
      <w:tr w:rsidR="00EF0A05" w:rsidRPr="00EF0A05" w:rsidTr="00193ABD">
        <w:tc>
          <w:tcPr>
            <w:tcW w:w="2977" w:type="dxa"/>
            <w:vAlign w:val="center"/>
          </w:tcPr>
          <w:p w:rsidR="000E5D28" w:rsidRPr="00EF0A05" w:rsidRDefault="000E5D28" w:rsidP="00CA3C4F">
            <w:pPr>
              <w:adjustRightInd w:val="0"/>
              <w:spacing w:before="29" w:line="360" w:lineRule="auto"/>
              <w:ind w:left="17"/>
              <w:jc w:val="left"/>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境外资产托管人中文名称</w:t>
            </w:r>
          </w:p>
        </w:tc>
        <w:tc>
          <w:tcPr>
            <w:tcW w:w="5528" w:type="dxa"/>
            <w:vAlign w:val="center"/>
          </w:tcPr>
          <w:p w:rsidR="000E5D28" w:rsidRPr="00EF0A05" w:rsidRDefault="000E5D28" w:rsidP="00CA3C4F">
            <w:pPr>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hint="eastAsia"/>
                <w:color w:val="000000" w:themeColor="text1"/>
                <w:kern w:val="0"/>
                <w:sz w:val="24"/>
              </w:rPr>
              <w:t>香港上海汇丰银行有限公司</w:t>
            </w:r>
          </w:p>
        </w:tc>
      </w:tr>
    </w:tbl>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t>§</w:t>
      </w:r>
      <w:r w:rsidRPr="00EF0A05">
        <w:rPr>
          <w:rFonts w:asciiTheme="minorEastAsia" w:eastAsiaTheme="minorEastAsia" w:hAnsiTheme="minorEastAsia" w:cs="Arial"/>
          <w:color w:val="000000" w:themeColor="text1"/>
          <w:kern w:val="0"/>
          <w:sz w:val="24"/>
          <w:szCs w:val="24"/>
        </w:rPr>
        <w:t xml:space="preserve">3  </w:t>
      </w:r>
      <w:r w:rsidRPr="00EF0A05">
        <w:rPr>
          <w:rFonts w:asciiTheme="minorEastAsia" w:eastAsiaTheme="minorEastAsia" w:hAnsiTheme="minorEastAsia" w:cs="Arial" w:hint="eastAsia"/>
          <w:color w:val="000000" w:themeColor="text1"/>
          <w:kern w:val="0"/>
          <w:sz w:val="24"/>
          <w:szCs w:val="24"/>
        </w:rPr>
        <w:t>主要财务指标和基金净值表现</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3.1 </w:t>
      </w:r>
      <w:r w:rsidRPr="00EF0A05">
        <w:rPr>
          <w:rFonts w:asciiTheme="minorEastAsia" w:eastAsiaTheme="minorEastAsia" w:hAnsiTheme="minorEastAsia" w:cs="Arial" w:hint="eastAsia"/>
          <w:b/>
          <w:color w:val="000000" w:themeColor="text1"/>
          <w:kern w:val="0"/>
          <w:sz w:val="24"/>
        </w:rPr>
        <w:t>主要财务指标</w:t>
      </w:r>
    </w:p>
    <w:p w:rsidR="0076518F" w:rsidRPr="00EF0A05"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1C5E47" w:rsidRPr="00EF0A05" w:rsidTr="001C5E47">
        <w:tc>
          <w:tcPr>
            <w:tcW w:w="3402" w:type="dxa"/>
            <w:vAlign w:val="center"/>
          </w:tcPr>
          <w:p w:rsidR="005C25C8" w:rsidRPr="00EF0A05" w:rsidRDefault="005C25C8" w:rsidP="00CA3C4F">
            <w:pPr>
              <w:adjustRightInd w:val="0"/>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主要财务指标</w:t>
            </w:r>
          </w:p>
        </w:tc>
        <w:tc>
          <w:tcPr>
            <w:tcW w:w="4962" w:type="dxa"/>
            <w:vAlign w:val="center"/>
          </w:tcPr>
          <w:p w:rsidR="005C25C8" w:rsidRPr="00EF0A05" w:rsidRDefault="005C25C8" w:rsidP="00CA3C4F">
            <w:pPr>
              <w:adjustRightInd w:val="0"/>
              <w:spacing w:before="29" w:line="360" w:lineRule="auto"/>
              <w:ind w:left="17"/>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本期金额</w:t>
            </w:r>
          </w:p>
          <w:p w:rsidR="00E57F40" w:rsidRPr="00EF0A05" w:rsidRDefault="00E57F40" w:rsidP="00CA3C4F">
            <w:pPr>
              <w:adjustRightInd w:val="0"/>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kern w:val="0"/>
                <w:sz w:val="24"/>
              </w:rPr>
              <w:t>(2019年10月1日-2019年12月31日)</w:t>
            </w:r>
          </w:p>
        </w:tc>
      </w:tr>
      <w:tr w:rsidR="001C5E47" w:rsidRPr="00EF0A05" w:rsidTr="001C5E47">
        <w:tc>
          <w:tcPr>
            <w:tcW w:w="3402" w:type="dxa"/>
          </w:tcPr>
          <w:p w:rsidR="005C25C8" w:rsidRPr="00EF0A05" w:rsidRDefault="005C25C8" w:rsidP="00CA3C4F">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s="方正仿宋简体"/>
                <w:color w:val="000000" w:themeColor="text1"/>
                <w:kern w:val="0"/>
                <w:sz w:val="24"/>
              </w:rPr>
              <w:t>1.</w:t>
            </w:r>
            <w:r w:rsidRPr="00EF0A05">
              <w:rPr>
                <w:rFonts w:asciiTheme="minorEastAsia" w:eastAsiaTheme="minorEastAsia" w:hAnsiTheme="minorEastAsia" w:cs="宋体" w:hint="eastAsia"/>
                <w:color w:val="000000" w:themeColor="text1"/>
                <w:kern w:val="0"/>
                <w:sz w:val="24"/>
              </w:rPr>
              <w:t>本期已实现收益</w:t>
            </w:r>
          </w:p>
        </w:tc>
        <w:tc>
          <w:tcPr>
            <w:tcW w:w="4962" w:type="dxa"/>
            <w:vAlign w:val="bottom"/>
          </w:tcPr>
          <w:p w:rsidR="005C25C8" w:rsidRPr="00EF0A05" w:rsidRDefault="005C25C8" w:rsidP="00CA3C4F">
            <w:pPr>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1,608,473.17</w:t>
            </w:r>
          </w:p>
        </w:tc>
      </w:tr>
      <w:tr w:rsidR="001C5E47" w:rsidRPr="00EF0A05" w:rsidTr="001C5E47">
        <w:tc>
          <w:tcPr>
            <w:tcW w:w="3402" w:type="dxa"/>
          </w:tcPr>
          <w:p w:rsidR="005C25C8" w:rsidRPr="00EF0A05" w:rsidRDefault="005C25C8" w:rsidP="00CA3C4F">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s="方正仿宋简体"/>
                <w:color w:val="000000" w:themeColor="text1"/>
                <w:kern w:val="0"/>
                <w:sz w:val="24"/>
              </w:rPr>
              <w:t>2.</w:t>
            </w:r>
            <w:r w:rsidRPr="00EF0A05">
              <w:rPr>
                <w:rFonts w:asciiTheme="minorEastAsia" w:eastAsiaTheme="minorEastAsia" w:hAnsiTheme="minorEastAsia" w:cs="宋体" w:hint="eastAsia"/>
                <w:color w:val="000000" w:themeColor="text1"/>
                <w:kern w:val="0"/>
                <w:sz w:val="24"/>
              </w:rPr>
              <w:t>本期利润</w:t>
            </w:r>
          </w:p>
        </w:tc>
        <w:tc>
          <w:tcPr>
            <w:tcW w:w="4962" w:type="dxa"/>
            <w:vAlign w:val="bottom"/>
          </w:tcPr>
          <w:p w:rsidR="005C25C8" w:rsidRPr="00EF0A05" w:rsidRDefault="005C25C8" w:rsidP="00CA3C4F">
            <w:pPr>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-6,634,341.68</w:t>
            </w:r>
          </w:p>
        </w:tc>
      </w:tr>
      <w:tr w:rsidR="001C5E47" w:rsidRPr="00EF0A05" w:rsidTr="001C5E47">
        <w:tc>
          <w:tcPr>
            <w:tcW w:w="3402" w:type="dxa"/>
          </w:tcPr>
          <w:p w:rsidR="005C25C8" w:rsidRPr="00EF0A05" w:rsidRDefault="005C25C8" w:rsidP="00CA3C4F">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s="方正仿宋简体"/>
                <w:color w:val="000000" w:themeColor="text1"/>
                <w:kern w:val="0"/>
                <w:sz w:val="24"/>
              </w:rPr>
              <w:lastRenderedPageBreak/>
              <w:t>3.</w:t>
            </w:r>
            <w:r w:rsidRPr="00EF0A05">
              <w:rPr>
                <w:rFonts w:asciiTheme="minorEastAsia" w:eastAsiaTheme="minorEastAsia" w:hAnsiTheme="minorEastAsia" w:cs="宋体" w:hint="eastAsia"/>
                <w:color w:val="000000" w:themeColor="text1"/>
                <w:kern w:val="0"/>
                <w:sz w:val="24"/>
              </w:rPr>
              <w:t>加权平均基金份额本期利润</w:t>
            </w:r>
          </w:p>
        </w:tc>
        <w:tc>
          <w:tcPr>
            <w:tcW w:w="4962" w:type="dxa"/>
            <w:vAlign w:val="bottom"/>
          </w:tcPr>
          <w:p w:rsidR="005C25C8" w:rsidRPr="00EF0A05" w:rsidRDefault="005C25C8" w:rsidP="00CA3C4F">
            <w:pPr>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-0.0320</w:t>
            </w:r>
          </w:p>
        </w:tc>
      </w:tr>
      <w:tr w:rsidR="001C5E47" w:rsidRPr="00EF0A05" w:rsidTr="001C5E47">
        <w:tc>
          <w:tcPr>
            <w:tcW w:w="3402" w:type="dxa"/>
          </w:tcPr>
          <w:p w:rsidR="005C25C8" w:rsidRPr="00EF0A05" w:rsidRDefault="005C25C8" w:rsidP="00CA3C4F">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s="方正仿宋简体"/>
                <w:color w:val="000000" w:themeColor="text1"/>
                <w:kern w:val="0"/>
                <w:sz w:val="24"/>
              </w:rPr>
              <w:t>4.</w:t>
            </w:r>
            <w:r w:rsidRPr="00EF0A05">
              <w:rPr>
                <w:rFonts w:asciiTheme="minorEastAsia" w:eastAsiaTheme="minorEastAsia" w:hAnsiTheme="minorEastAsia" w:cs="宋体" w:hint="eastAsia"/>
                <w:color w:val="000000" w:themeColor="text1"/>
                <w:kern w:val="0"/>
                <w:sz w:val="24"/>
              </w:rPr>
              <w:t>期末基金资产净值</w:t>
            </w:r>
          </w:p>
        </w:tc>
        <w:tc>
          <w:tcPr>
            <w:tcW w:w="4962" w:type="dxa"/>
          </w:tcPr>
          <w:p w:rsidR="005C25C8" w:rsidRPr="00EF0A05" w:rsidRDefault="005C25C8" w:rsidP="00CA3C4F">
            <w:pPr>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285,982,876.06</w:t>
            </w:r>
          </w:p>
        </w:tc>
      </w:tr>
      <w:tr w:rsidR="001C5E47" w:rsidRPr="00EF0A05" w:rsidTr="001C5E47">
        <w:trPr>
          <w:trHeight w:val="158"/>
        </w:trPr>
        <w:tc>
          <w:tcPr>
            <w:tcW w:w="3402" w:type="dxa"/>
          </w:tcPr>
          <w:p w:rsidR="005C25C8" w:rsidRPr="00EF0A05" w:rsidRDefault="005C25C8" w:rsidP="00CA3C4F">
            <w:pPr>
              <w:adjustRightInd w:val="0"/>
              <w:spacing w:before="29" w:line="360" w:lineRule="auto"/>
              <w:ind w:left="17"/>
              <w:rPr>
                <w:rFonts w:asciiTheme="minorEastAsia" w:eastAsiaTheme="minorEastAsia" w:hAnsiTheme="minorEastAsia"/>
                <w:color w:val="000000" w:themeColor="text1"/>
                <w:kern w:val="0"/>
                <w:sz w:val="24"/>
              </w:rPr>
            </w:pPr>
            <w:r w:rsidRPr="00EF0A05">
              <w:rPr>
                <w:rFonts w:asciiTheme="minorEastAsia" w:eastAsiaTheme="minorEastAsia" w:hAnsiTheme="minorEastAsia" w:cs="方正仿宋简体"/>
                <w:color w:val="000000" w:themeColor="text1"/>
                <w:kern w:val="0"/>
                <w:sz w:val="24"/>
              </w:rPr>
              <w:t>5.</w:t>
            </w:r>
            <w:r w:rsidRPr="00EF0A05">
              <w:rPr>
                <w:rFonts w:asciiTheme="minorEastAsia" w:eastAsiaTheme="minorEastAsia" w:hAnsiTheme="minorEastAsia" w:cs="宋体" w:hint="eastAsia"/>
                <w:color w:val="000000" w:themeColor="text1"/>
                <w:kern w:val="0"/>
                <w:sz w:val="24"/>
              </w:rPr>
              <w:t>期末基金份额净值</w:t>
            </w:r>
          </w:p>
        </w:tc>
        <w:tc>
          <w:tcPr>
            <w:tcW w:w="4962" w:type="dxa"/>
          </w:tcPr>
          <w:p w:rsidR="005C25C8" w:rsidRPr="00EF0A05" w:rsidRDefault="005C25C8" w:rsidP="00CA3C4F">
            <w:pPr>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1.2892</w:t>
            </w:r>
          </w:p>
        </w:tc>
      </w:tr>
    </w:tbl>
    <w:p w:rsidR="000E67FD" w:rsidRDefault="001C5E47">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注：本期已实现收益指基金本期利息收入、投资收益、其他收入（不含公允价值变动收益）扣除相关费用后的余额，本期利润为本期已实现收益加上本期公允价值变动收益。</w:t>
      </w:r>
    </w:p>
    <w:p w:rsidR="0076518F" w:rsidRPr="00EF0A05" w:rsidRDefault="005C25C8" w:rsidP="008B6A4A">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上述基金业绩指标不包括持有人认购或交易基金的各项费用，计入费用后实际收益水平要低于所列数字。</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3.2 </w:t>
      </w:r>
      <w:r w:rsidRPr="00EF0A05">
        <w:rPr>
          <w:rFonts w:asciiTheme="minorEastAsia" w:eastAsiaTheme="minorEastAsia" w:hAnsiTheme="minorEastAsia" w:cs="Arial" w:hint="eastAsia"/>
          <w:b/>
          <w:color w:val="000000" w:themeColor="text1"/>
          <w:kern w:val="0"/>
          <w:sz w:val="24"/>
        </w:rPr>
        <w:t>基金净值表现</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b/>
            <w:color w:val="000000" w:themeColor="text1"/>
            <w:kern w:val="0"/>
            <w:sz w:val="24"/>
          </w:rPr>
          <w:t>3.2.1</w:t>
        </w:r>
      </w:smartTag>
      <w:r w:rsidRPr="00EF0A05">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Style w:val="afa"/>
        <w:tblW w:w="0" w:type="auto"/>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EF0A05" w:rsidRPr="00EF0A05" w:rsidTr="00CA3C4F">
        <w:tc>
          <w:tcPr>
            <w:tcW w:w="1395"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阶段</w:t>
            </w:r>
          </w:p>
        </w:tc>
        <w:tc>
          <w:tcPr>
            <w:tcW w:w="1092"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净值增长率①</w:t>
            </w:r>
          </w:p>
        </w:tc>
        <w:tc>
          <w:tcPr>
            <w:tcW w:w="1161"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净值增长率标准差②</w:t>
            </w:r>
          </w:p>
        </w:tc>
        <w:tc>
          <w:tcPr>
            <w:tcW w:w="1181"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业绩比较基准收益率③</w:t>
            </w:r>
          </w:p>
        </w:tc>
        <w:tc>
          <w:tcPr>
            <w:tcW w:w="1188"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业绩比较基准收益率标准差④</w:t>
            </w:r>
          </w:p>
        </w:tc>
        <w:tc>
          <w:tcPr>
            <w:tcW w:w="1199"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①</w:t>
            </w:r>
            <w:r w:rsidRPr="00EF0A05">
              <w:rPr>
                <w:rFonts w:asciiTheme="minorEastAsia" w:eastAsiaTheme="minorEastAsia" w:hAnsiTheme="minorEastAsia" w:cs="Arial"/>
                <w:color w:val="000000" w:themeColor="text1"/>
                <w:sz w:val="24"/>
              </w:rPr>
              <w:t>-</w:t>
            </w:r>
            <w:r w:rsidRPr="00EF0A05">
              <w:rPr>
                <w:rFonts w:asciiTheme="minorEastAsia" w:eastAsiaTheme="minorEastAsia" w:hAnsiTheme="minorEastAsia" w:cs="Arial" w:hint="eastAsia"/>
                <w:color w:val="000000" w:themeColor="text1"/>
                <w:sz w:val="24"/>
              </w:rPr>
              <w:t>③</w:t>
            </w:r>
          </w:p>
        </w:tc>
        <w:tc>
          <w:tcPr>
            <w:tcW w:w="1204"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Arial"/>
                <w:color w:val="000000" w:themeColor="text1"/>
                <w:sz w:val="24"/>
              </w:rPr>
            </w:pPr>
            <w:r w:rsidRPr="00EF0A05">
              <w:rPr>
                <w:rFonts w:asciiTheme="minorEastAsia" w:eastAsiaTheme="minorEastAsia" w:hAnsiTheme="minorEastAsia" w:cs="Arial" w:hint="eastAsia"/>
                <w:color w:val="000000" w:themeColor="text1"/>
                <w:sz w:val="24"/>
              </w:rPr>
              <w:t>②</w:t>
            </w:r>
            <w:r w:rsidRPr="00EF0A05">
              <w:rPr>
                <w:rFonts w:asciiTheme="minorEastAsia" w:eastAsiaTheme="minorEastAsia" w:hAnsiTheme="minorEastAsia" w:cs="Arial"/>
                <w:color w:val="000000" w:themeColor="text1"/>
                <w:sz w:val="24"/>
              </w:rPr>
              <w:t>-</w:t>
            </w:r>
            <w:r w:rsidRPr="00EF0A05">
              <w:rPr>
                <w:rFonts w:asciiTheme="minorEastAsia" w:eastAsiaTheme="minorEastAsia" w:hAnsiTheme="minorEastAsia" w:cs="Arial" w:hint="eastAsia"/>
                <w:color w:val="000000" w:themeColor="text1"/>
                <w:sz w:val="24"/>
              </w:rPr>
              <w:t>④</w:t>
            </w:r>
          </w:p>
        </w:tc>
      </w:tr>
      <w:tr w:rsidR="000E67FD">
        <w:tc>
          <w:tcPr>
            <w:tcW w:w="1395" w:type="dxa"/>
            <w:vAlign w:val="center"/>
          </w:tcPr>
          <w:p w:rsidR="000E67FD" w:rsidRDefault="001C5E47">
            <w:pPr>
              <w:jc w:val="left"/>
            </w:pPr>
            <w:r>
              <w:rPr>
                <w:rFonts w:asciiTheme="minorEastAsia" w:eastAsiaTheme="minorEastAsia" w:hAnsiTheme="minorEastAsia"/>
                <w:color w:val="000000" w:themeColor="text1"/>
                <w:sz w:val="24"/>
              </w:rPr>
              <w:t>过去三个月</w:t>
            </w:r>
          </w:p>
        </w:tc>
        <w:tc>
          <w:tcPr>
            <w:tcW w:w="1092" w:type="dxa"/>
            <w:vAlign w:val="center"/>
          </w:tcPr>
          <w:p w:rsidR="000E67FD" w:rsidRDefault="001C5E47">
            <w:pPr>
              <w:jc w:val="center"/>
            </w:pPr>
            <w:r>
              <w:rPr>
                <w:rFonts w:asciiTheme="minorEastAsia" w:eastAsiaTheme="minorEastAsia" w:hAnsiTheme="minorEastAsia"/>
                <w:color w:val="000000" w:themeColor="text1"/>
                <w:sz w:val="24"/>
              </w:rPr>
              <w:t>-2.29%</w:t>
            </w:r>
          </w:p>
        </w:tc>
        <w:tc>
          <w:tcPr>
            <w:tcW w:w="1161" w:type="dxa"/>
            <w:vAlign w:val="center"/>
          </w:tcPr>
          <w:p w:rsidR="000E67FD" w:rsidRDefault="001C5E47">
            <w:pPr>
              <w:jc w:val="center"/>
            </w:pPr>
            <w:r>
              <w:rPr>
                <w:rFonts w:asciiTheme="minorEastAsia" w:eastAsiaTheme="minorEastAsia" w:hAnsiTheme="minorEastAsia"/>
                <w:color w:val="000000" w:themeColor="text1"/>
                <w:sz w:val="24"/>
              </w:rPr>
              <w:t>0.56%</w:t>
            </w:r>
          </w:p>
        </w:tc>
        <w:tc>
          <w:tcPr>
            <w:tcW w:w="1181" w:type="dxa"/>
            <w:vAlign w:val="center"/>
          </w:tcPr>
          <w:p w:rsidR="000E67FD" w:rsidRDefault="001C5E47">
            <w:pPr>
              <w:jc w:val="center"/>
            </w:pPr>
            <w:r>
              <w:rPr>
                <w:rFonts w:asciiTheme="minorEastAsia" w:eastAsiaTheme="minorEastAsia" w:hAnsiTheme="minorEastAsia"/>
                <w:color w:val="000000" w:themeColor="text1"/>
                <w:sz w:val="24"/>
              </w:rPr>
              <w:t>-1.32%</w:t>
            </w:r>
          </w:p>
        </w:tc>
        <w:tc>
          <w:tcPr>
            <w:tcW w:w="1188" w:type="dxa"/>
            <w:vAlign w:val="center"/>
          </w:tcPr>
          <w:p w:rsidR="000E67FD" w:rsidRDefault="001C5E47">
            <w:pPr>
              <w:jc w:val="center"/>
            </w:pPr>
            <w:r>
              <w:rPr>
                <w:rFonts w:asciiTheme="minorEastAsia" w:eastAsiaTheme="minorEastAsia" w:hAnsiTheme="minorEastAsia"/>
                <w:color w:val="000000" w:themeColor="text1"/>
                <w:sz w:val="24"/>
              </w:rPr>
              <w:t>0.55%</w:t>
            </w:r>
          </w:p>
        </w:tc>
        <w:tc>
          <w:tcPr>
            <w:tcW w:w="1199" w:type="dxa"/>
            <w:vAlign w:val="center"/>
          </w:tcPr>
          <w:p w:rsidR="000E67FD" w:rsidRDefault="001C5E47">
            <w:pPr>
              <w:jc w:val="center"/>
            </w:pPr>
            <w:r>
              <w:rPr>
                <w:rFonts w:asciiTheme="minorEastAsia" w:eastAsiaTheme="minorEastAsia" w:hAnsiTheme="minorEastAsia"/>
                <w:color w:val="000000" w:themeColor="text1"/>
                <w:sz w:val="24"/>
              </w:rPr>
              <w:t>-0.97%</w:t>
            </w:r>
          </w:p>
        </w:tc>
        <w:tc>
          <w:tcPr>
            <w:tcW w:w="1204" w:type="dxa"/>
            <w:vAlign w:val="center"/>
          </w:tcPr>
          <w:p w:rsidR="000E67FD" w:rsidRDefault="001C5E47">
            <w:pPr>
              <w:jc w:val="center"/>
            </w:pPr>
            <w:r>
              <w:rPr>
                <w:rFonts w:asciiTheme="minorEastAsia" w:eastAsiaTheme="minorEastAsia" w:hAnsiTheme="minorEastAsia"/>
                <w:color w:val="000000" w:themeColor="text1"/>
                <w:sz w:val="24"/>
              </w:rPr>
              <w:t>0.01%</w:t>
            </w:r>
          </w:p>
        </w:tc>
      </w:tr>
    </w:tbl>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b/>
            <w:color w:val="000000" w:themeColor="text1"/>
            <w:kern w:val="0"/>
            <w:sz w:val="24"/>
          </w:rPr>
          <w:t>3.2.2</w:t>
        </w:r>
        <w:r w:rsidRPr="00EF0A05">
          <w:rPr>
            <w:rFonts w:asciiTheme="minorEastAsia" w:eastAsiaTheme="minorEastAsia" w:hAnsiTheme="minorEastAsia" w:cs="Arial" w:hint="eastAsia"/>
            <w:b/>
            <w:color w:val="000000" w:themeColor="text1"/>
            <w:kern w:val="0"/>
            <w:sz w:val="24"/>
          </w:rPr>
          <w:t xml:space="preserve">　</w:t>
        </w:r>
        <w:r w:rsidR="003D51F6" w:rsidRPr="00EF0A05">
          <w:rPr>
            <w:rStyle w:val="afb"/>
            <w:rFonts w:hint="eastAsia"/>
            <w:color w:val="000000" w:themeColor="text1"/>
            <w:sz w:val="24"/>
            <w:shd w:val="clear" w:color="auto" w:fill="FFFFFF"/>
          </w:rPr>
          <w:t>自基金合同生效以来</w:t>
        </w:r>
      </w:smartTag>
      <w:r w:rsidRPr="00EF0A05">
        <w:rPr>
          <w:rFonts w:asciiTheme="minorEastAsia" w:eastAsiaTheme="minorEastAsia" w:hAnsiTheme="minorEastAsia" w:cs="Arial" w:hint="eastAsia"/>
          <w:b/>
          <w:color w:val="000000" w:themeColor="text1"/>
          <w:kern w:val="0"/>
          <w:sz w:val="24"/>
        </w:rPr>
        <w:t>基金累计净值增长率变动及其与同期业绩比较基准收益率变动的比较</w:t>
      </w:r>
    </w:p>
    <w:p w:rsidR="00A726E0" w:rsidRPr="00EF0A05" w:rsidRDefault="00A726E0" w:rsidP="0029671E">
      <w:pPr>
        <w:spacing w:line="360" w:lineRule="auto"/>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上投摩根富时发达市场REITs指数型证券投资基金（QDII）</w:t>
      </w:r>
    </w:p>
    <w:p w:rsidR="007D0E9D" w:rsidRPr="00EF0A05" w:rsidRDefault="007D0E9D" w:rsidP="0029671E">
      <w:pPr>
        <w:pStyle w:val="a5"/>
        <w:snapToGrid w:val="0"/>
        <w:spacing w:line="360" w:lineRule="auto"/>
        <w:jc w:val="center"/>
        <w:rPr>
          <w:rFonts w:asciiTheme="minorEastAsia" w:eastAsiaTheme="minorEastAsia" w:hAnsiTheme="minorEastAsia"/>
          <w:color w:val="000000" w:themeColor="text1"/>
          <w:sz w:val="24"/>
          <w:szCs w:val="24"/>
        </w:rPr>
      </w:pPr>
      <w:r w:rsidRPr="00EF0A05">
        <w:rPr>
          <w:rFonts w:asciiTheme="minorEastAsia" w:eastAsiaTheme="minorEastAsia" w:hAnsiTheme="minorEastAsia" w:hint="eastAsia"/>
          <w:color w:val="000000" w:themeColor="text1"/>
          <w:sz w:val="24"/>
          <w:szCs w:val="24"/>
        </w:rPr>
        <w:t>累计净值</w:t>
      </w:r>
      <w:r w:rsidR="00E57F40" w:rsidRPr="00EF0A05">
        <w:rPr>
          <w:rFonts w:asciiTheme="minorEastAsia" w:eastAsiaTheme="minorEastAsia" w:hAnsiTheme="minorEastAsia" w:hint="eastAsia"/>
          <w:color w:val="000000" w:themeColor="text1"/>
          <w:sz w:val="24"/>
          <w:szCs w:val="24"/>
        </w:rPr>
        <w:t>增长</w:t>
      </w:r>
      <w:r w:rsidRPr="00EF0A05">
        <w:rPr>
          <w:rFonts w:asciiTheme="minorEastAsia" w:eastAsiaTheme="minorEastAsia" w:hAnsiTheme="minorEastAsia" w:hint="eastAsia"/>
          <w:color w:val="000000" w:themeColor="text1"/>
          <w:sz w:val="24"/>
          <w:szCs w:val="24"/>
        </w:rPr>
        <w:t>率与业绩比较基准收益率历史走势对比图</w:t>
      </w:r>
    </w:p>
    <w:p w:rsidR="00A726E0" w:rsidRPr="00EF0A05" w:rsidRDefault="007D0E9D" w:rsidP="0029671E">
      <w:pPr>
        <w:spacing w:line="360" w:lineRule="auto"/>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kern w:val="0"/>
          <w:sz w:val="24"/>
        </w:rPr>
        <w:t xml:space="preserve"> (</w:t>
      </w:r>
      <w:r w:rsidR="00B814D9" w:rsidRPr="00EF0A05">
        <w:rPr>
          <w:rFonts w:asciiTheme="minorEastAsia" w:eastAsiaTheme="minorEastAsia" w:hAnsiTheme="minorEastAsia"/>
          <w:color w:val="000000" w:themeColor="text1"/>
          <w:kern w:val="0"/>
          <w:sz w:val="24"/>
        </w:rPr>
        <w:t>2018年4月26日</w:t>
      </w:r>
      <w:r w:rsidR="00A726E0" w:rsidRPr="00EF0A05">
        <w:rPr>
          <w:rFonts w:asciiTheme="minorEastAsia" w:eastAsiaTheme="minorEastAsia" w:hAnsiTheme="minorEastAsia" w:hint="eastAsia"/>
          <w:color w:val="000000" w:themeColor="text1"/>
          <w:kern w:val="0"/>
          <w:sz w:val="24"/>
        </w:rPr>
        <w:t>至2019年12月31日</w:t>
      </w:r>
      <w:r w:rsidRPr="00EF0A05">
        <w:rPr>
          <w:rFonts w:asciiTheme="minorEastAsia" w:eastAsiaTheme="minorEastAsia" w:hAnsiTheme="minorEastAsia" w:hint="eastAsia"/>
          <w:color w:val="000000" w:themeColor="text1"/>
          <w:kern w:val="0"/>
          <w:sz w:val="24"/>
        </w:rPr>
        <w:t>)</w:t>
      </w:r>
    </w:p>
    <w:p w:rsidR="00A726E0" w:rsidRPr="00EF0A05" w:rsidRDefault="004A3625" w:rsidP="00A726E0">
      <w:pPr>
        <w:tabs>
          <w:tab w:val="left" w:pos="1800"/>
        </w:tabs>
        <w:spacing w:line="360" w:lineRule="auto"/>
        <w:jc w:val="center"/>
        <w:rPr>
          <w:rFonts w:asciiTheme="minorEastAsia" w:eastAsiaTheme="minorEastAsia" w:hAnsiTheme="minorEastAsia"/>
          <w:color w:val="000000" w:themeColor="text1"/>
          <w:sz w:val="24"/>
        </w:rPr>
      </w:pPr>
      <w:r w:rsidRPr="00EF0A05">
        <w:rPr>
          <w:rFonts w:asciiTheme="minorEastAsia" w:eastAsiaTheme="minorEastAsia" w:hAnsiTheme="minorEastAsia"/>
          <w:noProof/>
          <w:color w:val="000000" w:themeColor="text1"/>
          <w:sz w:val="24"/>
        </w:rPr>
        <w:lastRenderedPageBreak/>
        <w:drawing>
          <wp:inline distT="0" distB="0" distL="0" distR="0">
            <wp:extent cx="5276850" cy="30861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0E67FD" w:rsidRDefault="001C5E47">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注：本基金合同生效日为</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26</w:t>
      </w:r>
      <w:r>
        <w:rPr>
          <w:rFonts w:asciiTheme="minorEastAsia" w:eastAsiaTheme="minorEastAsia" w:hAnsiTheme="minorEastAsia"/>
          <w:color w:val="000000" w:themeColor="text1"/>
          <w:sz w:val="24"/>
        </w:rPr>
        <w:t>日，图示时间段为</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26</w:t>
      </w:r>
      <w:r>
        <w:rPr>
          <w:rFonts w:asciiTheme="minorEastAsia" w:eastAsiaTheme="minorEastAsia" w:hAnsiTheme="minorEastAsia"/>
          <w:color w:val="000000" w:themeColor="text1"/>
          <w:sz w:val="24"/>
        </w:rPr>
        <w:t>日至</w:t>
      </w:r>
      <w:r>
        <w:rPr>
          <w:rFonts w:asciiTheme="minorEastAsia" w:eastAsiaTheme="minorEastAsia" w:hAnsiTheme="minorEastAsia"/>
          <w:color w:val="000000" w:themeColor="text1"/>
          <w:sz w:val="24"/>
        </w:rPr>
        <w:t>2019</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12</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31</w:t>
      </w:r>
      <w:r>
        <w:rPr>
          <w:rFonts w:asciiTheme="minorEastAsia" w:eastAsiaTheme="minorEastAsia" w:hAnsiTheme="minorEastAsia"/>
          <w:color w:val="000000" w:themeColor="text1"/>
          <w:sz w:val="24"/>
        </w:rPr>
        <w:t>日。</w:t>
      </w:r>
    </w:p>
    <w:p w:rsidR="00A726E0" w:rsidRPr="00EF0A05" w:rsidRDefault="00A726E0"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本基金建仓期自2018年4月26日至2018年10月26日，建仓期结束时资产配置比例符合本基金基金合同规定。</w:t>
      </w:r>
    </w:p>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t>§</w:t>
      </w:r>
      <w:r w:rsidRPr="00EF0A05">
        <w:rPr>
          <w:rFonts w:asciiTheme="minorEastAsia" w:eastAsiaTheme="minorEastAsia" w:hAnsiTheme="minorEastAsia" w:cs="Arial"/>
          <w:color w:val="000000" w:themeColor="text1"/>
          <w:kern w:val="0"/>
          <w:sz w:val="24"/>
          <w:szCs w:val="24"/>
        </w:rPr>
        <w:t xml:space="preserve">4  </w:t>
      </w:r>
      <w:r w:rsidRPr="00EF0A05">
        <w:rPr>
          <w:rFonts w:asciiTheme="minorEastAsia" w:eastAsiaTheme="minorEastAsia" w:hAnsiTheme="minorEastAsia" w:cs="Arial" w:hint="eastAsia"/>
          <w:color w:val="000000" w:themeColor="text1"/>
          <w:kern w:val="0"/>
          <w:sz w:val="24"/>
          <w:szCs w:val="24"/>
        </w:rPr>
        <w:t>管理人报告</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4.</w:t>
      </w:r>
      <w:r w:rsidR="00E80A21" w:rsidRPr="00EF0A05">
        <w:rPr>
          <w:rFonts w:asciiTheme="minorEastAsia" w:eastAsiaTheme="minorEastAsia" w:hAnsiTheme="minorEastAsia" w:cs="Arial" w:hint="eastAsia"/>
          <w:b/>
          <w:color w:val="000000" w:themeColor="text1"/>
          <w:kern w:val="0"/>
          <w:sz w:val="24"/>
        </w:rPr>
        <w:t>1</w:t>
      </w:r>
      <w:r w:rsidRPr="00EF0A05">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EF0A05" w:rsidRPr="00EF0A05" w:rsidTr="005C25C8">
        <w:trPr>
          <w:cantSplit/>
          <w:trHeight w:val="292"/>
        </w:trPr>
        <w:tc>
          <w:tcPr>
            <w:tcW w:w="851" w:type="dxa"/>
            <w:vMerge w:val="restart"/>
            <w:vAlign w:val="center"/>
          </w:tcPr>
          <w:p w:rsidR="005C25C8" w:rsidRPr="00EF0A05" w:rsidRDefault="005C25C8" w:rsidP="00CA3C4F">
            <w:pPr>
              <w:widowControl/>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姓名</w:t>
            </w:r>
          </w:p>
        </w:tc>
        <w:tc>
          <w:tcPr>
            <w:tcW w:w="850" w:type="dxa"/>
            <w:vMerge w:val="restart"/>
            <w:vAlign w:val="center"/>
          </w:tcPr>
          <w:p w:rsidR="005C25C8" w:rsidRPr="00EF0A05" w:rsidRDefault="005C25C8" w:rsidP="00CA3C4F">
            <w:pPr>
              <w:widowControl/>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职务</w:t>
            </w:r>
          </w:p>
        </w:tc>
        <w:tc>
          <w:tcPr>
            <w:tcW w:w="3119" w:type="dxa"/>
            <w:gridSpan w:val="2"/>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任本基金的基金经理期限</w:t>
            </w:r>
          </w:p>
        </w:tc>
        <w:tc>
          <w:tcPr>
            <w:tcW w:w="1417" w:type="dxa"/>
            <w:vMerge w:val="restart"/>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证券从业年限</w:t>
            </w:r>
          </w:p>
        </w:tc>
        <w:tc>
          <w:tcPr>
            <w:tcW w:w="2694" w:type="dxa"/>
            <w:vMerge w:val="restart"/>
            <w:vAlign w:val="center"/>
          </w:tcPr>
          <w:p w:rsidR="005C25C8" w:rsidRPr="00EF0A05" w:rsidRDefault="005C25C8" w:rsidP="00CA3C4F">
            <w:pPr>
              <w:widowControl/>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说明</w:t>
            </w:r>
          </w:p>
        </w:tc>
      </w:tr>
      <w:tr w:rsidR="00EF0A05" w:rsidRPr="00EF0A05" w:rsidTr="005C25C8">
        <w:trPr>
          <w:cantSplit/>
        </w:trPr>
        <w:tc>
          <w:tcPr>
            <w:tcW w:w="851" w:type="dxa"/>
            <w:vMerge/>
            <w:vAlign w:val="center"/>
          </w:tcPr>
          <w:p w:rsidR="005C25C8" w:rsidRPr="00EF0A05" w:rsidRDefault="005C25C8" w:rsidP="00CA3C4F">
            <w:pPr>
              <w:widowControl/>
              <w:spacing w:line="360" w:lineRule="auto"/>
              <w:jc w:val="left"/>
              <w:rPr>
                <w:rFonts w:asciiTheme="minorEastAsia" w:eastAsiaTheme="minorEastAsia" w:hAnsiTheme="minorEastAsia"/>
                <w:color w:val="000000" w:themeColor="text1"/>
                <w:kern w:val="0"/>
                <w:sz w:val="24"/>
              </w:rPr>
            </w:pPr>
          </w:p>
        </w:tc>
        <w:tc>
          <w:tcPr>
            <w:tcW w:w="850" w:type="dxa"/>
            <w:vMerge/>
            <w:vAlign w:val="center"/>
          </w:tcPr>
          <w:p w:rsidR="005C25C8" w:rsidRPr="00EF0A05" w:rsidRDefault="005C25C8" w:rsidP="00CA3C4F">
            <w:pPr>
              <w:widowControl/>
              <w:spacing w:line="360" w:lineRule="auto"/>
              <w:jc w:val="left"/>
              <w:rPr>
                <w:rFonts w:asciiTheme="minorEastAsia" w:eastAsiaTheme="minorEastAsia" w:hAnsiTheme="minorEastAsia"/>
                <w:color w:val="000000" w:themeColor="text1"/>
                <w:kern w:val="0"/>
                <w:sz w:val="24"/>
              </w:rPr>
            </w:pPr>
          </w:p>
        </w:tc>
        <w:tc>
          <w:tcPr>
            <w:tcW w:w="1560"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任职日期</w:t>
            </w:r>
          </w:p>
        </w:tc>
        <w:tc>
          <w:tcPr>
            <w:tcW w:w="1559" w:type="dxa"/>
            <w:vAlign w:val="center"/>
          </w:tcPr>
          <w:p w:rsidR="005C25C8" w:rsidRPr="00EF0A05" w:rsidRDefault="005C25C8" w:rsidP="00CA3C4F">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 w:val="24"/>
              </w:rPr>
            </w:pPr>
            <w:r w:rsidRPr="00EF0A05">
              <w:rPr>
                <w:rFonts w:asciiTheme="minorEastAsia" w:eastAsiaTheme="minorEastAsia" w:hAnsiTheme="minorEastAsia" w:cs="宋体" w:hint="eastAsia"/>
                <w:color w:val="000000" w:themeColor="text1"/>
                <w:kern w:val="0"/>
                <w:sz w:val="24"/>
              </w:rPr>
              <w:t>离任日期</w:t>
            </w:r>
          </w:p>
        </w:tc>
        <w:tc>
          <w:tcPr>
            <w:tcW w:w="1417" w:type="dxa"/>
            <w:vMerge/>
            <w:vAlign w:val="center"/>
          </w:tcPr>
          <w:p w:rsidR="005C25C8" w:rsidRPr="00EF0A05" w:rsidRDefault="005C25C8" w:rsidP="00CA3C4F">
            <w:pPr>
              <w:widowControl/>
              <w:spacing w:line="360" w:lineRule="auto"/>
              <w:jc w:val="left"/>
              <w:rPr>
                <w:rFonts w:asciiTheme="minorEastAsia" w:eastAsiaTheme="minorEastAsia" w:hAnsiTheme="minorEastAsia"/>
                <w:color w:val="000000" w:themeColor="text1"/>
                <w:kern w:val="0"/>
                <w:sz w:val="24"/>
              </w:rPr>
            </w:pPr>
          </w:p>
        </w:tc>
        <w:tc>
          <w:tcPr>
            <w:tcW w:w="2694" w:type="dxa"/>
            <w:vMerge/>
            <w:vAlign w:val="center"/>
          </w:tcPr>
          <w:p w:rsidR="005C25C8" w:rsidRPr="00EF0A05" w:rsidRDefault="005C25C8" w:rsidP="00CA3C4F">
            <w:pPr>
              <w:widowControl/>
              <w:spacing w:line="360" w:lineRule="auto"/>
              <w:jc w:val="left"/>
              <w:rPr>
                <w:rFonts w:asciiTheme="minorEastAsia" w:eastAsiaTheme="minorEastAsia" w:hAnsiTheme="minorEastAsia"/>
                <w:color w:val="000000" w:themeColor="text1"/>
                <w:kern w:val="0"/>
                <w:sz w:val="24"/>
              </w:rPr>
            </w:pPr>
          </w:p>
        </w:tc>
      </w:tr>
      <w:tr w:rsidR="000E67FD">
        <w:tc>
          <w:tcPr>
            <w:tcW w:w="851" w:type="dxa"/>
            <w:vAlign w:val="center"/>
          </w:tcPr>
          <w:p w:rsidR="000E67FD" w:rsidRDefault="001C5E47">
            <w:pPr>
              <w:jc w:val="center"/>
            </w:pPr>
            <w:r>
              <w:rPr>
                <w:rFonts w:asciiTheme="minorEastAsia" w:eastAsiaTheme="minorEastAsia" w:hAnsiTheme="minorEastAsia"/>
                <w:color w:val="000000" w:themeColor="text1"/>
                <w:sz w:val="24"/>
              </w:rPr>
              <w:t>施虓文</w:t>
            </w:r>
          </w:p>
        </w:tc>
        <w:tc>
          <w:tcPr>
            <w:tcW w:w="850" w:type="dxa"/>
            <w:vAlign w:val="center"/>
          </w:tcPr>
          <w:p w:rsidR="000E67FD" w:rsidRDefault="001C5E47">
            <w:pPr>
              <w:jc w:val="center"/>
            </w:pPr>
            <w:r>
              <w:rPr>
                <w:rFonts w:asciiTheme="minorEastAsia" w:eastAsiaTheme="minorEastAsia" w:hAnsiTheme="minorEastAsia"/>
                <w:color w:val="000000" w:themeColor="text1"/>
                <w:sz w:val="24"/>
              </w:rPr>
              <w:t>本基金基金经理</w:t>
            </w:r>
          </w:p>
        </w:tc>
        <w:tc>
          <w:tcPr>
            <w:tcW w:w="1560" w:type="dxa"/>
            <w:vAlign w:val="center"/>
          </w:tcPr>
          <w:p w:rsidR="000E67FD" w:rsidRDefault="001C5E47">
            <w:pPr>
              <w:jc w:val="center"/>
            </w:pPr>
            <w:r>
              <w:rPr>
                <w:rFonts w:asciiTheme="minorEastAsia" w:eastAsiaTheme="minorEastAsia" w:hAnsiTheme="minorEastAsia"/>
                <w:color w:val="000000" w:themeColor="text1"/>
                <w:sz w:val="24"/>
              </w:rPr>
              <w:t>2018-04-26</w:t>
            </w:r>
          </w:p>
        </w:tc>
        <w:tc>
          <w:tcPr>
            <w:tcW w:w="1559" w:type="dxa"/>
            <w:vAlign w:val="center"/>
          </w:tcPr>
          <w:p w:rsidR="000E67FD" w:rsidRDefault="001C5E47">
            <w:pPr>
              <w:jc w:val="center"/>
            </w:pPr>
            <w:r>
              <w:rPr>
                <w:rFonts w:asciiTheme="minorEastAsia" w:eastAsiaTheme="minorEastAsia" w:hAnsiTheme="minorEastAsia"/>
                <w:color w:val="000000" w:themeColor="text1"/>
                <w:sz w:val="24"/>
              </w:rPr>
              <w:t>-</w:t>
            </w:r>
          </w:p>
        </w:tc>
        <w:tc>
          <w:tcPr>
            <w:tcW w:w="1417" w:type="dxa"/>
            <w:vAlign w:val="center"/>
          </w:tcPr>
          <w:p w:rsidR="000E67FD" w:rsidRDefault="001C5E47">
            <w:pPr>
              <w:jc w:val="center"/>
            </w:pPr>
            <w:r>
              <w:rPr>
                <w:rFonts w:asciiTheme="minorEastAsia" w:eastAsiaTheme="minorEastAsia" w:hAnsiTheme="minorEastAsia"/>
                <w:color w:val="000000" w:themeColor="text1"/>
                <w:sz w:val="24"/>
              </w:rPr>
              <w:t>8</w:t>
            </w:r>
            <w:r>
              <w:rPr>
                <w:rFonts w:asciiTheme="minorEastAsia" w:eastAsiaTheme="minorEastAsia" w:hAnsiTheme="minorEastAsia"/>
                <w:color w:val="000000" w:themeColor="text1"/>
                <w:sz w:val="24"/>
              </w:rPr>
              <w:t>年</w:t>
            </w:r>
          </w:p>
        </w:tc>
        <w:tc>
          <w:tcPr>
            <w:tcW w:w="2694" w:type="dxa"/>
            <w:vAlign w:val="center"/>
          </w:tcPr>
          <w:p w:rsidR="000E67FD" w:rsidRDefault="001C5E47">
            <w:r>
              <w:rPr>
                <w:rFonts w:asciiTheme="minorEastAsia" w:eastAsiaTheme="minorEastAsia" w:hAnsiTheme="minorEastAsia"/>
                <w:color w:val="000000" w:themeColor="text1"/>
                <w:sz w:val="24"/>
              </w:rPr>
              <w:t>基金经理施虓文先生，北京大学经济学硕士，</w:t>
            </w:r>
            <w:r>
              <w:rPr>
                <w:rFonts w:asciiTheme="minorEastAsia" w:eastAsiaTheme="minorEastAsia" w:hAnsiTheme="minorEastAsia"/>
                <w:color w:val="000000" w:themeColor="text1"/>
                <w:sz w:val="24"/>
              </w:rPr>
              <w:t>2012</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7</w:t>
            </w:r>
            <w:r>
              <w:rPr>
                <w:rFonts w:asciiTheme="minorEastAsia" w:eastAsiaTheme="minorEastAsia" w:hAnsiTheme="minorEastAsia"/>
                <w:color w:val="000000" w:themeColor="text1"/>
                <w:sz w:val="24"/>
              </w:rPr>
              <w:t>月起加入上投摩根基金管理有限公司，先后担任助理研究员、研究员</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基金经理助理、基金经理，主要承担量化支持方面的工作。自</w:t>
            </w:r>
            <w:r>
              <w:rPr>
                <w:rFonts w:asciiTheme="minorEastAsia" w:eastAsiaTheme="minorEastAsia" w:hAnsiTheme="minorEastAsia"/>
                <w:color w:val="000000" w:themeColor="text1"/>
                <w:sz w:val="24"/>
              </w:rPr>
              <w:t>2017</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2019</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9</w:t>
            </w:r>
            <w:r>
              <w:rPr>
                <w:rFonts w:asciiTheme="minorEastAsia" w:eastAsiaTheme="minorEastAsia" w:hAnsiTheme="minorEastAsia"/>
                <w:color w:val="000000" w:themeColor="text1"/>
                <w:sz w:val="24"/>
              </w:rPr>
              <w:t>月担任上投摩根安丰回报混合型证券投资基金基金经理，</w:t>
            </w:r>
            <w:r>
              <w:rPr>
                <w:rFonts w:asciiTheme="minorEastAsia" w:eastAsiaTheme="minorEastAsia" w:hAnsiTheme="minorEastAsia"/>
                <w:color w:val="000000" w:themeColor="text1"/>
                <w:sz w:val="24"/>
              </w:rPr>
              <w:t>2017</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10</w:t>
            </w:r>
            <w:r>
              <w:rPr>
                <w:rFonts w:asciiTheme="minorEastAsia" w:eastAsiaTheme="minorEastAsia" w:hAnsiTheme="minorEastAsia"/>
                <w:color w:val="000000" w:themeColor="text1"/>
                <w:sz w:val="24"/>
              </w:rPr>
              <w:t>月担任上投摩根安泽</w:t>
            </w:r>
            <w:r>
              <w:rPr>
                <w:rFonts w:asciiTheme="minorEastAsia" w:eastAsiaTheme="minorEastAsia" w:hAnsiTheme="minorEastAsia"/>
                <w:color w:val="000000" w:themeColor="text1"/>
                <w:sz w:val="24"/>
              </w:rPr>
              <w:lastRenderedPageBreak/>
              <w:t>回报混合型证券投资基金基金经理，自</w:t>
            </w:r>
            <w:r>
              <w:rPr>
                <w:rFonts w:asciiTheme="minorEastAsia" w:eastAsiaTheme="minorEastAsia" w:hAnsiTheme="minorEastAsia"/>
                <w:color w:val="000000" w:themeColor="text1"/>
                <w:sz w:val="24"/>
              </w:rPr>
              <w:t>2017</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12</w:t>
            </w:r>
            <w:r>
              <w:rPr>
                <w:rFonts w:asciiTheme="minorEastAsia" w:eastAsiaTheme="minorEastAsia" w:hAnsiTheme="minorEastAsia"/>
                <w:color w:val="000000" w:themeColor="text1"/>
                <w:sz w:val="24"/>
              </w:rPr>
              <w:t>月起同时担任上投摩根标普港股通低波红利指数型证券投资基金基金经理，自</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2</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2019</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月同时担任上投摩根安隆回报混合型证券投资基金基金经理，</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2</w:t>
            </w:r>
            <w:r>
              <w:rPr>
                <w:rFonts w:asciiTheme="minorEastAsia" w:eastAsiaTheme="minorEastAsia" w:hAnsiTheme="minorEastAsia"/>
                <w:color w:val="000000" w:themeColor="text1"/>
                <w:sz w:val="24"/>
              </w:rPr>
              <w:t>月至</w:t>
            </w:r>
            <w:r>
              <w:rPr>
                <w:rFonts w:asciiTheme="minorEastAsia" w:eastAsiaTheme="minorEastAsia" w:hAnsiTheme="minorEastAsia"/>
                <w:color w:val="000000" w:themeColor="text1"/>
                <w:sz w:val="24"/>
              </w:rPr>
              <w:t>7</w:t>
            </w:r>
            <w:r>
              <w:rPr>
                <w:rFonts w:asciiTheme="minorEastAsia" w:eastAsiaTheme="minorEastAsia" w:hAnsiTheme="minorEastAsia"/>
                <w:color w:val="000000" w:themeColor="text1"/>
                <w:sz w:val="24"/>
              </w:rPr>
              <w:t>月</w:t>
            </w:r>
            <w:r>
              <w:rPr>
                <w:rFonts w:asciiTheme="minorEastAsia" w:eastAsiaTheme="minorEastAsia" w:hAnsiTheme="minorEastAsia"/>
                <w:color w:val="000000" w:themeColor="text1"/>
                <w:sz w:val="24"/>
              </w:rPr>
              <w:t>担任上投摩根安腾回报混合型证券投资基金基金经理，</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月起同时担任上投摩根富时发达市场</w:t>
            </w:r>
            <w:r>
              <w:rPr>
                <w:rFonts w:asciiTheme="minorEastAsia" w:eastAsiaTheme="minorEastAsia" w:hAnsiTheme="minorEastAsia"/>
                <w:color w:val="000000" w:themeColor="text1"/>
                <w:sz w:val="24"/>
              </w:rPr>
              <w:t>REITs</w:t>
            </w:r>
            <w:r>
              <w:rPr>
                <w:rFonts w:asciiTheme="minorEastAsia" w:eastAsiaTheme="minorEastAsia" w:hAnsiTheme="minorEastAsia"/>
                <w:color w:val="000000" w:themeColor="text1"/>
                <w:sz w:val="24"/>
              </w:rPr>
              <w:t>指数型证券投资基金（</w:t>
            </w:r>
            <w:r>
              <w:rPr>
                <w:rFonts w:asciiTheme="minorEastAsia" w:eastAsiaTheme="minorEastAsia" w:hAnsiTheme="minorEastAsia"/>
                <w:color w:val="000000" w:themeColor="text1"/>
                <w:sz w:val="24"/>
              </w:rPr>
              <w:t>QDII</w:t>
            </w:r>
            <w:r>
              <w:rPr>
                <w:rFonts w:asciiTheme="minorEastAsia" w:eastAsiaTheme="minorEastAsia" w:hAnsiTheme="minorEastAsia"/>
                <w:color w:val="000000" w:themeColor="text1"/>
                <w:sz w:val="24"/>
              </w:rPr>
              <w:t>）基金经理，</w:t>
            </w:r>
            <w:r>
              <w:rPr>
                <w:rFonts w:asciiTheme="minorEastAsia" w:eastAsiaTheme="minorEastAsia" w:hAnsiTheme="minorEastAsia"/>
                <w:color w:val="000000" w:themeColor="text1"/>
                <w:sz w:val="24"/>
              </w:rPr>
              <w:t>2018</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9</w:t>
            </w:r>
            <w:r>
              <w:rPr>
                <w:rFonts w:asciiTheme="minorEastAsia" w:eastAsiaTheme="minorEastAsia" w:hAnsiTheme="minorEastAsia"/>
                <w:color w:val="000000" w:themeColor="text1"/>
                <w:sz w:val="24"/>
              </w:rPr>
              <w:t>月起同时担任上投摩根安裕回报混合型证券投资基金基金经理，自</w:t>
            </w:r>
            <w:r>
              <w:rPr>
                <w:rFonts w:asciiTheme="minorEastAsia" w:eastAsiaTheme="minorEastAsia" w:hAnsiTheme="minorEastAsia"/>
                <w:color w:val="000000" w:themeColor="text1"/>
                <w:sz w:val="24"/>
              </w:rPr>
              <w:t>2019</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月起同时担任上投摩根安通回报混合型证券投资基金基金经理，自</w:t>
            </w:r>
            <w:r>
              <w:rPr>
                <w:rFonts w:asciiTheme="minorEastAsia" w:eastAsiaTheme="minorEastAsia" w:hAnsiTheme="minorEastAsia"/>
                <w:color w:val="000000" w:themeColor="text1"/>
                <w:sz w:val="24"/>
              </w:rPr>
              <w:t>2019</w:t>
            </w:r>
            <w:r>
              <w:rPr>
                <w:rFonts w:asciiTheme="minorEastAsia" w:eastAsiaTheme="minorEastAsia" w:hAnsiTheme="minorEastAsia"/>
                <w:color w:val="000000" w:themeColor="text1"/>
                <w:sz w:val="24"/>
              </w:rPr>
              <w:t>年</w:t>
            </w:r>
            <w:r>
              <w:rPr>
                <w:rFonts w:asciiTheme="minorEastAsia" w:eastAsiaTheme="minorEastAsia" w:hAnsiTheme="minorEastAsia"/>
                <w:color w:val="000000" w:themeColor="text1"/>
                <w:sz w:val="24"/>
              </w:rPr>
              <w:t>12</w:t>
            </w:r>
            <w:r>
              <w:rPr>
                <w:rFonts w:asciiTheme="minorEastAsia" w:eastAsiaTheme="minorEastAsia" w:hAnsiTheme="minorEastAsia"/>
                <w:color w:val="000000" w:themeColor="text1"/>
                <w:sz w:val="24"/>
              </w:rPr>
              <w:t>月起同时担任上投摩根动态多因子策略灵活配置混合型证券投资基金、上投摩根量化多因子灵活配置混合型证券投资基金、上投摩根优选多因子股票型证券投资基金及上投摩根中证消费服务领先指数证券投资基金基金经理。</w:t>
            </w:r>
          </w:p>
        </w:tc>
      </w:tr>
    </w:tbl>
    <w:p w:rsidR="000E67FD" w:rsidRDefault="001C5E47">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lastRenderedPageBreak/>
        <w:t>注：</w:t>
      </w:r>
      <w:r>
        <w:rPr>
          <w:rFonts w:asciiTheme="minorEastAsia" w:eastAsiaTheme="minorEastAsia" w:hAnsiTheme="minorEastAsia"/>
          <w:color w:val="000000" w:themeColor="text1"/>
          <w:sz w:val="24"/>
        </w:rPr>
        <w:t>1.</w:t>
      </w:r>
      <w:r>
        <w:rPr>
          <w:rFonts w:asciiTheme="minorEastAsia" w:eastAsiaTheme="minorEastAsia" w:hAnsiTheme="minorEastAsia"/>
          <w:color w:val="000000" w:themeColor="text1"/>
          <w:sz w:val="24"/>
        </w:rPr>
        <w:t>任职日期</w:t>
      </w:r>
      <w:r>
        <w:rPr>
          <w:rFonts w:asciiTheme="minorEastAsia" w:eastAsiaTheme="minorEastAsia" w:hAnsiTheme="minorEastAsia"/>
          <w:color w:val="000000" w:themeColor="text1"/>
          <w:sz w:val="24"/>
        </w:rPr>
        <w:t>和离任日期均指根据公司决定确定的聘任日期和解聘日期。</w:t>
      </w:r>
    </w:p>
    <w:p w:rsidR="000E67FD" w:rsidRDefault="001C5E47">
      <w:pPr>
        <w:autoSpaceDE w:val="0"/>
        <w:autoSpaceDN w:val="0"/>
        <w:adjustRightInd w:val="0"/>
        <w:spacing w:line="360" w:lineRule="auto"/>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 xml:space="preserve">2. </w:t>
      </w:r>
      <w:r>
        <w:rPr>
          <w:rFonts w:asciiTheme="minorEastAsia" w:eastAsiaTheme="minorEastAsia" w:hAnsiTheme="minorEastAsia"/>
          <w:color w:val="000000" w:themeColor="text1"/>
          <w:sz w:val="24"/>
        </w:rPr>
        <w:t>施虓文先生为本基金首任基金经理，其任职日期指本基金基金合同生效之日。</w:t>
      </w:r>
    </w:p>
    <w:p w:rsidR="0076518F" w:rsidRPr="00EF0A05" w:rsidRDefault="005C25C8" w:rsidP="008B6A4A">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3.证券从业的含义遵从行业协会《证券业从业人员资格管理办法》的相关规定。</w:t>
      </w:r>
    </w:p>
    <w:p w:rsidR="004553AF" w:rsidRPr="00EF0A05" w:rsidRDefault="004553AF"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EF0A05" w:rsidRDefault="00273C7E"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hint="eastAsia"/>
          <w:b/>
          <w:color w:val="000000" w:themeColor="text1"/>
          <w:kern w:val="0"/>
          <w:sz w:val="24"/>
        </w:rPr>
        <w:t>4</w:t>
      </w:r>
      <w:r w:rsidR="0076518F"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2</w:t>
      </w:r>
      <w:r w:rsidR="006B699C" w:rsidRPr="006B699C">
        <w:rPr>
          <w:rFonts w:hint="eastAsia"/>
          <w:b/>
          <w:color w:val="000000"/>
          <w:sz w:val="24"/>
          <w:shd w:val="clear" w:color="auto" w:fill="FFFFFF"/>
        </w:rPr>
        <w:t>管理人对报告期内本基金运作遵规守信情况的说明</w:t>
      </w:r>
    </w:p>
    <w:p w:rsidR="0076518F" w:rsidRPr="00EF0A05" w:rsidRDefault="000E5D28" w:rsidP="0029671E">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在本报告期内，基金管理人不存在损害基金份额持有人利益的行为，勤勉尽责地为基金份额持有人谋求利益。基金管理人遵守了《证券投资基金法》及其他</w:t>
      </w:r>
      <w:r w:rsidRPr="00EF0A05">
        <w:rPr>
          <w:rFonts w:asciiTheme="minorEastAsia" w:eastAsiaTheme="minorEastAsia" w:hAnsiTheme="minorEastAsia"/>
          <w:color w:val="000000" w:themeColor="text1"/>
          <w:sz w:val="24"/>
        </w:rPr>
        <w:lastRenderedPageBreak/>
        <w:t>有关法律法规、《上投摩根富时发达市场REITs指数型证券投资基金（QDII）基金合同》的规定。基金经理对个股和投资组合的比例遵循了投资决策委员会的授权限制，基金投资比例符合基金合同和法律法规的要求。</w:t>
      </w:r>
    </w:p>
    <w:p w:rsidR="00B56C5B" w:rsidRPr="00EF0A05" w:rsidRDefault="00B56C5B" w:rsidP="0029671E">
      <w:pPr>
        <w:spacing w:line="360" w:lineRule="auto"/>
        <w:ind w:firstLineChars="200" w:firstLine="480"/>
        <w:rPr>
          <w:rFonts w:asciiTheme="minorEastAsia" w:eastAsiaTheme="minorEastAsia" w:hAnsiTheme="minorEastAsia"/>
          <w:color w:val="000000" w:themeColor="text1"/>
          <w:sz w:val="24"/>
        </w:rPr>
      </w:pPr>
    </w:p>
    <w:p w:rsidR="0076518F" w:rsidRPr="00EF0A05" w:rsidRDefault="00273C7E"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3</w:t>
      </w:r>
      <w:r w:rsidR="0076518F" w:rsidRPr="00EF0A05">
        <w:rPr>
          <w:rFonts w:asciiTheme="minorEastAsia" w:eastAsiaTheme="minorEastAsia" w:hAnsiTheme="minorEastAsia" w:cs="Arial" w:hint="eastAsia"/>
          <w:b/>
          <w:color w:val="000000" w:themeColor="text1"/>
          <w:kern w:val="0"/>
          <w:sz w:val="24"/>
        </w:rPr>
        <w:t>公平交易专项说明</w:t>
      </w:r>
    </w:p>
    <w:p w:rsidR="00AB42E2" w:rsidRPr="00EF0A05" w:rsidRDefault="00273C7E" w:rsidP="0029671E">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3</w:t>
      </w:r>
      <w:r w:rsidR="00AB42E2" w:rsidRPr="00EF0A05">
        <w:rPr>
          <w:rFonts w:asciiTheme="minorEastAsia" w:eastAsiaTheme="minorEastAsia" w:hAnsiTheme="minorEastAsia" w:hint="eastAsia"/>
          <w:color w:val="000000" w:themeColor="text1"/>
          <w:sz w:val="24"/>
        </w:rPr>
        <w:t>.</w:t>
      </w:r>
      <w:r w:rsidRPr="00EF0A05">
        <w:rPr>
          <w:rFonts w:asciiTheme="minorEastAsia" w:eastAsiaTheme="minorEastAsia" w:hAnsiTheme="minorEastAsia" w:cs="Arial" w:hint="eastAsia"/>
          <w:b/>
          <w:color w:val="000000" w:themeColor="text1"/>
          <w:kern w:val="0"/>
          <w:sz w:val="24"/>
        </w:rPr>
        <w:t>1</w:t>
      </w:r>
      <w:r w:rsidR="00AB42E2" w:rsidRPr="00EF0A05">
        <w:rPr>
          <w:rFonts w:asciiTheme="minorEastAsia" w:eastAsiaTheme="minorEastAsia" w:hAnsiTheme="minorEastAsia" w:hint="eastAsia"/>
          <w:color w:val="000000" w:themeColor="text1"/>
          <w:sz w:val="24"/>
        </w:rPr>
        <w:t xml:space="preserve"> 公平交易制度的执行情况</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sz w:val="24"/>
        </w:rPr>
        <w:t>，本公司通过对手库控制和交易室询价机制，严格防范对手风险并检查价格公允性；对于申购投资行为，本公司遵循价格优先、比例分配的原则，根据事前独立申报的价格和数量对交易结果进行公平分配。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EF0A05" w:rsidRDefault="000E5D28" w:rsidP="0029671E">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报告期内，通过对不同投资组合之间的收益率差异比较、对同向交易和反向交易的交易时机和交易价差监控分析，未发现整体公平交易执行出现异常的情况。</w:t>
      </w:r>
    </w:p>
    <w:p w:rsidR="00AB42E2" w:rsidRPr="00EF0A05" w:rsidRDefault="00273C7E" w:rsidP="0029671E">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3</w:t>
      </w:r>
      <w:r w:rsidRPr="00EF0A05">
        <w:rPr>
          <w:rFonts w:asciiTheme="minorEastAsia" w:eastAsiaTheme="minorEastAsia" w:hAnsiTheme="minorEastAsia" w:hint="eastAsia"/>
          <w:color w:val="000000" w:themeColor="text1"/>
          <w:sz w:val="24"/>
        </w:rPr>
        <w:t>.</w:t>
      </w:r>
      <w:r w:rsidRPr="00EF0A05">
        <w:rPr>
          <w:rFonts w:asciiTheme="minorEastAsia" w:eastAsiaTheme="minorEastAsia" w:hAnsiTheme="minorEastAsia" w:cs="Arial" w:hint="eastAsia"/>
          <w:b/>
          <w:color w:val="000000" w:themeColor="text1"/>
          <w:kern w:val="0"/>
          <w:sz w:val="24"/>
        </w:rPr>
        <w:t>2</w:t>
      </w:r>
      <w:r w:rsidR="00AB42E2" w:rsidRPr="00EF0A05">
        <w:rPr>
          <w:rFonts w:asciiTheme="minorEastAsia" w:eastAsiaTheme="minorEastAsia" w:hAnsiTheme="minorEastAsia" w:hint="eastAsia"/>
          <w:color w:val="000000" w:themeColor="text1"/>
          <w:sz w:val="24"/>
        </w:rPr>
        <w:t xml:space="preserve"> 异常交易行为的专项说明</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报告期内，通过对交易价格、交易时间、交易方向等的分析，未发现有可能导致不公平交易和利益输送的异常交易行为。</w:t>
      </w:r>
    </w:p>
    <w:p w:rsidR="00AB42E2" w:rsidRPr="00EF0A05" w:rsidRDefault="000E5D28" w:rsidP="0029671E">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所有投资组合参与的交易所公开竞价同日反向交易成交较少的单边交易量超过该证券当日成交量的5%的情形：无。</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4.</w:t>
      </w:r>
      <w:r w:rsidR="00273C7E"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hint="eastAsia"/>
          <w:b/>
          <w:color w:val="000000" w:themeColor="text1"/>
          <w:kern w:val="0"/>
          <w:sz w:val="24"/>
        </w:rPr>
        <w:t>报告期内基金的投资策略和业绩表现说明</w:t>
      </w:r>
    </w:p>
    <w:p w:rsidR="00462B61" w:rsidRPr="00EF0A05" w:rsidRDefault="00273C7E" w:rsidP="0029671E">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hint="eastAsia"/>
          <w:color w:val="000000" w:themeColor="text1"/>
          <w:sz w:val="24"/>
        </w:rPr>
        <w:t>.</w:t>
      </w:r>
      <w:r w:rsidRPr="00EF0A05">
        <w:rPr>
          <w:rFonts w:asciiTheme="minorEastAsia" w:eastAsiaTheme="minorEastAsia" w:hAnsiTheme="minorEastAsia" w:cs="Arial" w:hint="eastAsia"/>
          <w:b/>
          <w:color w:val="000000" w:themeColor="text1"/>
          <w:kern w:val="0"/>
          <w:sz w:val="24"/>
        </w:rPr>
        <w:t>1</w:t>
      </w:r>
      <w:r w:rsidR="00462B61" w:rsidRPr="00EF0A05">
        <w:rPr>
          <w:rFonts w:asciiTheme="minorEastAsia" w:eastAsiaTheme="minorEastAsia" w:hAnsiTheme="minorEastAsia" w:hint="eastAsia"/>
          <w:color w:val="000000" w:themeColor="text1"/>
          <w:sz w:val="24"/>
        </w:rPr>
        <w:t>报告期内基金投资策略和运作分析</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季度全球</w:t>
      </w:r>
      <w:r>
        <w:rPr>
          <w:rFonts w:asciiTheme="minorEastAsia" w:eastAsiaTheme="minorEastAsia" w:hAnsiTheme="minorEastAsia"/>
          <w:color w:val="000000" w:themeColor="text1"/>
          <w:sz w:val="24"/>
        </w:rPr>
        <w:t>REITs</w:t>
      </w:r>
      <w:r>
        <w:rPr>
          <w:rFonts w:asciiTheme="minorEastAsia" w:eastAsiaTheme="minorEastAsia" w:hAnsiTheme="minorEastAsia"/>
          <w:color w:val="000000" w:themeColor="text1"/>
          <w:sz w:val="24"/>
        </w:rPr>
        <w:t>资产价格整体呈现震荡格局。伴随美联储三次降息落地，美国宏观经济表现出强劲的增长韧性，虽然企业资本开支继续萎缩，但消费与就业数据均保持良好态势，美国债收益率有所回升。市场风险情绪提升，导致资金</w:t>
      </w:r>
      <w:r>
        <w:rPr>
          <w:rFonts w:asciiTheme="minorEastAsia" w:eastAsiaTheme="minorEastAsia" w:hAnsiTheme="minorEastAsia"/>
          <w:color w:val="000000" w:themeColor="text1"/>
          <w:sz w:val="24"/>
        </w:rPr>
        <w:lastRenderedPageBreak/>
        <w:t>流出</w:t>
      </w:r>
      <w:r>
        <w:rPr>
          <w:rFonts w:asciiTheme="minorEastAsia" w:eastAsiaTheme="minorEastAsia" w:hAnsiTheme="minorEastAsia"/>
          <w:color w:val="000000" w:themeColor="text1"/>
          <w:sz w:val="24"/>
        </w:rPr>
        <w:t>REITs</w:t>
      </w:r>
      <w:r>
        <w:rPr>
          <w:rFonts w:asciiTheme="minorEastAsia" w:eastAsiaTheme="minorEastAsia" w:hAnsiTheme="minorEastAsia"/>
          <w:color w:val="000000" w:themeColor="text1"/>
          <w:sz w:val="24"/>
        </w:rPr>
        <w:t>板块。各市场中，美国、日本表现相对较弱，英国、澳洲相对较好。微观层面，</w:t>
      </w:r>
      <w:r>
        <w:rPr>
          <w:rFonts w:asciiTheme="minorEastAsia" w:eastAsiaTheme="minorEastAsia" w:hAnsiTheme="minorEastAsia"/>
          <w:color w:val="000000" w:themeColor="text1"/>
          <w:sz w:val="24"/>
        </w:rPr>
        <w:t>REITs</w:t>
      </w:r>
      <w:r>
        <w:rPr>
          <w:rFonts w:asciiTheme="minorEastAsia" w:eastAsiaTheme="minorEastAsia" w:hAnsiTheme="minorEastAsia"/>
          <w:color w:val="000000" w:themeColor="text1"/>
          <w:sz w:val="24"/>
        </w:rPr>
        <w:t>的盈利水平维持增长，空置率继续下行并维持历史低位。截止</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季末，标的指数的整体分红率仍在</w:t>
      </w:r>
      <w:r>
        <w:rPr>
          <w:rFonts w:asciiTheme="minorEastAsia" w:eastAsiaTheme="minorEastAsia" w:hAnsiTheme="minorEastAsia"/>
          <w:color w:val="000000" w:themeColor="text1"/>
          <w:sz w:val="24"/>
        </w:rPr>
        <w:t>4%</w:t>
      </w:r>
      <w:r>
        <w:rPr>
          <w:rFonts w:asciiTheme="minorEastAsia" w:eastAsiaTheme="minorEastAsia" w:hAnsiTheme="minorEastAsia"/>
          <w:color w:val="000000" w:themeColor="text1"/>
          <w:sz w:val="24"/>
        </w:rPr>
        <w:t>左右，相对美债仍有吸引力。报告期内，本基金继续采用抽样复制的方法跟踪标的指数，跟踪误差保持在合理范围内。</w:t>
      </w:r>
    </w:p>
    <w:p w:rsidR="00120B9A" w:rsidRPr="00EF0A05" w:rsidRDefault="000E5D28" w:rsidP="0029671E">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情绪变化是最近一季度REITs表现落后于股市的主要原因。展望2020年，我们认为美国经济很有可能放缓，而REITs的盈利水平有相对较强的韧性。美联储仍有较大概率降息，全球货币宽松环境不变，权益型资产的估值有一定支撑。尽管REITs估值水平有所上升，但相对债券和其他权益资产仍有较强吸引力，在机构资产配置中仍居有重要地位。在行业板块方面，我们相对看好住宅、工业、医疗类REITs，相对看淡办公和商业地产。</w:t>
      </w:r>
    </w:p>
    <w:p w:rsidR="00462B61" w:rsidRPr="00EF0A05" w:rsidRDefault="00273C7E" w:rsidP="0029671E">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hint="eastAsia"/>
          <w:color w:val="000000" w:themeColor="text1"/>
          <w:sz w:val="24"/>
        </w:rPr>
        <w:t>.</w:t>
      </w:r>
      <w:r w:rsidRPr="00EF0A05">
        <w:rPr>
          <w:rFonts w:asciiTheme="minorEastAsia" w:eastAsiaTheme="minorEastAsia" w:hAnsiTheme="minorEastAsia" w:cs="Arial" w:hint="eastAsia"/>
          <w:b/>
          <w:color w:val="000000" w:themeColor="text1"/>
          <w:kern w:val="0"/>
          <w:sz w:val="24"/>
        </w:rPr>
        <w:t>2</w:t>
      </w:r>
      <w:r w:rsidR="00462B61" w:rsidRPr="00EF0A05">
        <w:rPr>
          <w:rFonts w:asciiTheme="minorEastAsia" w:eastAsiaTheme="minorEastAsia" w:hAnsiTheme="minorEastAsia" w:hint="eastAsia"/>
          <w:color w:val="000000" w:themeColor="text1"/>
          <w:sz w:val="24"/>
        </w:rPr>
        <w:t>报告期内基金的业绩表现</w:t>
      </w:r>
    </w:p>
    <w:p w:rsidR="00FD7298" w:rsidRPr="00EF0A05" w:rsidRDefault="000E5D28" w:rsidP="0029671E">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本报告期上投摩根富时发达市场REITs指数（QDII）份额净值增长率为:-2.29%，同期业绩比较基准收益率为:-1.32%。</w:t>
      </w:r>
    </w:p>
    <w:p w:rsidR="0032500D" w:rsidRPr="00EF0A05" w:rsidRDefault="0032500D" w:rsidP="0029671E">
      <w:pPr>
        <w:spacing w:line="360" w:lineRule="auto"/>
        <w:ind w:firstLineChars="200" w:firstLine="480"/>
        <w:rPr>
          <w:rFonts w:asciiTheme="minorEastAsia" w:eastAsiaTheme="minorEastAsia" w:hAnsiTheme="minorEastAsia"/>
          <w:color w:val="000000" w:themeColor="text1"/>
          <w:sz w:val="24"/>
        </w:rPr>
      </w:pPr>
    </w:p>
    <w:p w:rsidR="001B47FF" w:rsidRPr="00EF0A05" w:rsidRDefault="001B47FF" w:rsidP="001B47FF">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s="Arial" w:hint="eastAsia"/>
          <w:b/>
          <w:color w:val="000000" w:themeColor="text1"/>
          <w:kern w:val="0"/>
          <w:sz w:val="24"/>
        </w:rPr>
        <w:t>4</w:t>
      </w:r>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5</w:t>
      </w:r>
      <w:r w:rsidRPr="00EF0A05">
        <w:rPr>
          <w:rFonts w:asciiTheme="minorEastAsia" w:eastAsiaTheme="minorEastAsia" w:hAnsiTheme="minorEastAsia" w:hint="eastAsia"/>
          <w:b/>
          <w:color w:val="000000" w:themeColor="text1"/>
          <w:kern w:val="0"/>
          <w:sz w:val="24"/>
        </w:rPr>
        <w:t>报告期内基金持有人数或基金资产净值预警说明</w:t>
      </w:r>
    </w:p>
    <w:p w:rsidR="001B47FF" w:rsidRPr="00EF0A05" w:rsidRDefault="001B47FF" w:rsidP="001B47FF">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kern w:val="0"/>
          <w:sz w:val="24"/>
        </w:rPr>
        <w:t>无。</w:t>
      </w:r>
    </w:p>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t>§</w:t>
      </w:r>
      <w:r w:rsidRPr="00EF0A05">
        <w:rPr>
          <w:rFonts w:asciiTheme="minorEastAsia" w:eastAsiaTheme="minorEastAsia" w:hAnsiTheme="minorEastAsia" w:cs="Arial"/>
          <w:color w:val="000000" w:themeColor="text1"/>
          <w:kern w:val="0"/>
          <w:sz w:val="24"/>
          <w:szCs w:val="24"/>
        </w:rPr>
        <w:t xml:space="preserve">5  </w:t>
      </w:r>
      <w:r w:rsidRPr="00EF0A05">
        <w:rPr>
          <w:rFonts w:asciiTheme="minorEastAsia" w:eastAsiaTheme="minorEastAsia" w:hAnsiTheme="minorEastAsia" w:cs="Arial" w:hint="eastAsia"/>
          <w:color w:val="000000" w:themeColor="text1"/>
          <w:kern w:val="0"/>
          <w:sz w:val="24"/>
          <w:szCs w:val="24"/>
        </w:rPr>
        <w:t>投资组合报告</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5.1 </w:t>
      </w:r>
      <w:r w:rsidRPr="00EF0A05">
        <w:rPr>
          <w:rFonts w:asciiTheme="minorEastAsia" w:eastAsiaTheme="minorEastAsia" w:hAnsiTheme="minorEastAsia" w:cs="Arial" w:hint="eastAsia"/>
          <w:b/>
          <w:color w:val="000000" w:themeColor="text1"/>
          <w:kern w:val="0"/>
          <w:sz w:val="24"/>
        </w:rPr>
        <w:t>报告期末基金资产组合情况</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2"/>
        <w:gridCol w:w="3402"/>
        <w:gridCol w:w="1701"/>
      </w:tblGrid>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序号</w:t>
            </w:r>
          </w:p>
        </w:tc>
        <w:tc>
          <w:tcPr>
            <w:tcW w:w="2552"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项目</w:t>
            </w:r>
          </w:p>
        </w:tc>
        <w:tc>
          <w:tcPr>
            <w:tcW w:w="3402"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金额(元)</w:t>
            </w:r>
          </w:p>
        </w:tc>
        <w:tc>
          <w:tcPr>
            <w:tcW w:w="170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占基金总资产的比例(</w:t>
            </w:r>
            <w:r w:rsidRPr="00EF0A05">
              <w:rPr>
                <w:rFonts w:asciiTheme="minorEastAsia" w:eastAsiaTheme="minorEastAsia" w:hAnsiTheme="minorEastAsia"/>
                <w:color w:val="000000" w:themeColor="text1"/>
                <w:sz w:val="24"/>
              </w:rPr>
              <w:t>%</w:t>
            </w:r>
            <w:r w:rsidRPr="00EF0A05">
              <w:rPr>
                <w:rFonts w:asciiTheme="minorEastAsia" w:eastAsiaTheme="minorEastAsia" w:hAnsiTheme="minorEastAsia"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1</w:t>
            </w: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权益投资</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270,363,682.15</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92.10</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其中：</w:t>
            </w:r>
            <w:r w:rsidRPr="00EF0A05">
              <w:rPr>
                <w:rFonts w:asciiTheme="minorEastAsia" w:eastAsiaTheme="minorEastAsia" w:hAnsiTheme="minorEastAsia" w:hint="eastAsia"/>
                <w:color w:val="000000" w:themeColor="text1"/>
                <w:sz w:val="24"/>
              </w:rPr>
              <w:t>普通股</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s="宋体"/>
                <w:color w:val="000000" w:themeColor="text1"/>
                <w:sz w:val="24"/>
              </w:rPr>
            </w:pPr>
            <w:r w:rsidRPr="00EF0A05">
              <w:rPr>
                <w:rFonts w:asciiTheme="minorEastAsia" w:eastAsiaTheme="minorEastAsia" w:hAnsiTheme="minorEastAsia" w:hint="eastAsia"/>
                <w:color w:val="000000" w:themeColor="text1"/>
                <w:sz w:val="24"/>
              </w:rPr>
              <w:t>存托凭证</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优先股</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房地产信托</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270,363,682.15</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92.10</w:t>
            </w:r>
          </w:p>
        </w:tc>
      </w:tr>
      <w:tr w:rsidR="00EF0A05" w:rsidRPr="00EF0A05" w:rsidTr="00AF41C5">
        <w:tc>
          <w:tcPr>
            <w:tcW w:w="851" w:type="dxa"/>
            <w:shd w:val="clear" w:color="auto" w:fill="auto"/>
          </w:tcPr>
          <w:p w:rsidR="00BF4E28" w:rsidRPr="00EF0A05" w:rsidRDefault="00BF4E28" w:rsidP="00C06412">
            <w:pPr>
              <w:adjustRightInd w:val="0"/>
              <w:snapToGrid w:val="0"/>
              <w:spacing w:line="400" w:lineRule="exact"/>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2</w:t>
            </w:r>
          </w:p>
        </w:tc>
        <w:tc>
          <w:tcPr>
            <w:tcW w:w="2552" w:type="dxa"/>
            <w:shd w:val="clear" w:color="auto" w:fill="auto"/>
          </w:tcPr>
          <w:p w:rsidR="00BF4E28" w:rsidRPr="00EF0A05" w:rsidRDefault="00BF4E28" w:rsidP="00C06412">
            <w:pPr>
              <w:adjustRightInd w:val="0"/>
              <w:snapToGrid w:val="0"/>
              <w:spacing w:line="400" w:lineRule="exac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基金投资</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3</w:t>
            </w: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固定收益投资</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6F5BE1"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其中：债券</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F36A6E">
            <w:pPr>
              <w:autoSpaceDE w:val="0"/>
              <w:autoSpaceDN w:val="0"/>
              <w:adjustRightInd w:val="0"/>
              <w:spacing w:before="29" w:line="360" w:lineRule="auto"/>
              <w:ind w:left="17" w:firstLineChars="300" w:firstLine="720"/>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资产支持证券</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4</w:t>
            </w: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金融衍生品投资</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tcPr>
          <w:p w:rsidR="00BF4E28" w:rsidRPr="00EF0A05" w:rsidRDefault="00BF4E28" w:rsidP="00C06412">
            <w:pPr>
              <w:adjustRightInd w:val="0"/>
              <w:snapToGrid w:val="0"/>
              <w:spacing w:line="400" w:lineRule="exac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其中：远期</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tcPr>
          <w:p w:rsidR="00BF4E28" w:rsidRPr="00EF0A05" w:rsidDel="00455464" w:rsidRDefault="00BF4E28" w:rsidP="00C06412">
            <w:pPr>
              <w:adjustRightInd w:val="0"/>
              <w:snapToGrid w:val="0"/>
              <w:spacing w:line="400" w:lineRule="exact"/>
              <w:ind w:firstLineChars="300" w:firstLine="720"/>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期货</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tcPr>
          <w:p w:rsidR="00BF4E28" w:rsidRPr="00EF0A05" w:rsidRDefault="00BF4E28" w:rsidP="00C06412">
            <w:pPr>
              <w:adjustRightInd w:val="0"/>
              <w:snapToGrid w:val="0"/>
              <w:spacing w:line="400" w:lineRule="exact"/>
              <w:ind w:firstLineChars="300" w:firstLine="720"/>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期权</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tcPr>
          <w:p w:rsidR="00BF4E28" w:rsidRPr="00EF0A05" w:rsidRDefault="00BF4E28" w:rsidP="00C06412">
            <w:pPr>
              <w:adjustRightInd w:val="0"/>
              <w:snapToGrid w:val="0"/>
              <w:spacing w:line="400" w:lineRule="exact"/>
              <w:ind w:firstLineChars="298" w:firstLine="715"/>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权证</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5</w:t>
            </w: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买入返售金融资产</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其中：买断式回购的买入返售金融资产</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tcPr>
          <w:p w:rsidR="00BF4E28" w:rsidRPr="00EF0A05" w:rsidRDefault="00BF4E28" w:rsidP="00C06412">
            <w:pPr>
              <w:adjustRightInd w:val="0"/>
              <w:snapToGrid w:val="0"/>
              <w:spacing w:line="400" w:lineRule="exact"/>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6</w:t>
            </w:r>
          </w:p>
        </w:tc>
        <w:tc>
          <w:tcPr>
            <w:tcW w:w="2552" w:type="dxa"/>
            <w:shd w:val="clear" w:color="auto" w:fill="auto"/>
          </w:tcPr>
          <w:p w:rsidR="00BF4E28" w:rsidRPr="00EF0A05" w:rsidRDefault="00BF4E28" w:rsidP="00C06412">
            <w:pPr>
              <w:adjustRightInd w:val="0"/>
              <w:snapToGrid w:val="0"/>
              <w:spacing w:line="400" w:lineRule="exac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货币市场工具</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7</w:t>
            </w:r>
          </w:p>
        </w:tc>
        <w:tc>
          <w:tcPr>
            <w:tcW w:w="2552" w:type="dxa"/>
            <w:shd w:val="clear" w:color="auto" w:fill="auto"/>
            <w:vAlign w:val="center"/>
          </w:tcPr>
          <w:p w:rsidR="00BF4E28" w:rsidRPr="00EF0A05" w:rsidRDefault="00BF4E28" w:rsidP="00C06412">
            <w:pPr>
              <w:spacing w:before="29" w:line="360" w:lineRule="auto"/>
              <w:ind w:left="17"/>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银行存款和结算备付金合计</w:t>
            </w:r>
          </w:p>
        </w:tc>
        <w:tc>
          <w:tcPr>
            <w:tcW w:w="3402"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19,705,251.61</w:t>
            </w:r>
          </w:p>
        </w:tc>
        <w:tc>
          <w:tcPr>
            <w:tcW w:w="1701" w:type="dxa"/>
            <w:shd w:val="clear" w:color="auto" w:fill="auto"/>
            <w:vAlign w:val="center"/>
          </w:tcPr>
          <w:p w:rsidR="00BF4E28" w:rsidRPr="00EF0A05" w:rsidRDefault="00BF4E28" w:rsidP="00C06412">
            <w:pPr>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6.71</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8</w:t>
            </w:r>
          </w:p>
        </w:tc>
        <w:tc>
          <w:tcPr>
            <w:tcW w:w="2552" w:type="dxa"/>
            <w:shd w:val="clear" w:color="auto" w:fill="auto"/>
            <w:vAlign w:val="center"/>
          </w:tcPr>
          <w:p w:rsidR="00BF4E28" w:rsidRPr="00EF0A05" w:rsidRDefault="00BF4E28" w:rsidP="00C06412">
            <w:pPr>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其他各项资产</w:t>
            </w:r>
          </w:p>
        </w:tc>
        <w:tc>
          <w:tcPr>
            <w:tcW w:w="3402" w:type="dxa"/>
            <w:shd w:val="clear" w:color="auto" w:fill="auto"/>
            <w:vAlign w:val="center"/>
          </w:tcPr>
          <w:p w:rsidR="00BF4E28" w:rsidRPr="00EF0A05" w:rsidRDefault="00BF4E28" w:rsidP="00C06412">
            <w:pPr>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3,486,971.86</w:t>
            </w:r>
          </w:p>
        </w:tc>
        <w:tc>
          <w:tcPr>
            <w:tcW w:w="1701" w:type="dxa"/>
            <w:shd w:val="clear" w:color="auto" w:fill="auto"/>
            <w:vAlign w:val="center"/>
          </w:tcPr>
          <w:p w:rsidR="00BF4E28" w:rsidRPr="00EF0A05" w:rsidRDefault="00BF4E28" w:rsidP="00C06412">
            <w:pPr>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1.19</w:t>
            </w:r>
          </w:p>
        </w:tc>
      </w:tr>
      <w:tr w:rsidR="00EF0A05" w:rsidRPr="00EF0A05" w:rsidTr="00AF41C5">
        <w:tc>
          <w:tcPr>
            <w:tcW w:w="851" w:type="dxa"/>
            <w:shd w:val="clear" w:color="auto" w:fill="auto"/>
            <w:vAlign w:val="center"/>
          </w:tcPr>
          <w:p w:rsidR="00BF4E28" w:rsidRPr="00EF0A05" w:rsidRDefault="00BF4E28" w:rsidP="00C06412">
            <w:pPr>
              <w:spacing w:before="29" w:line="360" w:lineRule="auto"/>
              <w:ind w:left="17"/>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9</w:t>
            </w:r>
          </w:p>
        </w:tc>
        <w:tc>
          <w:tcPr>
            <w:tcW w:w="2552" w:type="dxa"/>
            <w:shd w:val="clear" w:color="auto" w:fill="auto"/>
            <w:vAlign w:val="center"/>
          </w:tcPr>
          <w:p w:rsidR="00BF4E28" w:rsidRPr="00EF0A05" w:rsidRDefault="00BF4E28" w:rsidP="00C06412">
            <w:pPr>
              <w:jc w:val="left"/>
              <w:rPr>
                <w:rFonts w:asciiTheme="minorEastAsia" w:eastAsiaTheme="minorEastAsia" w:hAnsiTheme="minorEastAsia"/>
                <w:color w:val="000000" w:themeColor="text1"/>
                <w:sz w:val="24"/>
              </w:rPr>
            </w:pPr>
            <w:r w:rsidRPr="00EF0A05">
              <w:rPr>
                <w:rFonts w:asciiTheme="minorEastAsia" w:eastAsiaTheme="minorEastAsia" w:hAnsiTheme="minorEastAsia" w:cs="宋体" w:hint="eastAsia"/>
                <w:color w:val="000000" w:themeColor="text1"/>
                <w:sz w:val="24"/>
              </w:rPr>
              <w:t>合计</w:t>
            </w:r>
          </w:p>
        </w:tc>
        <w:tc>
          <w:tcPr>
            <w:tcW w:w="3402" w:type="dxa"/>
            <w:shd w:val="clear" w:color="auto" w:fill="auto"/>
            <w:vAlign w:val="center"/>
          </w:tcPr>
          <w:p w:rsidR="00BF4E28" w:rsidRPr="00EF0A05" w:rsidRDefault="00BF4E28" w:rsidP="00C06412">
            <w:pPr>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293,555,905.62</w:t>
            </w:r>
          </w:p>
        </w:tc>
        <w:tc>
          <w:tcPr>
            <w:tcW w:w="1701" w:type="dxa"/>
            <w:shd w:val="clear" w:color="auto" w:fill="auto"/>
            <w:vAlign w:val="center"/>
          </w:tcPr>
          <w:p w:rsidR="00BF4E28" w:rsidRPr="00EF0A05" w:rsidRDefault="00BF4E28" w:rsidP="00C06412">
            <w:pPr>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100.00</w:t>
            </w:r>
          </w:p>
        </w:tc>
      </w:tr>
    </w:tbl>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5.2 </w:t>
      </w:r>
      <w:r w:rsidRPr="00EF0A05">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EF0A05" w:rsidRPr="00EF0A05" w:rsidTr="001E2C91">
        <w:trPr>
          <w:jc w:val="center"/>
        </w:trPr>
        <w:tc>
          <w:tcPr>
            <w:tcW w:w="2410" w:type="dxa"/>
            <w:vAlign w:val="center"/>
          </w:tcPr>
          <w:p w:rsidR="00596191" w:rsidRPr="00EF0A05" w:rsidRDefault="00596191" w:rsidP="001E2C91">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国家（地区）</w:t>
            </w:r>
          </w:p>
        </w:tc>
        <w:tc>
          <w:tcPr>
            <w:tcW w:w="3118" w:type="dxa"/>
            <w:vAlign w:val="center"/>
          </w:tcPr>
          <w:p w:rsidR="00596191" w:rsidRPr="00EF0A05" w:rsidRDefault="00596191" w:rsidP="001E2C91">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公允价值</w:t>
            </w:r>
            <w:r w:rsidRPr="00EF0A05">
              <w:rPr>
                <w:rFonts w:asciiTheme="minorEastAsia" w:eastAsiaTheme="minorEastAsia" w:hAnsiTheme="minorEastAsia" w:cs="Arial"/>
                <w:color w:val="000000" w:themeColor="text1"/>
                <w:kern w:val="0"/>
                <w:sz w:val="24"/>
              </w:rPr>
              <w:t>(</w:t>
            </w:r>
            <w:r w:rsidRPr="00EF0A05">
              <w:rPr>
                <w:rFonts w:asciiTheme="minorEastAsia" w:eastAsiaTheme="minorEastAsia" w:hAnsiTheme="minorEastAsia" w:cs="Arial" w:hint="eastAsia"/>
                <w:color w:val="000000" w:themeColor="text1"/>
                <w:kern w:val="0"/>
                <w:sz w:val="24"/>
              </w:rPr>
              <w:t>人民币元</w:t>
            </w:r>
            <w:r w:rsidRPr="00EF0A05">
              <w:rPr>
                <w:rFonts w:asciiTheme="minorEastAsia" w:eastAsiaTheme="minorEastAsia" w:hAnsiTheme="minorEastAsia" w:cs="Arial"/>
                <w:color w:val="000000" w:themeColor="text1"/>
                <w:kern w:val="0"/>
                <w:sz w:val="24"/>
              </w:rPr>
              <w:t>)</w:t>
            </w:r>
          </w:p>
        </w:tc>
        <w:tc>
          <w:tcPr>
            <w:tcW w:w="3076" w:type="dxa"/>
            <w:vAlign w:val="center"/>
          </w:tcPr>
          <w:p w:rsidR="00596191" w:rsidRPr="00EF0A05" w:rsidRDefault="00596191" w:rsidP="001E2C91">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占基金资产净值比例（％）</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美国</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198,294,746.88</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69.34</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澳大利亚</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17,718,938.44</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6.20</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英国</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16,947,947.72</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5.93</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日本</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11,285,243.39</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3.95</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荷兰</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7,555,408.75</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2.64</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中国香港</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7,537,988.70</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2.64</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法国</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7,369,289.66</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2.58</w:t>
            </w:r>
          </w:p>
        </w:tc>
      </w:tr>
      <w:tr w:rsidR="000E67FD">
        <w:trPr>
          <w:jc w:val="center"/>
        </w:trPr>
        <w:tc>
          <w:tcPr>
            <w:tcW w:w="2410" w:type="dxa"/>
            <w:vAlign w:val="center"/>
          </w:tcPr>
          <w:p w:rsidR="000E67FD" w:rsidRDefault="001C5E47">
            <w:pPr>
              <w:jc w:val="left"/>
            </w:pPr>
            <w:r>
              <w:rPr>
                <w:rFonts w:asciiTheme="minorEastAsia" w:eastAsiaTheme="minorEastAsia" w:hAnsiTheme="minorEastAsia"/>
                <w:color w:val="000000" w:themeColor="text1"/>
                <w:sz w:val="24"/>
              </w:rPr>
              <w:t>新加坡</w:t>
            </w:r>
          </w:p>
        </w:tc>
        <w:tc>
          <w:tcPr>
            <w:tcW w:w="3118" w:type="dxa"/>
            <w:vAlign w:val="center"/>
          </w:tcPr>
          <w:p w:rsidR="000E67FD" w:rsidRDefault="001C5E47">
            <w:pPr>
              <w:jc w:val="right"/>
            </w:pPr>
            <w:r>
              <w:rPr>
                <w:rFonts w:asciiTheme="minorEastAsia" w:eastAsiaTheme="minorEastAsia" w:hAnsiTheme="minorEastAsia"/>
                <w:color w:val="000000" w:themeColor="text1"/>
                <w:sz w:val="24"/>
              </w:rPr>
              <w:t>3,654,118.61</w:t>
            </w:r>
          </w:p>
        </w:tc>
        <w:tc>
          <w:tcPr>
            <w:tcW w:w="3076" w:type="dxa"/>
            <w:vAlign w:val="center"/>
          </w:tcPr>
          <w:p w:rsidR="000E67FD" w:rsidRDefault="001C5E47">
            <w:pPr>
              <w:jc w:val="right"/>
            </w:pPr>
            <w:r>
              <w:rPr>
                <w:rFonts w:asciiTheme="minorEastAsia" w:eastAsiaTheme="minorEastAsia" w:hAnsiTheme="minorEastAsia"/>
                <w:color w:val="000000" w:themeColor="text1"/>
                <w:sz w:val="24"/>
              </w:rPr>
              <w:t>1.28</w:t>
            </w:r>
          </w:p>
        </w:tc>
      </w:tr>
      <w:tr w:rsidR="00EF0A05" w:rsidRPr="00EF0A05" w:rsidTr="001E2C91">
        <w:trPr>
          <w:jc w:val="center"/>
        </w:trPr>
        <w:tc>
          <w:tcPr>
            <w:tcW w:w="2410" w:type="dxa"/>
          </w:tcPr>
          <w:p w:rsidR="00596191" w:rsidRPr="00EF0A05" w:rsidRDefault="00596191" w:rsidP="001E2C91">
            <w:pPr>
              <w:autoSpaceDE w:val="0"/>
              <w:autoSpaceDN w:val="0"/>
              <w:adjustRightInd w:val="0"/>
              <w:spacing w:before="29" w:line="360" w:lineRule="auto"/>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合计</w:t>
            </w:r>
          </w:p>
        </w:tc>
        <w:tc>
          <w:tcPr>
            <w:tcW w:w="3118" w:type="dxa"/>
          </w:tcPr>
          <w:p w:rsidR="00596191" w:rsidRPr="00EF0A05" w:rsidRDefault="00596191" w:rsidP="001E2C91">
            <w:pPr>
              <w:autoSpaceDE w:val="0"/>
              <w:autoSpaceDN w:val="0"/>
              <w:adjustRightInd w:val="0"/>
              <w:spacing w:before="29" w:line="360" w:lineRule="auto"/>
              <w:jc w:val="righ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270,363,682.15</w:t>
            </w:r>
          </w:p>
        </w:tc>
        <w:tc>
          <w:tcPr>
            <w:tcW w:w="3076" w:type="dxa"/>
          </w:tcPr>
          <w:p w:rsidR="00596191" w:rsidRPr="00EF0A05" w:rsidRDefault="00596191" w:rsidP="001E2C91">
            <w:pPr>
              <w:autoSpaceDE w:val="0"/>
              <w:autoSpaceDN w:val="0"/>
              <w:adjustRightInd w:val="0"/>
              <w:spacing w:before="29" w:line="360" w:lineRule="auto"/>
              <w:jc w:val="righ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94.54</w:t>
            </w:r>
          </w:p>
        </w:tc>
      </w:tr>
    </w:tbl>
    <w:p w:rsidR="0076518F" w:rsidRPr="00EF0A05" w:rsidRDefault="008573E5"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注：国家（地区）类别根据其所在的证券交易所确定，ADR、GDR按照存托凭证本身挂牌的证券交易所确定。</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100C16" w:rsidRPr="00EF0A05" w:rsidRDefault="00100C16"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5.3 </w:t>
      </w:r>
      <w:r w:rsidRPr="00EF0A05">
        <w:rPr>
          <w:rFonts w:asciiTheme="minorEastAsia" w:eastAsiaTheme="minorEastAsia" w:hAnsiTheme="minorEastAsia" w:cs="Arial" w:hint="eastAsia"/>
          <w:b/>
          <w:color w:val="000000" w:themeColor="text1"/>
          <w:kern w:val="0"/>
          <w:sz w:val="24"/>
        </w:rPr>
        <w:t>报告期末按行业分类的股票及存托凭证投资组合</w:t>
      </w:r>
    </w:p>
    <w:p w:rsidR="00100C16" w:rsidRPr="00EF0A05" w:rsidRDefault="00100C16"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hint="eastAsia"/>
          <w:b/>
          <w:color w:val="000000" w:themeColor="text1"/>
          <w:kern w:val="0"/>
          <w:sz w:val="24"/>
        </w:rPr>
        <w:lastRenderedPageBreak/>
        <w:t>5.3.1报告期末指数投资按行业分类的股票及存托凭证投资组合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EF0A05" w:rsidRPr="00EF0A05" w:rsidTr="00276E7D">
        <w:tc>
          <w:tcPr>
            <w:tcW w:w="2787" w:type="dxa"/>
            <w:vAlign w:val="center"/>
          </w:tcPr>
          <w:p w:rsidR="00BF2DDD" w:rsidRPr="00EF0A05" w:rsidRDefault="00BF2DDD" w:rsidP="00276E7D">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行业类别</w:t>
            </w:r>
          </w:p>
        </w:tc>
        <w:tc>
          <w:tcPr>
            <w:tcW w:w="2551" w:type="dxa"/>
            <w:vAlign w:val="center"/>
          </w:tcPr>
          <w:p w:rsidR="00BF2DDD" w:rsidRPr="00EF0A05" w:rsidRDefault="00BF2DDD" w:rsidP="00276E7D">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公允价值（人民币元）</w:t>
            </w:r>
          </w:p>
        </w:tc>
        <w:tc>
          <w:tcPr>
            <w:tcW w:w="3175" w:type="dxa"/>
            <w:vAlign w:val="center"/>
          </w:tcPr>
          <w:p w:rsidR="00BF2DDD" w:rsidRPr="00EF0A05" w:rsidRDefault="00BF2DDD" w:rsidP="00276E7D">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占基金资产净值比例（％）</w:t>
            </w:r>
          </w:p>
        </w:tc>
      </w:tr>
      <w:tr w:rsidR="000E67FD">
        <w:tc>
          <w:tcPr>
            <w:tcW w:w="2787" w:type="dxa"/>
            <w:vAlign w:val="center"/>
          </w:tcPr>
          <w:p w:rsidR="000E67FD" w:rsidRDefault="001C5E47">
            <w:pPr>
              <w:jc w:val="left"/>
            </w:pPr>
            <w:r>
              <w:rPr>
                <w:rFonts w:ascii="宋体" w:hAnsi="宋体"/>
                <w:color w:val="000000" w:themeColor="text1"/>
                <w:sz w:val="24"/>
              </w:rPr>
              <w:t>股权房地产投资信托</w:t>
            </w:r>
            <w:r>
              <w:rPr>
                <w:rFonts w:ascii="宋体" w:hAnsi="宋体"/>
                <w:color w:val="000000" w:themeColor="text1"/>
                <w:sz w:val="24"/>
              </w:rPr>
              <w:t xml:space="preserve"> </w:t>
            </w:r>
            <w:r>
              <w:rPr>
                <w:rFonts w:ascii="宋体" w:hAnsi="宋体"/>
                <w:color w:val="000000" w:themeColor="text1"/>
                <w:sz w:val="24"/>
              </w:rPr>
              <w:t>（</w:t>
            </w:r>
            <w:r>
              <w:rPr>
                <w:rFonts w:ascii="宋体" w:hAnsi="宋体"/>
                <w:color w:val="000000" w:themeColor="text1"/>
                <w:sz w:val="24"/>
              </w:rPr>
              <w:t>REITs</w:t>
            </w:r>
            <w:r>
              <w:rPr>
                <w:rFonts w:ascii="宋体" w:hAnsi="宋体"/>
                <w:color w:val="000000" w:themeColor="text1"/>
                <w:sz w:val="24"/>
              </w:rPr>
              <w:t>）</w:t>
            </w:r>
          </w:p>
        </w:tc>
        <w:tc>
          <w:tcPr>
            <w:tcW w:w="2551" w:type="dxa"/>
            <w:vAlign w:val="center"/>
          </w:tcPr>
          <w:p w:rsidR="000E67FD" w:rsidRDefault="001C5E47">
            <w:pPr>
              <w:jc w:val="right"/>
            </w:pPr>
            <w:r>
              <w:rPr>
                <w:rFonts w:ascii="宋体" w:hAnsi="宋体"/>
                <w:color w:val="000000" w:themeColor="text1"/>
                <w:sz w:val="24"/>
              </w:rPr>
              <w:t>270,363,682.15</w:t>
            </w:r>
          </w:p>
        </w:tc>
        <w:tc>
          <w:tcPr>
            <w:tcW w:w="3175" w:type="dxa"/>
            <w:vAlign w:val="center"/>
          </w:tcPr>
          <w:p w:rsidR="000E67FD" w:rsidRDefault="001C5E47">
            <w:pPr>
              <w:jc w:val="right"/>
            </w:pPr>
            <w:r>
              <w:rPr>
                <w:rFonts w:ascii="宋体" w:hAnsi="宋体"/>
                <w:color w:val="000000" w:themeColor="text1"/>
                <w:sz w:val="24"/>
              </w:rPr>
              <w:t>94.54</w:t>
            </w:r>
          </w:p>
        </w:tc>
      </w:tr>
      <w:tr w:rsidR="00EF0A05" w:rsidRPr="00EF0A05" w:rsidTr="00276E7D">
        <w:tc>
          <w:tcPr>
            <w:tcW w:w="2787" w:type="dxa"/>
            <w:vAlign w:val="center"/>
          </w:tcPr>
          <w:p w:rsidR="00511AC1" w:rsidRPr="00EF0A05" w:rsidRDefault="00511AC1" w:rsidP="00276E7D">
            <w:pPr>
              <w:autoSpaceDE w:val="0"/>
              <w:autoSpaceDN w:val="0"/>
              <w:adjustRightInd w:val="0"/>
              <w:spacing w:before="29" w:line="360" w:lineRule="auto"/>
              <w:ind w:left="15"/>
              <w:jc w:val="center"/>
              <w:rPr>
                <w:rFonts w:ascii="宋体" w:hAnsi="宋体"/>
                <w:color w:val="000000" w:themeColor="text1"/>
                <w:sz w:val="24"/>
              </w:rPr>
            </w:pPr>
            <w:r w:rsidRPr="00EF0A05">
              <w:rPr>
                <w:rFonts w:ascii="宋体" w:hAnsi="宋体" w:hint="eastAsia"/>
                <w:color w:val="000000" w:themeColor="text1"/>
                <w:sz w:val="24"/>
              </w:rPr>
              <w:t>合计</w:t>
            </w:r>
          </w:p>
        </w:tc>
        <w:tc>
          <w:tcPr>
            <w:tcW w:w="2551" w:type="dxa"/>
            <w:vAlign w:val="center"/>
          </w:tcPr>
          <w:p w:rsidR="00511AC1" w:rsidRPr="00EF0A05" w:rsidRDefault="00511AC1" w:rsidP="002E6AC6">
            <w:pPr>
              <w:spacing w:line="360" w:lineRule="auto"/>
              <w:jc w:val="right"/>
              <w:rPr>
                <w:rFonts w:ascii="宋体" w:hAnsi="宋体"/>
                <w:color w:val="000000" w:themeColor="text1"/>
                <w:sz w:val="24"/>
              </w:rPr>
            </w:pPr>
            <w:r w:rsidRPr="00EF0A05">
              <w:rPr>
                <w:rFonts w:ascii="宋体" w:hAnsi="宋体"/>
                <w:color w:val="000000" w:themeColor="text1"/>
                <w:sz w:val="24"/>
              </w:rPr>
              <w:t>270,363,682.15</w:t>
            </w:r>
          </w:p>
        </w:tc>
        <w:tc>
          <w:tcPr>
            <w:tcW w:w="3175" w:type="dxa"/>
            <w:vAlign w:val="center"/>
          </w:tcPr>
          <w:p w:rsidR="00511AC1" w:rsidRPr="00EF0A05" w:rsidRDefault="00511AC1" w:rsidP="002E6AC6">
            <w:pPr>
              <w:spacing w:line="360" w:lineRule="auto"/>
              <w:jc w:val="right"/>
              <w:rPr>
                <w:rFonts w:ascii="宋体" w:hAnsi="宋体"/>
                <w:color w:val="000000" w:themeColor="text1"/>
                <w:sz w:val="24"/>
              </w:rPr>
            </w:pPr>
            <w:r w:rsidRPr="00EF0A05">
              <w:rPr>
                <w:rFonts w:ascii="宋体" w:hAnsi="宋体"/>
                <w:color w:val="000000" w:themeColor="text1"/>
                <w:sz w:val="24"/>
              </w:rPr>
              <w:t>94.54</w:t>
            </w:r>
          </w:p>
        </w:tc>
      </w:tr>
    </w:tbl>
    <w:p w:rsidR="00BF2DDD" w:rsidRPr="00EF0A05" w:rsidRDefault="00BF2DDD" w:rsidP="00BF2DDD">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注：行业分类标准：MSCI</w:t>
      </w:r>
    </w:p>
    <w:p w:rsidR="00100C16" w:rsidRPr="00EF0A05" w:rsidRDefault="00100C16"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hint="eastAsia"/>
            <w:b/>
            <w:color w:val="000000" w:themeColor="text1"/>
            <w:kern w:val="0"/>
            <w:sz w:val="24"/>
          </w:rPr>
          <w:t>5.3.2</w:t>
        </w:r>
      </w:smartTag>
      <w:r w:rsidRPr="00EF0A05">
        <w:rPr>
          <w:rFonts w:asciiTheme="minorEastAsia" w:eastAsiaTheme="minorEastAsia" w:hAnsiTheme="minorEastAsia" w:cs="Arial" w:hint="eastAsia"/>
          <w:b/>
          <w:color w:val="000000" w:themeColor="text1"/>
          <w:kern w:val="0"/>
          <w:sz w:val="24"/>
        </w:rPr>
        <w:t>报告期末积极投资按行业分类的股票及存托凭证投资组合</w:t>
      </w:r>
    </w:p>
    <w:p w:rsidR="00100C16" w:rsidRPr="00EF0A05" w:rsidRDefault="00F718C1" w:rsidP="00100C16">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本基金本报告期末未持有积极投资股票。</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5.4 </w:t>
      </w:r>
      <w:r w:rsidRPr="00EF0A05">
        <w:rPr>
          <w:rFonts w:asciiTheme="minorEastAsia" w:eastAsiaTheme="minorEastAsia" w:hAnsiTheme="minorEastAsia" w:cs="Arial" w:hint="eastAsia"/>
          <w:b/>
          <w:color w:val="000000" w:themeColor="text1"/>
          <w:kern w:val="0"/>
          <w:sz w:val="24"/>
        </w:rPr>
        <w:t>报告期末按公允价值占基金资产净值比例大小排序的股票及存托凭证投资明细</w:t>
      </w:r>
    </w:p>
    <w:p w:rsidR="001D79D5" w:rsidRPr="00EF0A05" w:rsidRDefault="001D79D5"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hint="eastAsia"/>
            <w:b/>
            <w:color w:val="000000" w:themeColor="text1"/>
            <w:kern w:val="0"/>
            <w:sz w:val="24"/>
          </w:rPr>
          <w:t>5.4.1</w:t>
        </w:r>
      </w:smartTag>
      <w:r w:rsidRPr="00EF0A05">
        <w:rPr>
          <w:rFonts w:asciiTheme="minorEastAsia" w:eastAsiaTheme="minorEastAsia" w:hAnsiTheme="minorEastAsia" w:cs="Arial" w:hint="eastAsia"/>
          <w:b/>
          <w:color w:val="000000" w:themeColor="text1"/>
          <w:kern w:val="0"/>
          <w:sz w:val="24"/>
        </w:rPr>
        <w:t>期末指数投资按公允价值占基金资产净值比例大小排序的前</w:t>
      </w:r>
      <w:r w:rsidR="001522EE" w:rsidRPr="00EF0A05">
        <w:rPr>
          <w:rFonts w:asciiTheme="minorEastAsia" w:eastAsiaTheme="minorEastAsia" w:hAnsiTheme="minorEastAsia" w:cs="Arial" w:hint="eastAsia"/>
          <w:b/>
          <w:color w:val="000000" w:themeColor="text1"/>
          <w:kern w:val="0"/>
          <w:sz w:val="24"/>
        </w:rPr>
        <w:t>十</w:t>
      </w:r>
      <w:r w:rsidRPr="00EF0A05">
        <w:rPr>
          <w:rFonts w:asciiTheme="minorEastAsia" w:eastAsiaTheme="minorEastAsia" w:hAnsiTheme="minorEastAsia" w:cs="Arial" w:hint="eastAsia"/>
          <w:b/>
          <w:color w:val="000000" w:themeColor="text1"/>
          <w:kern w:val="0"/>
          <w:sz w:val="24"/>
        </w:rPr>
        <w:t>名股票及存托凭证投资明细</w:t>
      </w:r>
    </w:p>
    <w:tbl>
      <w:tblPr>
        <w:tblStyle w:val="afa"/>
        <w:tblW w:w="0" w:type="auto"/>
        <w:tblInd w:w="15" w:type="dxa"/>
        <w:tblLook w:val="04A0" w:firstRow="1" w:lastRow="0" w:firstColumn="1" w:lastColumn="0" w:noHBand="0" w:noVBand="1"/>
      </w:tblPr>
      <w:tblGrid>
        <w:gridCol w:w="443"/>
        <w:gridCol w:w="1391"/>
        <w:gridCol w:w="1177"/>
        <w:gridCol w:w="643"/>
        <w:gridCol w:w="443"/>
        <w:gridCol w:w="657"/>
        <w:gridCol w:w="1284"/>
        <w:gridCol w:w="1605"/>
        <w:gridCol w:w="870"/>
      </w:tblGrid>
      <w:tr w:rsidR="00EF0A05" w:rsidRPr="00EF0A05" w:rsidTr="007C1771">
        <w:tc>
          <w:tcPr>
            <w:tcW w:w="817" w:type="dxa"/>
            <w:vAlign w:val="center"/>
          </w:tcPr>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序号</w:t>
            </w:r>
          </w:p>
        </w:tc>
        <w:tc>
          <w:tcPr>
            <w:tcW w:w="816" w:type="dxa"/>
            <w:vAlign w:val="center"/>
          </w:tcPr>
          <w:p w:rsidR="007C1771" w:rsidRPr="00EF0A05" w:rsidRDefault="007C1771" w:rsidP="00D35DE1">
            <w:pPr>
              <w:adjustRightInd w:val="0"/>
              <w:snapToGrid w:val="0"/>
              <w:spacing w:line="400" w:lineRule="exact"/>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公司名称（英文）</w:t>
            </w:r>
          </w:p>
        </w:tc>
        <w:tc>
          <w:tcPr>
            <w:tcW w:w="962" w:type="dxa"/>
            <w:vAlign w:val="center"/>
          </w:tcPr>
          <w:p w:rsidR="007C1771" w:rsidRPr="00EF0A05" w:rsidRDefault="007C1771" w:rsidP="00D35DE1">
            <w:pPr>
              <w:adjustRightInd w:val="0"/>
              <w:snapToGrid w:val="0"/>
              <w:spacing w:line="400" w:lineRule="exact"/>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公司名称（中文）</w:t>
            </w:r>
          </w:p>
        </w:tc>
        <w:tc>
          <w:tcPr>
            <w:tcW w:w="962" w:type="dxa"/>
            <w:vAlign w:val="center"/>
          </w:tcPr>
          <w:p w:rsidR="007C1771" w:rsidRPr="00EF0A05" w:rsidRDefault="007C1771" w:rsidP="00D35DE1">
            <w:pPr>
              <w:adjustRightInd w:val="0"/>
              <w:snapToGrid w:val="0"/>
              <w:spacing w:line="400" w:lineRule="exact"/>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证券代码</w:t>
            </w:r>
          </w:p>
        </w:tc>
        <w:tc>
          <w:tcPr>
            <w:tcW w:w="816" w:type="dxa"/>
            <w:vAlign w:val="center"/>
          </w:tcPr>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所在证</w:t>
            </w:r>
          </w:p>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券市场</w:t>
            </w:r>
          </w:p>
        </w:tc>
        <w:tc>
          <w:tcPr>
            <w:tcW w:w="962" w:type="dxa"/>
            <w:vAlign w:val="center"/>
          </w:tcPr>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所属国家</w:t>
            </w:r>
          </w:p>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（地区</w:t>
            </w:r>
            <w:r w:rsidRPr="00EF0A05">
              <w:rPr>
                <w:rFonts w:asciiTheme="minorEastAsia" w:eastAsiaTheme="minorEastAsia" w:hAnsiTheme="minorEastAsia" w:cs="宋体"/>
                <w:color w:val="000000" w:themeColor="text1"/>
                <w:sz w:val="24"/>
              </w:rPr>
              <w:t>)</w:t>
            </w:r>
          </w:p>
        </w:tc>
        <w:tc>
          <w:tcPr>
            <w:tcW w:w="1108" w:type="dxa"/>
            <w:vAlign w:val="center"/>
          </w:tcPr>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数量</w:t>
            </w:r>
          </w:p>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（股）</w:t>
            </w:r>
          </w:p>
        </w:tc>
        <w:tc>
          <w:tcPr>
            <w:tcW w:w="962" w:type="dxa"/>
            <w:vAlign w:val="center"/>
          </w:tcPr>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公允价值（人民币元）</w:t>
            </w:r>
          </w:p>
        </w:tc>
        <w:tc>
          <w:tcPr>
            <w:tcW w:w="1108" w:type="dxa"/>
            <w:vAlign w:val="center"/>
          </w:tcPr>
          <w:p w:rsidR="007C1771" w:rsidRPr="00EF0A05" w:rsidRDefault="007C1771" w:rsidP="00F4561B">
            <w:pPr>
              <w:autoSpaceDE w:val="0"/>
              <w:autoSpaceDN w:val="0"/>
              <w:adjustRightInd w:val="0"/>
              <w:spacing w:before="29" w:line="360" w:lineRule="auto"/>
              <w:ind w:left="15"/>
              <w:jc w:val="center"/>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占基金资产净值比例（％）</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1</w:t>
            </w:r>
          </w:p>
        </w:tc>
        <w:tc>
          <w:tcPr>
            <w:tcW w:w="0" w:type="auto"/>
            <w:vAlign w:val="center"/>
          </w:tcPr>
          <w:p w:rsidR="000E67FD" w:rsidRDefault="001C5E47">
            <w:pPr>
              <w:jc w:val="center"/>
            </w:pPr>
            <w:r>
              <w:rPr>
                <w:rFonts w:asciiTheme="minorEastAsia" w:eastAsiaTheme="minorEastAsia" w:hAnsiTheme="minorEastAsia"/>
                <w:color w:val="000000" w:themeColor="text1"/>
                <w:sz w:val="24"/>
              </w:rPr>
              <w:t>Prologis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普洛斯公司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PLD</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30,400.00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18,904,497.43</w:t>
            </w:r>
          </w:p>
        </w:tc>
        <w:tc>
          <w:tcPr>
            <w:tcW w:w="0" w:type="auto"/>
            <w:vAlign w:val="center"/>
          </w:tcPr>
          <w:p w:rsidR="000E67FD" w:rsidRDefault="001C5E47">
            <w:pPr>
              <w:jc w:val="right"/>
            </w:pPr>
            <w:r>
              <w:rPr>
                <w:rFonts w:asciiTheme="minorEastAsia" w:eastAsiaTheme="minorEastAsia" w:hAnsiTheme="minorEastAsia"/>
                <w:color w:val="000000" w:themeColor="text1"/>
                <w:sz w:val="24"/>
              </w:rPr>
              <w:t>6.61</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2</w:t>
            </w:r>
          </w:p>
        </w:tc>
        <w:tc>
          <w:tcPr>
            <w:tcW w:w="0" w:type="auto"/>
            <w:vAlign w:val="center"/>
          </w:tcPr>
          <w:p w:rsidR="000E67FD" w:rsidRDefault="001C5E47">
            <w:pPr>
              <w:jc w:val="center"/>
            </w:pPr>
            <w:r>
              <w:rPr>
                <w:rFonts w:asciiTheme="minorEastAsia" w:eastAsiaTheme="minorEastAsia" w:hAnsiTheme="minorEastAsia"/>
                <w:color w:val="000000" w:themeColor="text1"/>
                <w:sz w:val="24"/>
              </w:rPr>
              <w:t xml:space="preserve">Simon </w:t>
            </w:r>
            <w:r>
              <w:rPr>
                <w:rFonts w:asciiTheme="minorEastAsia" w:eastAsiaTheme="minorEastAsia" w:hAnsiTheme="minorEastAsia"/>
                <w:color w:val="000000" w:themeColor="text1"/>
                <w:sz w:val="24"/>
              </w:rPr>
              <w:t>Property Group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西蒙房地产集团公司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SPG</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14,900.00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15,483,703.80</w:t>
            </w:r>
          </w:p>
        </w:tc>
        <w:tc>
          <w:tcPr>
            <w:tcW w:w="0" w:type="auto"/>
            <w:vAlign w:val="center"/>
          </w:tcPr>
          <w:p w:rsidR="000E67FD" w:rsidRDefault="001C5E47">
            <w:pPr>
              <w:jc w:val="right"/>
            </w:pPr>
            <w:r>
              <w:rPr>
                <w:rFonts w:asciiTheme="minorEastAsia" w:eastAsiaTheme="minorEastAsia" w:hAnsiTheme="minorEastAsia"/>
                <w:color w:val="000000" w:themeColor="text1"/>
                <w:sz w:val="24"/>
              </w:rPr>
              <w:t>5.41</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3</w:t>
            </w:r>
          </w:p>
        </w:tc>
        <w:tc>
          <w:tcPr>
            <w:tcW w:w="0" w:type="auto"/>
            <w:vAlign w:val="center"/>
          </w:tcPr>
          <w:p w:rsidR="000E67FD" w:rsidRDefault="001C5E47">
            <w:pPr>
              <w:jc w:val="center"/>
            </w:pPr>
            <w:r>
              <w:rPr>
                <w:rFonts w:asciiTheme="minorEastAsia" w:eastAsiaTheme="minorEastAsia" w:hAnsiTheme="minorEastAsia"/>
                <w:color w:val="000000" w:themeColor="text1"/>
                <w:sz w:val="24"/>
              </w:rPr>
              <w:t>Welltower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Welltower</w:t>
            </w:r>
            <w:r>
              <w:rPr>
                <w:rFonts w:asciiTheme="minorEastAsia" w:eastAsiaTheme="minorEastAsia" w:hAnsiTheme="minorEastAsia"/>
                <w:color w:val="000000" w:themeColor="text1"/>
                <w:sz w:val="24"/>
              </w:rPr>
              <w:t>股份有</w:t>
            </w:r>
            <w:r>
              <w:rPr>
                <w:rFonts w:asciiTheme="minorEastAsia" w:eastAsiaTheme="minorEastAsia" w:hAnsiTheme="minorEastAsia"/>
                <w:color w:val="000000" w:themeColor="text1"/>
                <w:sz w:val="24"/>
              </w:rPr>
              <w:lastRenderedPageBreak/>
              <w:t>限公司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lastRenderedPageBreak/>
              <w:t>WELL</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w:t>
            </w:r>
            <w:r>
              <w:rPr>
                <w:rFonts w:asciiTheme="minorEastAsia" w:eastAsiaTheme="minorEastAsia" w:hAnsiTheme="minorEastAsia"/>
                <w:color w:val="000000" w:themeColor="text1"/>
                <w:sz w:val="24"/>
              </w:rPr>
              <w:lastRenderedPageBreak/>
              <w:t>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lastRenderedPageBreak/>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19,700.00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11,239,118.63</w:t>
            </w:r>
          </w:p>
        </w:tc>
        <w:tc>
          <w:tcPr>
            <w:tcW w:w="0" w:type="auto"/>
            <w:vAlign w:val="center"/>
          </w:tcPr>
          <w:p w:rsidR="000E67FD" w:rsidRDefault="001C5E47">
            <w:pPr>
              <w:jc w:val="right"/>
            </w:pPr>
            <w:r>
              <w:rPr>
                <w:rFonts w:asciiTheme="minorEastAsia" w:eastAsiaTheme="minorEastAsia" w:hAnsiTheme="minorEastAsia"/>
                <w:color w:val="000000" w:themeColor="text1"/>
                <w:sz w:val="24"/>
              </w:rPr>
              <w:t>3.93</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4</w:t>
            </w:r>
          </w:p>
        </w:tc>
        <w:tc>
          <w:tcPr>
            <w:tcW w:w="0" w:type="auto"/>
            <w:vAlign w:val="center"/>
          </w:tcPr>
          <w:p w:rsidR="000E67FD" w:rsidRDefault="001C5E47">
            <w:pPr>
              <w:jc w:val="center"/>
            </w:pPr>
            <w:r>
              <w:rPr>
                <w:rFonts w:asciiTheme="minorEastAsia" w:eastAsiaTheme="minorEastAsia" w:hAnsiTheme="minorEastAsia"/>
                <w:color w:val="000000" w:themeColor="text1"/>
                <w:sz w:val="24"/>
              </w:rPr>
              <w:t>Public Storage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公共存储公司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PSA</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7,200.00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10,696,691.17</w:t>
            </w:r>
          </w:p>
        </w:tc>
        <w:tc>
          <w:tcPr>
            <w:tcW w:w="0" w:type="auto"/>
            <w:vAlign w:val="center"/>
          </w:tcPr>
          <w:p w:rsidR="000E67FD" w:rsidRDefault="001C5E47">
            <w:pPr>
              <w:jc w:val="right"/>
            </w:pPr>
            <w:r>
              <w:rPr>
                <w:rFonts w:asciiTheme="minorEastAsia" w:eastAsiaTheme="minorEastAsia" w:hAnsiTheme="minorEastAsia"/>
                <w:color w:val="000000" w:themeColor="text1"/>
                <w:sz w:val="24"/>
              </w:rPr>
              <w:t>3.74</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5</w:t>
            </w:r>
          </w:p>
        </w:tc>
        <w:tc>
          <w:tcPr>
            <w:tcW w:w="0" w:type="auto"/>
            <w:vAlign w:val="center"/>
          </w:tcPr>
          <w:p w:rsidR="000E67FD" w:rsidRDefault="001C5E47">
            <w:pPr>
              <w:jc w:val="center"/>
            </w:pPr>
            <w:r>
              <w:rPr>
                <w:rFonts w:asciiTheme="minorEastAsia" w:eastAsiaTheme="minorEastAsia" w:hAnsiTheme="minorEastAsia"/>
                <w:color w:val="000000" w:themeColor="text1"/>
                <w:sz w:val="24"/>
              </w:rPr>
              <w:t>Equity Residential</w:t>
            </w:r>
          </w:p>
        </w:tc>
        <w:tc>
          <w:tcPr>
            <w:tcW w:w="0" w:type="auto"/>
            <w:vAlign w:val="center"/>
          </w:tcPr>
          <w:p w:rsidR="000E67FD" w:rsidRDefault="001C5E47">
            <w:pPr>
              <w:jc w:val="center"/>
            </w:pPr>
            <w:r>
              <w:rPr>
                <w:rFonts w:asciiTheme="minorEastAsia" w:eastAsiaTheme="minorEastAsia" w:hAnsiTheme="minorEastAsia"/>
                <w:color w:val="000000" w:themeColor="text1"/>
                <w:sz w:val="24"/>
              </w:rPr>
              <w:t>公寓物业权益信托公司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EQR</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17,700.00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9,991,899.64</w:t>
            </w:r>
          </w:p>
        </w:tc>
        <w:tc>
          <w:tcPr>
            <w:tcW w:w="0" w:type="auto"/>
            <w:vAlign w:val="center"/>
          </w:tcPr>
          <w:p w:rsidR="000E67FD" w:rsidRDefault="001C5E47">
            <w:pPr>
              <w:jc w:val="right"/>
            </w:pPr>
            <w:r>
              <w:rPr>
                <w:rFonts w:asciiTheme="minorEastAsia" w:eastAsiaTheme="minorEastAsia" w:hAnsiTheme="minorEastAsia"/>
                <w:color w:val="000000" w:themeColor="text1"/>
                <w:sz w:val="24"/>
              </w:rPr>
              <w:t>3.49</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6</w:t>
            </w:r>
          </w:p>
        </w:tc>
        <w:tc>
          <w:tcPr>
            <w:tcW w:w="0" w:type="auto"/>
            <w:vAlign w:val="center"/>
          </w:tcPr>
          <w:p w:rsidR="000E67FD" w:rsidRDefault="001C5E47">
            <w:pPr>
              <w:jc w:val="center"/>
            </w:pPr>
            <w:r>
              <w:rPr>
                <w:rFonts w:asciiTheme="minorEastAsia" w:eastAsiaTheme="minorEastAsia" w:hAnsiTheme="minorEastAsia"/>
                <w:color w:val="000000" w:themeColor="text1"/>
                <w:sz w:val="24"/>
              </w:rPr>
              <w:t>Avalonbay Communities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艾芙隆海湾社区股份有限公司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AVB</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6,700.00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9,801,491.24</w:t>
            </w:r>
          </w:p>
        </w:tc>
        <w:tc>
          <w:tcPr>
            <w:tcW w:w="0" w:type="auto"/>
            <w:vAlign w:val="center"/>
          </w:tcPr>
          <w:p w:rsidR="000E67FD" w:rsidRDefault="001C5E47">
            <w:pPr>
              <w:jc w:val="right"/>
            </w:pPr>
            <w:r>
              <w:rPr>
                <w:rFonts w:asciiTheme="minorEastAsia" w:eastAsiaTheme="minorEastAsia" w:hAnsiTheme="minorEastAsia"/>
                <w:color w:val="000000" w:themeColor="text1"/>
                <w:sz w:val="24"/>
              </w:rPr>
              <w:t>3.43</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7</w:t>
            </w:r>
          </w:p>
        </w:tc>
        <w:tc>
          <w:tcPr>
            <w:tcW w:w="0" w:type="auto"/>
            <w:vAlign w:val="center"/>
          </w:tcPr>
          <w:p w:rsidR="000E67FD" w:rsidRDefault="001C5E47">
            <w:pPr>
              <w:jc w:val="center"/>
            </w:pPr>
            <w:r>
              <w:rPr>
                <w:rFonts w:asciiTheme="minorEastAsia" w:eastAsiaTheme="minorEastAsia" w:hAnsiTheme="minorEastAsia"/>
                <w:color w:val="000000" w:themeColor="text1"/>
                <w:sz w:val="24"/>
              </w:rPr>
              <w:t>Digital Realty Trust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数字房地产信托有限公司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DLR</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10,100.00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8,436,834.90</w:t>
            </w:r>
          </w:p>
        </w:tc>
        <w:tc>
          <w:tcPr>
            <w:tcW w:w="0" w:type="auto"/>
            <w:vAlign w:val="center"/>
          </w:tcPr>
          <w:p w:rsidR="000E67FD" w:rsidRDefault="001C5E47">
            <w:pPr>
              <w:jc w:val="right"/>
            </w:pPr>
            <w:r>
              <w:rPr>
                <w:rFonts w:asciiTheme="minorEastAsia" w:eastAsiaTheme="minorEastAsia" w:hAnsiTheme="minorEastAsia"/>
                <w:color w:val="000000" w:themeColor="text1"/>
                <w:sz w:val="24"/>
              </w:rPr>
              <w:t>2.95</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8</w:t>
            </w:r>
          </w:p>
        </w:tc>
        <w:tc>
          <w:tcPr>
            <w:tcW w:w="0" w:type="auto"/>
            <w:vAlign w:val="center"/>
          </w:tcPr>
          <w:p w:rsidR="000E67FD" w:rsidRDefault="001C5E47">
            <w:pPr>
              <w:jc w:val="center"/>
            </w:pPr>
            <w:r>
              <w:rPr>
                <w:rFonts w:asciiTheme="minorEastAsia" w:eastAsiaTheme="minorEastAsia" w:hAnsiTheme="minorEastAsia"/>
                <w:color w:val="000000" w:themeColor="text1"/>
                <w:sz w:val="24"/>
              </w:rPr>
              <w:t>Realty Income Corp</w:t>
            </w:r>
          </w:p>
        </w:tc>
        <w:tc>
          <w:tcPr>
            <w:tcW w:w="0" w:type="auto"/>
            <w:vAlign w:val="center"/>
          </w:tcPr>
          <w:p w:rsidR="000E67FD" w:rsidRDefault="001C5E47">
            <w:pPr>
              <w:jc w:val="center"/>
            </w:pPr>
            <w:r>
              <w:rPr>
                <w:rFonts w:asciiTheme="minorEastAsia" w:eastAsiaTheme="minorEastAsia" w:hAnsiTheme="minorEastAsia"/>
                <w:color w:val="000000" w:themeColor="text1"/>
                <w:sz w:val="24"/>
              </w:rPr>
              <w:t>Realty Income</w:t>
            </w:r>
            <w:r>
              <w:rPr>
                <w:rFonts w:asciiTheme="minorEastAsia" w:eastAsiaTheme="minorEastAsia" w:hAnsiTheme="minorEastAsia"/>
                <w:color w:val="000000" w:themeColor="text1"/>
                <w:sz w:val="24"/>
              </w:rPr>
              <w:t>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O</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15,800.00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8,115,790.17</w:t>
            </w:r>
          </w:p>
        </w:tc>
        <w:tc>
          <w:tcPr>
            <w:tcW w:w="0" w:type="auto"/>
            <w:vAlign w:val="center"/>
          </w:tcPr>
          <w:p w:rsidR="000E67FD" w:rsidRDefault="001C5E47">
            <w:pPr>
              <w:jc w:val="right"/>
            </w:pPr>
            <w:r>
              <w:rPr>
                <w:rFonts w:asciiTheme="minorEastAsia" w:eastAsiaTheme="minorEastAsia" w:hAnsiTheme="minorEastAsia"/>
                <w:color w:val="000000" w:themeColor="text1"/>
                <w:sz w:val="24"/>
              </w:rPr>
              <w:t>2.84</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9</w:t>
            </w:r>
          </w:p>
        </w:tc>
        <w:tc>
          <w:tcPr>
            <w:tcW w:w="0" w:type="auto"/>
            <w:vAlign w:val="center"/>
          </w:tcPr>
          <w:p w:rsidR="000E67FD" w:rsidRDefault="001C5E47">
            <w:pPr>
              <w:jc w:val="center"/>
            </w:pPr>
            <w:r>
              <w:rPr>
                <w:rFonts w:asciiTheme="minorEastAsia" w:eastAsiaTheme="minorEastAsia" w:hAnsiTheme="minorEastAsia"/>
                <w:color w:val="000000" w:themeColor="text1"/>
                <w:sz w:val="24"/>
              </w:rPr>
              <w:t>LINK REIT</w:t>
            </w:r>
          </w:p>
        </w:tc>
        <w:tc>
          <w:tcPr>
            <w:tcW w:w="0" w:type="auto"/>
            <w:vAlign w:val="center"/>
          </w:tcPr>
          <w:p w:rsidR="000E67FD" w:rsidRDefault="001C5E47">
            <w:pPr>
              <w:jc w:val="center"/>
            </w:pPr>
            <w:r>
              <w:rPr>
                <w:rFonts w:asciiTheme="minorEastAsia" w:eastAsiaTheme="minorEastAsia" w:hAnsiTheme="minorEastAsia"/>
                <w:color w:val="000000" w:themeColor="text1"/>
                <w:sz w:val="24"/>
              </w:rPr>
              <w:t>领展房产基金</w:t>
            </w:r>
            <w:r>
              <w:rPr>
                <w:rFonts w:asciiTheme="minorEastAsia" w:eastAsiaTheme="minorEastAsia" w:hAnsiTheme="minorEastAsia"/>
                <w:color w:val="000000" w:themeColor="text1"/>
                <w:sz w:val="24"/>
              </w:rPr>
              <w:t>(</w:t>
            </w:r>
            <w:r>
              <w:rPr>
                <w:rFonts w:asciiTheme="minorEastAsia" w:eastAsiaTheme="minorEastAsia" w:hAnsiTheme="minorEastAsia"/>
                <w:color w:val="000000" w:themeColor="text1"/>
                <w:sz w:val="24"/>
              </w:rPr>
              <w:t>净值</w:t>
            </w:r>
            <w:r>
              <w:rPr>
                <w:rFonts w:asciiTheme="minorEastAsia" w:eastAsiaTheme="minorEastAsia" w:hAnsiTheme="minorEastAsia"/>
                <w:color w:val="000000" w:themeColor="text1"/>
                <w:sz w:val="24"/>
              </w:rPr>
              <w:t>)</w:t>
            </w:r>
          </w:p>
        </w:tc>
        <w:tc>
          <w:tcPr>
            <w:tcW w:w="0" w:type="auto"/>
            <w:vAlign w:val="center"/>
          </w:tcPr>
          <w:p w:rsidR="000E67FD" w:rsidRDefault="001C5E47">
            <w:pPr>
              <w:jc w:val="center"/>
            </w:pPr>
            <w:r>
              <w:rPr>
                <w:rFonts w:asciiTheme="minorEastAsia" w:eastAsiaTheme="minorEastAsia" w:hAnsiTheme="minorEastAsia"/>
                <w:color w:val="000000" w:themeColor="text1"/>
                <w:sz w:val="24"/>
              </w:rPr>
              <w:t>0823</w:t>
            </w:r>
          </w:p>
        </w:tc>
        <w:tc>
          <w:tcPr>
            <w:tcW w:w="0" w:type="auto"/>
            <w:vAlign w:val="center"/>
          </w:tcPr>
          <w:p w:rsidR="000E67FD" w:rsidRDefault="001C5E47">
            <w:pPr>
              <w:jc w:val="center"/>
            </w:pPr>
            <w:r>
              <w:rPr>
                <w:rFonts w:asciiTheme="minorEastAsia" w:eastAsiaTheme="minorEastAsia" w:hAnsiTheme="minorEastAsia"/>
                <w:color w:val="000000" w:themeColor="text1"/>
                <w:sz w:val="24"/>
              </w:rPr>
              <w:t>香港证券</w:t>
            </w:r>
            <w:r>
              <w:rPr>
                <w:rFonts w:asciiTheme="minorEastAsia" w:eastAsiaTheme="minorEastAsia" w:hAnsiTheme="minorEastAsia"/>
                <w:color w:val="000000" w:themeColor="text1"/>
                <w:sz w:val="24"/>
              </w:rPr>
              <w:lastRenderedPageBreak/>
              <w:t>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lastRenderedPageBreak/>
              <w:t>中国香港</w:t>
            </w:r>
          </w:p>
        </w:tc>
        <w:tc>
          <w:tcPr>
            <w:tcW w:w="0" w:type="auto"/>
            <w:vAlign w:val="center"/>
          </w:tcPr>
          <w:p w:rsidR="000E67FD" w:rsidRDefault="001C5E47">
            <w:pPr>
              <w:jc w:val="right"/>
            </w:pPr>
            <w:r>
              <w:rPr>
                <w:rFonts w:asciiTheme="minorEastAsia" w:eastAsiaTheme="minorEastAsia" w:hAnsiTheme="minorEastAsia"/>
                <w:color w:val="000000" w:themeColor="text1"/>
                <w:sz w:val="24"/>
              </w:rPr>
              <w:t>102,000.00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7,537,988.70</w:t>
            </w:r>
          </w:p>
        </w:tc>
        <w:tc>
          <w:tcPr>
            <w:tcW w:w="0" w:type="auto"/>
            <w:vAlign w:val="center"/>
          </w:tcPr>
          <w:p w:rsidR="000E67FD" w:rsidRDefault="001C5E47">
            <w:pPr>
              <w:jc w:val="right"/>
            </w:pPr>
            <w:r>
              <w:rPr>
                <w:rFonts w:asciiTheme="minorEastAsia" w:eastAsiaTheme="minorEastAsia" w:hAnsiTheme="minorEastAsia"/>
                <w:color w:val="000000" w:themeColor="text1"/>
                <w:sz w:val="24"/>
              </w:rPr>
              <w:t>2.64</w:t>
            </w:r>
          </w:p>
        </w:tc>
      </w:tr>
      <w:tr w:rsidR="000E67FD">
        <w:tc>
          <w:tcPr>
            <w:tcW w:w="0" w:type="auto"/>
            <w:vAlign w:val="center"/>
          </w:tcPr>
          <w:p w:rsidR="000E67FD" w:rsidRDefault="001C5E47">
            <w:pPr>
              <w:jc w:val="center"/>
            </w:pPr>
            <w:r>
              <w:rPr>
                <w:rFonts w:asciiTheme="minorEastAsia" w:eastAsiaTheme="minorEastAsia" w:hAnsiTheme="minorEastAsia"/>
                <w:color w:val="000000" w:themeColor="text1"/>
                <w:sz w:val="24"/>
              </w:rPr>
              <w:t>10</w:t>
            </w:r>
          </w:p>
        </w:tc>
        <w:tc>
          <w:tcPr>
            <w:tcW w:w="0" w:type="auto"/>
            <w:vAlign w:val="center"/>
          </w:tcPr>
          <w:p w:rsidR="000E67FD" w:rsidRDefault="001C5E47">
            <w:pPr>
              <w:jc w:val="center"/>
            </w:pPr>
            <w:r>
              <w:rPr>
                <w:rFonts w:asciiTheme="minorEastAsia" w:eastAsiaTheme="minorEastAsia" w:hAnsiTheme="minorEastAsia"/>
                <w:color w:val="000000" w:themeColor="text1"/>
                <w:sz w:val="24"/>
              </w:rPr>
              <w:t>Ventas Inc</w:t>
            </w:r>
          </w:p>
        </w:tc>
        <w:tc>
          <w:tcPr>
            <w:tcW w:w="0" w:type="auto"/>
            <w:vAlign w:val="center"/>
          </w:tcPr>
          <w:p w:rsidR="000E67FD" w:rsidRDefault="001C5E47">
            <w:pPr>
              <w:jc w:val="center"/>
            </w:pPr>
            <w:r>
              <w:rPr>
                <w:rFonts w:asciiTheme="minorEastAsia" w:eastAsiaTheme="minorEastAsia" w:hAnsiTheme="minorEastAsia"/>
                <w:color w:val="000000" w:themeColor="text1"/>
                <w:sz w:val="24"/>
              </w:rPr>
              <w:t>芬塔公司</w:t>
            </w:r>
          </w:p>
        </w:tc>
        <w:tc>
          <w:tcPr>
            <w:tcW w:w="0" w:type="auto"/>
            <w:vAlign w:val="center"/>
          </w:tcPr>
          <w:p w:rsidR="000E67FD" w:rsidRDefault="001C5E47">
            <w:pPr>
              <w:jc w:val="center"/>
            </w:pPr>
            <w:r>
              <w:rPr>
                <w:rFonts w:asciiTheme="minorEastAsia" w:eastAsiaTheme="minorEastAsia" w:hAnsiTheme="minorEastAsia"/>
                <w:color w:val="000000" w:themeColor="text1"/>
                <w:sz w:val="24"/>
              </w:rPr>
              <w:t>VTR</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纽约证券交易所</w:t>
            </w:r>
          </w:p>
        </w:tc>
        <w:tc>
          <w:tcPr>
            <w:tcW w:w="0" w:type="auto"/>
            <w:vAlign w:val="center"/>
          </w:tcPr>
          <w:p w:rsidR="000E67FD" w:rsidRDefault="001C5E47">
            <w:pPr>
              <w:jc w:val="center"/>
            </w:pPr>
            <w:r>
              <w:rPr>
                <w:rFonts w:asciiTheme="minorEastAsia" w:eastAsiaTheme="minorEastAsia" w:hAnsiTheme="minorEastAsia"/>
                <w:color w:val="000000" w:themeColor="text1"/>
                <w:sz w:val="24"/>
              </w:rPr>
              <w:t>美国</w:t>
            </w:r>
          </w:p>
        </w:tc>
        <w:tc>
          <w:tcPr>
            <w:tcW w:w="0" w:type="auto"/>
            <w:vAlign w:val="center"/>
          </w:tcPr>
          <w:p w:rsidR="000E67FD" w:rsidRDefault="001C5E47">
            <w:pPr>
              <w:jc w:val="right"/>
            </w:pPr>
            <w:r>
              <w:rPr>
                <w:rFonts w:asciiTheme="minorEastAsia" w:eastAsiaTheme="minorEastAsia" w:hAnsiTheme="minorEastAsia"/>
                <w:color w:val="000000" w:themeColor="text1"/>
                <w:sz w:val="24"/>
              </w:rPr>
              <w:t>18,049.00</w:t>
            </w:r>
          </w:p>
        </w:tc>
        <w:tc>
          <w:tcPr>
            <w:tcW w:w="0" w:type="auto"/>
            <w:vAlign w:val="center"/>
          </w:tcPr>
          <w:p w:rsidR="000E67FD" w:rsidRDefault="001C5E47">
            <w:pPr>
              <w:jc w:val="right"/>
            </w:pPr>
            <w:r>
              <w:rPr>
                <w:rFonts w:asciiTheme="minorEastAsia" w:eastAsiaTheme="minorEastAsia" w:hAnsiTheme="minorEastAsia"/>
                <w:color w:val="000000" w:themeColor="text1"/>
                <w:sz w:val="24"/>
              </w:rPr>
              <w:t>7,270,241.67</w:t>
            </w:r>
          </w:p>
        </w:tc>
        <w:tc>
          <w:tcPr>
            <w:tcW w:w="0" w:type="auto"/>
            <w:vAlign w:val="center"/>
          </w:tcPr>
          <w:p w:rsidR="000E67FD" w:rsidRDefault="001C5E47">
            <w:pPr>
              <w:jc w:val="right"/>
            </w:pPr>
            <w:r>
              <w:rPr>
                <w:rFonts w:asciiTheme="minorEastAsia" w:eastAsiaTheme="minorEastAsia" w:hAnsiTheme="minorEastAsia"/>
                <w:color w:val="000000" w:themeColor="text1"/>
                <w:sz w:val="24"/>
              </w:rPr>
              <w:t>2.54</w:t>
            </w:r>
          </w:p>
        </w:tc>
      </w:tr>
    </w:tbl>
    <w:p w:rsidR="0076518F" w:rsidRPr="00EF0A05" w:rsidRDefault="00890172"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hint="eastAsia"/>
            <w:b/>
            <w:color w:val="000000" w:themeColor="text1"/>
            <w:kern w:val="0"/>
            <w:sz w:val="24"/>
          </w:rPr>
          <w:t>5.4.</w:t>
        </w:r>
        <w:r w:rsidR="001D79D5" w:rsidRPr="00EF0A05">
          <w:rPr>
            <w:rFonts w:asciiTheme="minorEastAsia" w:eastAsiaTheme="minorEastAsia" w:hAnsiTheme="minorEastAsia" w:cs="Arial" w:hint="eastAsia"/>
            <w:b/>
            <w:color w:val="000000" w:themeColor="text1"/>
            <w:kern w:val="0"/>
            <w:sz w:val="24"/>
          </w:rPr>
          <w:t>2</w:t>
        </w:r>
      </w:smartTag>
      <w:r w:rsidR="001D79D5" w:rsidRPr="00EF0A05">
        <w:rPr>
          <w:rFonts w:asciiTheme="minorEastAsia" w:eastAsiaTheme="minorEastAsia" w:hAnsiTheme="minorEastAsia" w:cs="Arial" w:hint="eastAsia"/>
          <w:b/>
          <w:color w:val="000000" w:themeColor="text1"/>
          <w:kern w:val="0"/>
          <w:sz w:val="24"/>
        </w:rPr>
        <w:t>期末</w:t>
      </w:r>
      <w:r w:rsidRPr="00EF0A05">
        <w:rPr>
          <w:rFonts w:asciiTheme="minorEastAsia" w:eastAsiaTheme="minorEastAsia" w:hAnsiTheme="minorEastAsia" w:cs="Arial" w:hint="eastAsia"/>
          <w:b/>
          <w:color w:val="000000" w:themeColor="text1"/>
          <w:kern w:val="0"/>
          <w:sz w:val="24"/>
        </w:rPr>
        <w:t>积极投资按公允价值占基金资产净值比例大小排序的前五名</w:t>
      </w:r>
      <w:r w:rsidR="001D79D5" w:rsidRPr="00EF0A05">
        <w:rPr>
          <w:rFonts w:asciiTheme="minorEastAsia" w:eastAsiaTheme="minorEastAsia" w:hAnsiTheme="minorEastAsia" w:cs="Arial" w:hint="eastAsia"/>
          <w:b/>
          <w:color w:val="000000" w:themeColor="text1"/>
          <w:kern w:val="0"/>
          <w:sz w:val="24"/>
        </w:rPr>
        <w:t>股票及存托凭证投资明细</w:t>
      </w:r>
    </w:p>
    <w:p w:rsidR="00FE308B" w:rsidRPr="00EF0A05" w:rsidRDefault="000F5F24" w:rsidP="00FE308B">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本基金本报告期末未持有积极投资股票。</w:t>
      </w: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5.5 </w:t>
      </w:r>
      <w:r w:rsidRPr="00EF0A05">
        <w:rPr>
          <w:rFonts w:asciiTheme="minorEastAsia" w:eastAsiaTheme="minorEastAsia" w:hAnsiTheme="minorEastAsia" w:cs="Arial" w:hint="eastAsia"/>
          <w:b/>
          <w:color w:val="000000" w:themeColor="text1"/>
          <w:kern w:val="0"/>
          <w:sz w:val="24"/>
        </w:rPr>
        <w:t>报告期末按债券信用等级分类的债券投资组合</w:t>
      </w:r>
    </w:p>
    <w:p w:rsidR="0076518F" w:rsidRPr="00EF0A05" w:rsidRDefault="00D40397" w:rsidP="008B6A4A">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本基金本报告期末未持有债券。</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5.6</w:t>
      </w:r>
      <w:r w:rsidRPr="00EF0A05">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76518F" w:rsidRPr="00EF0A05" w:rsidRDefault="00D40397" w:rsidP="008B6A4A">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本基金本报告期末未持有债券。</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5.7</w:t>
      </w:r>
      <w:r w:rsidRPr="00EF0A05">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76518F" w:rsidRPr="00EF0A05" w:rsidRDefault="00D40397"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本基金本报告期末未持有资产支持证券。</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5.8 </w:t>
      </w:r>
      <w:r w:rsidRPr="00EF0A05">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76518F" w:rsidRPr="00EF0A05" w:rsidRDefault="00385AB9" w:rsidP="008B6A4A">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本基金本报告期末未持有金融衍生品。</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29671E">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5.9</w:t>
      </w:r>
      <w:r w:rsidRPr="00EF0A05">
        <w:rPr>
          <w:rFonts w:asciiTheme="minorEastAsia" w:eastAsiaTheme="minorEastAsia" w:hAnsiTheme="minorEastAsia" w:cs="Arial" w:hint="eastAsia"/>
          <w:b/>
          <w:color w:val="000000" w:themeColor="text1"/>
          <w:kern w:val="0"/>
          <w:sz w:val="24"/>
        </w:rPr>
        <w:t>报告期末按公允价值占基金资产净值比例大小排序的</w:t>
      </w:r>
      <w:r w:rsidRPr="00EF0A05">
        <w:rPr>
          <w:rFonts w:asciiTheme="minorEastAsia" w:eastAsiaTheme="minorEastAsia" w:hAnsiTheme="minorEastAsia" w:cs="Arial"/>
          <w:b/>
          <w:color w:val="000000" w:themeColor="text1"/>
          <w:kern w:val="0"/>
          <w:sz w:val="24"/>
        </w:rPr>
        <w:t>前</w:t>
      </w:r>
      <w:r w:rsidRPr="00EF0A05">
        <w:rPr>
          <w:rFonts w:asciiTheme="minorEastAsia" w:eastAsiaTheme="minorEastAsia" w:hAnsiTheme="minorEastAsia" w:cs="Arial" w:hint="eastAsia"/>
          <w:b/>
          <w:color w:val="000000" w:themeColor="text1"/>
          <w:kern w:val="0"/>
          <w:sz w:val="24"/>
        </w:rPr>
        <w:t>十名基金投资明细</w:t>
      </w:r>
    </w:p>
    <w:p w:rsidR="0076518F" w:rsidRPr="00EF0A05" w:rsidRDefault="00385AB9"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本基金本报告期末未持有基金。</w:t>
      </w:r>
    </w:p>
    <w:p w:rsidR="0076518F" w:rsidRPr="00EF0A05"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EF0A05" w:rsidRDefault="0076518F" w:rsidP="00A33DF2">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b/>
          <w:color w:val="000000" w:themeColor="text1"/>
          <w:kern w:val="0"/>
          <w:sz w:val="24"/>
        </w:rPr>
        <w:t xml:space="preserve">5.10 </w:t>
      </w:r>
      <w:r w:rsidRPr="00EF0A05">
        <w:rPr>
          <w:rFonts w:asciiTheme="minorEastAsia" w:eastAsiaTheme="minorEastAsia" w:hAnsiTheme="minorEastAsia" w:cs="Arial" w:hint="eastAsia"/>
          <w:b/>
          <w:color w:val="000000" w:themeColor="text1"/>
          <w:kern w:val="0"/>
          <w:sz w:val="24"/>
        </w:rPr>
        <w:t>投资组合报告附注</w:t>
      </w:r>
    </w:p>
    <w:p w:rsidR="0076518F" w:rsidRPr="00EF0A05" w:rsidRDefault="0076518F" w:rsidP="00A33DF2">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5.10.1</w:t>
      </w:r>
      <w:r w:rsidR="009C4721" w:rsidRPr="00EF0A05">
        <w:rPr>
          <w:rFonts w:asciiTheme="minorEastAsia" w:eastAsiaTheme="minorEastAsia" w:hAnsiTheme="minorEastAsia" w:hint="eastAsia"/>
          <w:color w:val="000000" w:themeColor="text1"/>
          <w:sz w:val="24"/>
        </w:rPr>
        <w:t>报告期内本基金投资的前十名证券的发行主体本期没有出现被监管部门立案调查，或在报告编制日前一年内受到公开谴责、处罚的情形。</w:t>
      </w:r>
    </w:p>
    <w:p w:rsidR="0076518F" w:rsidRPr="00EF0A05" w:rsidRDefault="0076518F" w:rsidP="00A33DF2">
      <w:pPr>
        <w:spacing w:line="360" w:lineRule="auto"/>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lastRenderedPageBreak/>
        <w:t>5.10.2</w:t>
      </w:r>
      <w:r w:rsidR="00385AB9" w:rsidRPr="00EF0A05">
        <w:rPr>
          <w:rFonts w:asciiTheme="minorEastAsia" w:eastAsiaTheme="minorEastAsia" w:hAnsiTheme="minorEastAsia"/>
          <w:color w:val="000000" w:themeColor="text1"/>
          <w:sz w:val="24"/>
        </w:rPr>
        <w:t>报告期内本基金投资的前十名股票中没有在基金合同规定备选股票库之外的股票。</w:t>
      </w:r>
    </w:p>
    <w:p w:rsidR="00DC66A8" w:rsidRPr="00EF0A05" w:rsidRDefault="0076518F" w:rsidP="00A33DF2">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EF0A05">
          <w:rPr>
            <w:rFonts w:asciiTheme="minorEastAsia" w:eastAsiaTheme="minorEastAsia" w:hAnsiTheme="minorEastAsia" w:cs="Arial"/>
            <w:b/>
            <w:color w:val="000000" w:themeColor="text1"/>
            <w:kern w:val="0"/>
            <w:sz w:val="24"/>
          </w:rPr>
          <w:t>5.10.3</w:t>
        </w:r>
      </w:smartTag>
      <w:r w:rsidRPr="00EF0A05">
        <w:rPr>
          <w:rFonts w:asciiTheme="minorEastAsia" w:eastAsiaTheme="minorEastAsia" w:hAnsiTheme="minorEastAsia" w:cs="Arial" w:hint="eastAsia"/>
          <w:b/>
          <w:color w:val="000000" w:themeColor="text1"/>
          <w:kern w:val="0"/>
          <w:sz w:val="24"/>
        </w:rPr>
        <w:t>其他资产构成</w:t>
      </w:r>
    </w:p>
    <w:tbl>
      <w:tblPr>
        <w:tblStyle w:val="afa"/>
        <w:tblW w:w="0" w:type="auto"/>
        <w:tblLayout w:type="fixed"/>
        <w:tblLook w:val="04A0" w:firstRow="1" w:lastRow="0" w:firstColumn="1" w:lastColumn="0" w:noHBand="0" w:noVBand="1"/>
      </w:tblPr>
      <w:tblGrid>
        <w:gridCol w:w="817"/>
        <w:gridCol w:w="2903"/>
        <w:gridCol w:w="4808"/>
      </w:tblGrid>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序号</w:t>
            </w:r>
          </w:p>
        </w:tc>
        <w:tc>
          <w:tcPr>
            <w:tcW w:w="2903" w:type="dxa"/>
            <w:vAlign w:val="center"/>
          </w:tcPr>
          <w:p w:rsidR="000C4E2D" w:rsidRPr="00EF0A05" w:rsidRDefault="000C4E2D" w:rsidP="002705F5">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名称</w:t>
            </w:r>
          </w:p>
        </w:tc>
        <w:tc>
          <w:tcPr>
            <w:tcW w:w="4808" w:type="dxa"/>
            <w:vAlign w:val="center"/>
          </w:tcPr>
          <w:p w:rsidR="000C4E2D" w:rsidRPr="00EF0A05" w:rsidRDefault="000C4E2D" w:rsidP="002705F5">
            <w:pPr>
              <w:autoSpaceDE w:val="0"/>
              <w:autoSpaceDN w:val="0"/>
              <w:adjustRightInd w:val="0"/>
              <w:spacing w:before="29" w:line="360" w:lineRule="auto"/>
              <w:ind w:left="17"/>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金额(元)</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sz w:val="24"/>
              </w:rPr>
              <w:t>1</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存出保证金</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2</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应收证券清算款</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3</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应收股利</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1,151,478.70</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4</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应收利息</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2,373.55</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5</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应收申购款</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1,595,883.10</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6</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其他应收款</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737,236.51</w:t>
            </w:r>
          </w:p>
        </w:tc>
      </w:tr>
      <w:tr w:rsidR="00EF0A05" w:rsidRPr="00EF0A05" w:rsidTr="007B51EE">
        <w:tc>
          <w:tcPr>
            <w:tcW w:w="817" w:type="dxa"/>
            <w:vAlign w:val="center"/>
          </w:tcPr>
          <w:p w:rsidR="001A5DA4" w:rsidRPr="00EF0A05" w:rsidRDefault="001A5DA4" w:rsidP="005845FD">
            <w:pPr>
              <w:jc w:val="cente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7</w:t>
            </w:r>
          </w:p>
        </w:tc>
        <w:tc>
          <w:tcPr>
            <w:tcW w:w="2903" w:type="dxa"/>
            <w:vAlign w:val="center"/>
          </w:tcPr>
          <w:p w:rsidR="001A5DA4" w:rsidRPr="00EF0A05" w:rsidRDefault="001A5DA4" w:rsidP="001A5DA4">
            <w:pPr>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待摊费用</w:t>
            </w:r>
          </w:p>
        </w:tc>
        <w:tc>
          <w:tcPr>
            <w:tcW w:w="4808" w:type="dxa"/>
            <w:vAlign w:val="center"/>
          </w:tcPr>
          <w:p w:rsidR="001A5DA4" w:rsidRPr="00EF0A05" w:rsidRDefault="001A5DA4" w:rsidP="005845FD">
            <w:pPr>
              <w:autoSpaceDE w:val="0"/>
              <w:autoSpaceDN w:val="0"/>
              <w:adjustRightInd w:val="0"/>
              <w:spacing w:before="29" w:line="360" w:lineRule="auto"/>
              <w:ind w:left="15"/>
              <w:jc w:val="righ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8</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其他</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w:t>
            </w:r>
          </w:p>
        </w:tc>
      </w:tr>
      <w:tr w:rsidR="00EF0A05" w:rsidRPr="00EF0A05" w:rsidTr="007B51EE">
        <w:tc>
          <w:tcPr>
            <w:tcW w:w="817" w:type="dxa"/>
            <w:vAlign w:val="center"/>
          </w:tcPr>
          <w:p w:rsidR="000C4E2D" w:rsidRPr="00EF0A05" w:rsidRDefault="000C4E2D" w:rsidP="002705F5">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9</w:t>
            </w:r>
          </w:p>
        </w:tc>
        <w:tc>
          <w:tcPr>
            <w:tcW w:w="2903" w:type="dxa"/>
            <w:vAlign w:val="center"/>
          </w:tcPr>
          <w:p w:rsidR="000C4E2D" w:rsidRPr="00EF0A05" w:rsidRDefault="000C4E2D" w:rsidP="002705F5">
            <w:pPr>
              <w:autoSpaceDE w:val="0"/>
              <w:autoSpaceDN w:val="0"/>
              <w:adjustRightInd w:val="0"/>
              <w:spacing w:before="29" w:line="360" w:lineRule="auto"/>
              <w:ind w:left="15"/>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合计</w:t>
            </w:r>
          </w:p>
        </w:tc>
        <w:tc>
          <w:tcPr>
            <w:tcW w:w="4808" w:type="dxa"/>
            <w:vAlign w:val="center"/>
          </w:tcPr>
          <w:p w:rsidR="000C4E2D" w:rsidRPr="00EF0A05" w:rsidRDefault="000C4E2D" w:rsidP="002705F5">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rPr>
            </w:pPr>
            <w:r w:rsidRPr="00EF0A05">
              <w:rPr>
                <w:rFonts w:asciiTheme="minorEastAsia" w:eastAsiaTheme="minorEastAsia" w:hAnsiTheme="minorEastAsia"/>
                <w:color w:val="000000" w:themeColor="text1"/>
                <w:kern w:val="0"/>
                <w:sz w:val="24"/>
              </w:rPr>
              <w:t>3,486,971.86</w:t>
            </w:r>
          </w:p>
        </w:tc>
      </w:tr>
    </w:tbl>
    <w:p w:rsidR="0076518F" w:rsidRPr="00EF0A05" w:rsidRDefault="0076518F" w:rsidP="00A33DF2">
      <w:pPr>
        <w:autoSpaceDE w:val="0"/>
        <w:autoSpaceDN w:val="0"/>
        <w:adjustRightInd w:val="0"/>
        <w:spacing w:line="360" w:lineRule="auto"/>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b/>
            <w:color w:val="000000" w:themeColor="text1"/>
            <w:kern w:val="0"/>
            <w:sz w:val="24"/>
          </w:rPr>
          <w:t>5.10.4</w:t>
        </w:r>
      </w:smartTag>
      <w:r w:rsidRPr="00EF0A05">
        <w:rPr>
          <w:rFonts w:asciiTheme="minorEastAsia" w:eastAsiaTheme="minorEastAsia" w:hAnsiTheme="minorEastAsia" w:hint="eastAsia"/>
          <w:b/>
          <w:bCs/>
          <w:color w:val="000000" w:themeColor="text1"/>
          <w:sz w:val="24"/>
        </w:rPr>
        <w:t>报告期末持有的处于转股期的可转换债券明细</w:t>
      </w:r>
    </w:p>
    <w:p w:rsidR="0076518F" w:rsidRPr="00EF0A05" w:rsidRDefault="00385AB9"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本基金本报告期末未持有处于转股期的可转换债券。</w:t>
      </w:r>
    </w:p>
    <w:p w:rsidR="00467BA5" w:rsidRPr="00EF0A05" w:rsidRDefault="00467BA5" w:rsidP="00467BA5">
      <w:pPr>
        <w:autoSpaceDE w:val="0"/>
        <w:autoSpaceDN w:val="0"/>
        <w:adjustRightInd w:val="0"/>
        <w:spacing w:line="360" w:lineRule="auto"/>
        <w:rPr>
          <w:rFonts w:asciiTheme="minorEastAsia" w:eastAsiaTheme="minorEastAsia" w:hAnsiTheme="minorEastAsia" w:cs="Arial"/>
          <w:b/>
          <w:color w:val="000000" w:themeColor="text1"/>
          <w:kern w:val="0"/>
          <w:sz w:val="24"/>
        </w:rPr>
      </w:pPr>
      <w:r w:rsidRPr="00EF0A05">
        <w:rPr>
          <w:rFonts w:asciiTheme="minorEastAsia" w:eastAsiaTheme="minorEastAsia" w:hAnsiTheme="minorEastAsia" w:cs="Arial" w:hint="eastAsia"/>
          <w:b/>
          <w:color w:val="000000" w:themeColor="text1"/>
          <w:kern w:val="0"/>
          <w:sz w:val="24"/>
        </w:rPr>
        <w:t>5.10.5报告期末前十名股票中存在流通受限情况的说明</w:t>
      </w:r>
    </w:p>
    <w:p w:rsidR="0076518F" w:rsidRPr="00EF0A05" w:rsidRDefault="001522EE" w:rsidP="00A33DF2">
      <w:pPr>
        <w:autoSpaceDE w:val="0"/>
        <w:autoSpaceDN w:val="0"/>
        <w:adjustRightInd w:val="0"/>
        <w:spacing w:line="360" w:lineRule="auto"/>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b/>
            <w:color w:val="000000" w:themeColor="text1"/>
            <w:kern w:val="0"/>
            <w:sz w:val="24"/>
          </w:rPr>
          <w:t>5.</w:t>
        </w:r>
        <w:r w:rsidRPr="00EF0A05">
          <w:rPr>
            <w:rFonts w:asciiTheme="minorEastAsia" w:eastAsiaTheme="minorEastAsia" w:hAnsiTheme="minorEastAsia" w:cs="Arial" w:hint="eastAsia"/>
            <w:b/>
            <w:color w:val="000000" w:themeColor="text1"/>
            <w:kern w:val="0"/>
            <w:sz w:val="24"/>
          </w:rPr>
          <w:t>10</w:t>
        </w:r>
        <w:r w:rsidRPr="00EF0A05">
          <w:rPr>
            <w:rFonts w:asciiTheme="minorEastAsia" w:eastAsiaTheme="minorEastAsia" w:hAnsiTheme="minorEastAsia" w:cs="Arial"/>
            <w:b/>
            <w:color w:val="000000" w:themeColor="text1"/>
            <w:kern w:val="0"/>
            <w:sz w:val="24"/>
          </w:rPr>
          <w:t>.5</w:t>
        </w:r>
      </w:smartTag>
      <w:r w:rsidRPr="00EF0A05">
        <w:rPr>
          <w:rFonts w:asciiTheme="minorEastAsia" w:eastAsiaTheme="minorEastAsia" w:hAnsiTheme="minorEastAsia" w:cs="Arial"/>
          <w:b/>
          <w:color w:val="000000" w:themeColor="text1"/>
          <w:kern w:val="0"/>
          <w:sz w:val="24"/>
        </w:rPr>
        <w:t>.</w:t>
      </w:r>
      <w:r w:rsidRPr="00EF0A05">
        <w:rPr>
          <w:rFonts w:asciiTheme="minorEastAsia" w:eastAsiaTheme="minorEastAsia" w:hAnsiTheme="minorEastAsia" w:cs="Arial" w:hint="eastAsia"/>
          <w:b/>
          <w:color w:val="000000" w:themeColor="text1"/>
          <w:kern w:val="0"/>
          <w:sz w:val="24"/>
        </w:rPr>
        <w:t>1</w:t>
      </w:r>
      <w:r w:rsidR="0076518F" w:rsidRPr="00EF0A05">
        <w:rPr>
          <w:rFonts w:asciiTheme="minorEastAsia" w:eastAsiaTheme="minorEastAsia" w:hAnsiTheme="minorEastAsia" w:cs="Arial" w:hint="eastAsia"/>
          <w:b/>
          <w:color w:val="000000" w:themeColor="text1"/>
          <w:kern w:val="0"/>
          <w:sz w:val="24"/>
        </w:rPr>
        <w:t xml:space="preserve"> 报告期末</w:t>
      </w:r>
      <w:r w:rsidR="00FD7153" w:rsidRPr="00EF0A05">
        <w:rPr>
          <w:rFonts w:asciiTheme="minorEastAsia" w:eastAsiaTheme="minorEastAsia" w:hAnsiTheme="minorEastAsia" w:cs="Arial" w:hint="eastAsia"/>
          <w:b/>
          <w:color w:val="000000" w:themeColor="text1"/>
          <w:kern w:val="0"/>
          <w:sz w:val="24"/>
        </w:rPr>
        <w:t>指数投资</w:t>
      </w:r>
      <w:r w:rsidR="0076518F" w:rsidRPr="00EF0A05">
        <w:rPr>
          <w:rFonts w:asciiTheme="minorEastAsia" w:eastAsiaTheme="minorEastAsia" w:hAnsiTheme="minorEastAsia" w:cs="Arial" w:hint="eastAsia"/>
          <w:b/>
          <w:color w:val="000000" w:themeColor="text1"/>
          <w:kern w:val="0"/>
          <w:sz w:val="24"/>
        </w:rPr>
        <w:t>前十名股票中存在流通受限情况的说明</w:t>
      </w:r>
    </w:p>
    <w:p w:rsidR="0076518F" w:rsidRPr="00EF0A05" w:rsidRDefault="00385AB9"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本基金本报告期末前十名股票中不存在流通受限情况。</w:t>
      </w:r>
    </w:p>
    <w:p w:rsidR="0025007C" w:rsidRPr="00EF0A05" w:rsidRDefault="0025007C" w:rsidP="00A33DF2">
      <w:pPr>
        <w:autoSpaceDE w:val="0"/>
        <w:autoSpaceDN w:val="0"/>
        <w:adjustRightInd w:val="0"/>
        <w:spacing w:line="360" w:lineRule="auto"/>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EF0A05">
          <w:rPr>
            <w:rFonts w:asciiTheme="minorEastAsia" w:eastAsiaTheme="minorEastAsia" w:hAnsiTheme="minorEastAsia" w:cs="Arial"/>
            <w:b/>
            <w:color w:val="000000" w:themeColor="text1"/>
            <w:kern w:val="0"/>
            <w:sz w:val="24"/>
          </w:rPr>
          <w:t>5.</w:t>
        </w:r>
        <w:r w:rsidRPr="00EF0A05">
          <w:rPr>
            <w:rFonts w:asciiTheme="minorEastAsia" w:eastAsiaTheme="minorEastAsia" w:hAnsiTheme="minorEastAsia" w:cs="Arial" w:hint="eastAsia"/>
            <w:b/>
            <w:color w:val="000000" w:themeColor="text1"/>
            <w:kern w:val="0"/>
            <w:sz w:val="24"/>
          </w:rPr>
          <w:t>10</w:t>
        </w:r>
        <w:r w:rsidRPr="00EF0A05">
          <w:rPr>
            <w:rFonts w:asciiTheme="minorEastAsia" w:eastAsiaTheme="minorEastAsia" w:hAnsiTheme="minorEastAsia" w:cs="Arial"/>
            <w:b/>
            <w:color w:val="000000" w:themeColor="text1"/>
            <w:kern w:val="0"/>
            <w:sz w:val="24"/>
          </w:rPr>
          <w:t>.5</w:t>
        </w:r>
      </w:smartTag>
      <w:r w:rsidRPr="00EF0A05">
        <w:rPr>
          <w:rFonts w:asciiTheme="minorEastAsia" w:eastAsiaTheme="minorEastAsia" w:hAnsiTheme="minorEastAsia" w:cs="Arial"/>
          <w:b/>
          <w:color w:val="000000" w:themeColor="text1"/>
          <w:kern w:val="0"/>
          <w:sz w:val="24"/>
        </w:rPr>
        <w:t>.</w:t>
      </w:r>
      <w:r w:rsidR="001522EE" w:rsidRPr="00EF0A05">
        <w:rPr>
          <w:rFonts w:asciiTheme="minorEastAsia" w:eastAsiaTheme="minorEastAsia" w:hAnsiTheme="minorEastAsia" w:cs="Arial" w:hint="eastAsia"/>
          <w:b/>
          <w:color w:val="000000" w:themeColor="text1"/>
          <w:kern w:val="0"/>
          <w:sz w:val="24"/>
        </w:rPr>
        <w:t>2</w:t>
      </w:r>
      <w:r w:rsidRPr="00EF0A05">
        <w:rPr>
          <w:rFonts w:asciiTheme="minorEastAsia" w:eastAsiaTheme="minorEastAsia" w:hAnsiTheme="minorEastAsia" w:cs="Arial" w:hint="eastAsia"/>
          <w:b/>
          <w:color w:val="000000" w:themeColor="text1"/>
          <w:kern w:val="0"/>
          <w:sz w:val="24"/>
        </w:rPr>
        <w:t>报告</w:t>
      </w:r>
      <w:r w:rsidRPr="00EF0A05">
        <w:rPr>
          <w:rFonts w:asciiTheme="minorEastAsia" w:eastAsiaTheme="minorEastAsia" w:hAnsiTheme="minorEastAsia" w:cs="Arial"/>
          <w:b/>
          <w:color w:val="000000" w:themeColor="text1"/>
          <w:kern w:val="0"/>
          <w:sz w:val="24"/>
        </w:rPr>
        <w:t>期末</w:t>
      </w:r>
      <w:r w:rsidRPr="00EF0A05">
        <w:rPr>
          <w:rFonts w:asciiTheme="minorEastAsia" w:eastAsiaTheme="minorEastAsia" w:hAnsiTheme="minorEastAsia" w:cs="Arial" w:hint="eastAsia"/>
          <w:b/>
          <w:color w:val="000000" w:themeColor="text1"/>
          <w:kern w:val="0"/>
          <w:sz w:val="24"/>
        </w:rPr>
        <w:t>积极投资</w:t>
      </w:r>
      <w:r w:rsidRPr="00EF0A05">
        <w:rPr>
          <w:rFonts w:asciiTheme="minorEastAsia" w:eastAsiaTheme="minorEastAsia" w:hAnsiTheme="minorEastAsia" w:cs="Arial"/>
          <w:b/>
          <w:color w:val="000000" w:themeColor="text1"/>
          <w:kern w:val="0"/>
          <w:sz w:val="24"/>
        </w:rPr>
        <w:t>前五名股票中存在流通受限情况的说明</w:t>
      </w:r>
    </w:p>
    <w:p w:rsidR="0025007C" w:rsidRPr="00EF0A05" w:rsidRDefault="00385AB9" w:rsidP="00D04C0E">
      <w:pPr>
        <w:autoSpaceDE w:val="0"/>
        <w:autoSpaceDN w:val="0"/>
        <w:adjustRightInd w:val="0"/>
        <w:spacing w:line="360" w:lineRule="auto"/>
        <w:jc w:val="left"/>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本基金本报告期末前五名积极投资中不存在流通受限情况。</w:t>
      </w:r>
    </w:p>
    <w:p w:rsidR="00120B9A" w:rsidRPr="00EF0A05" w:rsidRDefault="00120B9A" w:rsidP="0025007C">
      <w:pPr>
        <w:spacing w:before="29" w:line="360" w:lineRule="auto"/>
        <w:rPr>
          <w:rFonts w:asciiTheme="minorEastAsia" w:eastAsiaTheme="minorEastAsia" w:hAnsiTheme="minorEastAsia"/>
          <w:bCs/>
          <w:color w:val="000000" w:themeColor="text1"/>
          <w:sz w:val="24"/>
        </w:rPr>
      </w:pPr>
    </w:p>
    <w:p w:rsidR="0076518F" w:rsidRPr="00EF0A05" w:rsidRDefault="0076518F" w:rsidP="00A33DF2">
      <w:pPr>
        <w:autoSpaceDE w:val="0"/>
        <w:autoSpaceDN w:val="0"/>
        <w:adjustRightInd w:val="0"/>
        <w:spacing w:line="360" w:lineRule="auto"/>
        <w:rPr>
          <w:rFonts w:asciiTheme="minorEastAsia" w:eastAsiaTheme="minorEastAsia" w:hAnsiTheme="minorEastAsia" w:cs="Arial"/>
          <w:b/>
          <w:color w:val="000000" w:themeColor="text1"/>
          <w:kern w:val="0"/>
          <w:sz w:val="24"/>
        </w:rPr>
      </w:pPr>
      <w:smartTag w:uri="urn:schemas-microsoft-com:office:smarttags" w:element="chsdate">
        <w:smartTagPr>
          <w:attr w:name="Year" w:val="1899"/>
          <w:attr w:name="Month" w:val="12"/>
          <w:attr w:name="Day" w:val="30"/>
          <w:attr w:name="IsLunarDate" w:val="False"/>
          <w:attr w:name="IsROCDate" w:val="False"/>
        </w:smartTagPr>
        <w:r w:rsidRPr="00EF0A05">
          <w:rPr>
            <w:rFonts w:asciiTheme="minorEastAsia" w:eastAsiaTheme="minorEastAsia" w:hAnsiTheme="minorEastAsia" w:cs="Arial"/>
            <w:b/>
            <w:color w:val="000000" w:themeColor="text1"/>
            <w:kern w:val="0"/>
            <w:sz w:val="24"/>
          </w:rPr>
          <w:t>5.10.6</w:t>
        </w:r>
        <w:r w:rsidR="00AF41C5" w:rsidRPr="00EF0A05">
          <w:rPr>
            <w:rFonts w:asciiTheme="minorEastAsia" w:eastAsiaTheme="minorEastAsia" w:hAnsiTheme="minorEastAsia" w:hint="eastAsia"/>
            <w:b/>
            <w:bCs/>
            <w:color w:val="000000" w:themeColor="text1"/>
            <w:kern w:val="0"/>
            <w:sz w:val="24"/>
          </w:rPr>
          <w:t>投资组合报告附注的其他文字描述部分</w:t>
        </w:r>
      </w:smartTag>
    </w:p>
    <w:p w:rsidR="0076518F" w:rsidRPr="00EF0A05" w:rsidRDefault="00385AB9" w:rsidP="005C07DC">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color w:val="000000" w:themeColor="text1"/>
          <w:sz w:val="24"/>
        </w:rPr>
        <w:t>因四舍五入原因,投资组合报告中分项之和与合计可能存在尾差。</w:t>
      </w:r>
    </w:p>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t>§</w:t>
      </w:r>
      <w:r w:rsidR="00B52166" w:rsidRPr="00EF0A05">
        <w:rPr>
          <w:rFonts w:asciiTheme="minorEastAsia" w:eastAsiaTheme="minorEastAsia" w:hAnsiTheme="minorEastAsia" w:cs="Arial" w:hint="eastAsia"/>
          <w:color w:val="000000" w:themeColor="text1"/>
          <w:kern w:val="0"/>
          <w:sz w:val="24"/>
          <w:szCs w:val="24"/>
        </w:rPr>
        <w:t>6</w:t>
      </w:r>
      <w:r w:rsidRPr="00EF0A05">
        <w:rPr>
          <w:rFonts w:asciiTheme="minorEastAsia" w:eastAsiaTheme="minorEastAsia" w:hAnsiTheme="minorEastAsia" w:cs="Arial"/>
          <w:color w:val="000000" w:themeColor="text1"/>
          <w:kern w:val="0"/>
          <w:sz w:val="24"/>
          <w:szCs w:val="24"/>
        </w:rPr>
        <w:t xml:space="preserve">  </w:t>
      </w:r>
      <w:r w:rsidRPr="00EF0A05">
        <w:rPr>
          <w:rFonts w:asciiTheme="minorEastAsia" w:eastAsiaTheme="minorEastAsia" w:hAnsiTheme="minorEastAsia" w:cs="Arial" w:hint="eastAsia"/>
          <w:color w:val="000000" w:themeColor="text1"/>
          <w:kern w:val="0"/>
          <w:sz w:val="24"/>
          <w:szCs w:val="24"/>
        </w:rPr>
        <w:t>开放式基金份额变动</w:t>
      </w:r>
    </w:p>
    <w:p w:rsidR="0076518F" w:rsidRPr="00EF0A05"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EF0A05">
        <w:rPr>
          <w:rFonts w:asciiTheme="minorEastAsia" w:eastAsiaTheme="minorEastAsia" w:hAnsiTheme="minorEastAsia" w:cs="Arial" w:hint="eastAsia"/>
          <w:color w:val="000000" w:themeColor="text1"/>
          <w:kern w:val="0"/>
          <w:sz w:val="24"/>
        </w:rPr>
        <w:t>单位：份</w:t>
      </w:r>
    </w:p>
    <w:tbl>
      <w:tblPr>
        <w:tblW w:w="0" w:type="auto"/>
        <w:tblInd w:w="-106" w:type="dxa"/>
        <w:tblLayout w:type="fixed"/>
        <w:tblLook w:val="0000" w:firstRow="0" w:lastRow="0" w:firstColumn="0" w:lastColumn="0" w:noHBand="0" w:noVBand="0"/>
      </w:tblPr>
      <w:tblGrid>
        <w:gridCol w:w="4609"/>
        <w:gridCol w:w="4025"/>
      </w:tblGrid>
      <w:tr w:rsidR="00EF0A05" w:rsidRPr="00EF0A05" w:rsidTr="00CA3C4F">
        <w:tc>
          <w:tcPr>
            <w:tcW w:w="4609"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176,824,554.67</w:t>
            </w:r>
          </w:p>
        </w:tc>
      </w:tr>
      <w:tr w:rsidR="00EF0A05" w:rsidRPr="00EF0A05" w:rsidTr="00CA3C4F">
        <w:tc>
          <w:tcPr>
            <w:tcW w:w="4609"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6F39B6" w:rsidP="00CA3C4F">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color w:val="000000" w:themeColor="text1"/>
                <w:kern w:val="0"/>
                <w:sz w:val="24"/>
              </w:rPr>
              <w:t>报告期</w:t>
            </w:r>
            <w:r w:rsidR="00385AB9" w:rsidRPr="00EF0A05">
              <w:rPr>
                <w:rFonts w:asciiTheme="minorEastAsia" w:eastAsiaTheme="minorEastAsia" w:hAnsiTheme="minorEastAsia" w:cs="宋体" w:hint="eastAsia"/>
                <w:color w:val="000000" w:themeColor="text1"/>
                <w:kern w:val="0"/>
                <w:sz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68,634,440.43</w:t>
            </w:r>
          </w:p>
        </w:tc>
      </w:tr>
      <w:tr w:rsidR="00EF0A05" w:rsidRPr="00EF0A05" w:rsidTr="00CA3C4F">
        <w:tc>
          <w:tcPr>
            <w:tcW w:w="4609"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lastRenderedPageBreak/>
              <w:t>减：</w:t>
            </w:r>
            <w:r w:rsidR="006F39B6" w:rsidRPr="00EF0A05">
              <w:rPr>
                <w:rFonts w:asciiTheme="minorEastAsia" w:eastAsiaTheme="minorEastAsia" w:hAnsiTheme="minorEastAsia" w:cs="宋体"/>
                <w:color w:val="000000" w:themeColor="text1"/>
                <w:kern w:val="0"/>
                <w:sz w:val="24"/>
              </w:rPr>
              <w:t>报告期</w:t>
            </w:r>
            <w:r w:rsidRPr="00EF0A05">
              <w:rPr>
                <w:rFonts w:asciiTheme="minorEastAsia" w:eastAsiaTheme="minorEastAsia" w:hAnsiTheme="minorEastAsia" w:cs="宋体" w:hint="eastAsia"/>
                <w:color w:val="000000" w:themeColor="text1"/>
                <w:kern w:val="0"/>
                <w:sz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23,632,807.93</w:t>
            </w:r>
          </w:p>
        </w:tc>
      </w:tr>
      <w:tr w:rsidR="00EF0A05" w:rsidRPr="00EF0A05" w:rsidTr="00CA3C4F">
        <w:tc>
          <w:tcPr>
            <w:tcW w:w="4609"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6F39B6" w:rsidP="00CA3C4F">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color w:val="000000" w:themeColor="text1"/>
                <w:kern w:val="0"/>
                <w:sz w:val="24"/>
              </w:rPr>
              <w:t>报告期</w:t>
            </w:r>
            <w:r w:rsidR="00385AB9" w:rsidRPr="00EF0A05">
              <w:rPr>
                <w:rFonts w:asciiTheme="minorEastAsia" w:eastAsiaTheme="minorEastAsia" w:hAnsiTheme="minorEastAsia" w:cs="宋体" w:hint="eastAsia"/>
                <w:color w:val="000000" w:themeColor="text1"/>
                <w:kern w:val="0"/>
                <w:sz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color w:val="000000" w:themeColor="text1"/>
                <w:sz w:val="24"/>
              </w:rPr>
              <w:t>-</w:t>
            </w:r>
          </w:p>
        </w:tc>
      </w:tr>
      <w:tr w:rsidR="00EF0A05" w:rsidRPr="00EF0A05" w:rsidTr="00CA3C4F">
        <w:tc>
          <w:tcPr>
            <w:tcW w:w="4609"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left"/>
              <w:rPr>
                <w:rFonts w:asciiTheme="minorEastAsia" w:eastAsiaTheme="minorEastAsia" w:hAnsiTheme="minorEastAsia"/>
                <w:color w:val="000000" w:themeColor="text1"/>
                <w:kern w:val="0"/>
                <w:sz w:val="24"/>
              </w:rPr>
            </w:pPr>
            <w:r w:rsidRPr="00EF0A05">
              <w:rPr>
                <w:rFonts w:asciiTheme="minorEastAsia" w:eastAsiaTheme="minorEastAsia" w:hAnsiTheme="minorEastAsia" w:cs="宋体" w:hint="eastAsia"/>
                <w:color w:val="000000" w:themeColor="text1"/>
                <w:kern w:val="0"/>
                <w:sz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385AB9" w:rsidRPr="00EF0A05" w:rsidRDefault="00385AB9" w:rsidP="00CA3C4F">
            <w:pPr>
              <w:autoSpaceDE w:val="0"/>
              <w:autoSpaceDN w:val="0"/>
              <w:adjustRightInd w:val="0"/>
              <w:spacing w:before="29" w:line="360" w:lineRule="auto"/>
              <w:ind w:left="17"/>
              <w:jc w:val="right"/>
              <w:rPr>
                <w:rFonts w:asciiTheme="minorEastAsia" w:eastAsiaTheme="minorEastAsia" w:hAnsiTheme="minorEastAsia" w:cs="宋体"/>
                <w:color w:val="000000" w:themeColor="text1"/>
                <w:sz w:val="24"/>
              </w:rPr>
            </w:pPr>
            <w:r w:rsidRPr="00EF0A05">
              <w:rPr>
                <w:rFonts w:asciiTheme="minorEastAsia" w:eastAsiaTheme="minorEastAsia" w:hAnsiTheme="minorEastAsia" w:cs="宋体" w:hint="eastAsia"/>
                <w:color w:val="000000" w:themeColor="text1"/>
                <w:sz w:val="24"/>
              </w:rPr>
              <w:t>221,826,187.17</w:t>
            </w:r>
          </w:p>
        </w:tc>
      </w:tr>
    </w:tbl>
    <w:p w:rsidR="000741EF" w:rsidRPr="00696B8B" w:rsidRDefault="000741EF" w:rsidP="000E002D">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0741EF" w:rsidRPr="00696B8B" w:rsidRDefault="000741EF" w:rsidP="000741EF">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0741EF" w:rsidRPr="000741EF" w:rsidRDefault="000741EF" w:rsidP="000741EF">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r w:rsidRPr="000741EF">
        <w:rPr>
          <w:rFonts w:asciiTheme="minorEastAsia" w:eastAsiaTheme="minorEastAsia" w:hAnsiTheme="minorEastAsia" w:cs="宋体"/>
          <w:color w:val="000000" w:themeColor="text1"/>
          <w:kern w:val="0"/>
          <w:sz w:val="24"/>
        </w:rPr>
        <w:t>无。</w:t>
      </w:r>
    </w:p>
    <w:p w:rsidR="000741EF" w:rsidRPr="00696B8B" w:rsidRDefault="000741EF" w:rsidP="000741EF">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76518F" w:rsidRPr="00EF0A05" w:rsidRDefault="0076518F" w:rsidP="000E002D">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EF0A05">
        <w:rPr>
          <w:rFonts w:asciiTheme="minorEastAsia" w:eastAsiaTheme="minorEastAsia" w:hAnsiTheme="minorEastAsia" w:cs="Arial" w:hint="eastAsia"/>
          <w:color w:val="000000" w:themeColor="text1"/>
          <w:kern w:val="0"/>
          <w:sz w:val="24"/>
          <w:szCs w:val="24"/>
        </w:rPr>
        <w:t>§</w:t>
      </w:r>
      <w:r w:rsidR="005A7449" w:rsidRPr="00EF0A05">
        <w:rPr>
          <w:rFonts w:asciiTheme="minorEastAsia" w:eastAsiaTheme="minorEastAsia" w:hAnsiTheme="minorEastAsia" w:cs="Arial" w:hint="eastAsia"/>
          <w:color w:val="000000" w:themeColor="text1"/>
          <w:kern w:val="0"/>
          <w:sz w:val="24"/>
          <w:szCs w:val="24"/>
        </w:rPr>
        <w:t>8</w:t>
      </w:r>
      <w:r w:rsidR="00B82D3B">
        <w:rPr>
          <w:rFonts w:asciiTheme="minorEastAsia" w:eastAsiaTheme="minorEastAsia" w:hAnsiTheme="minorEastAsia" w:cs="Arial"/>
          <w:color w:val="000000" w:themeColor="text1"/>
          <w:kern w:val="0"/>
          <w:sz w:val="24"/>
          <w:szCs w:val="24"/>
        </w:rPr>
        <w:t xml:space="preserve">  </w:t>
      </w:r>
      <w:r w:rsidRPr="00EF0A05">
        <w:rPr>
          <w:rFonts w:asciiTheme="minorEastAsia" w:eastAsiaTheme="minorEastAsia" w:hAnsiTheme="minorEastAsia" w:cs="Arial"/>
          <w:color w:val="000000" w:themeColor="text1"/>
          <w:kern w:val="0"/>
          <w:sz w:val="24"/>
          <w:szCs w:val="24"/>
        </w:rPr>
        <w:t>备查文件目录</w:t>
      </w:r>
    </w:p>
    <w:p w:rsidR="0076518F" w:rsidRPr="00EF0A05" w:rsidRDefault="005A7449" w:rsidP="00CF2C2A">
      <w:pPr>
        <w:spacing w:line="360" w:lineRule="auto"/>
        <w:rPr>
          <w:rFonts w:asciiTheme="minorEastAsia" w:eastAsiaTheme="minorEastAsia" w:hAnsiTheme="minorEastAsia"/>
          <w:b/>
          <w:color w:val="000000" w:themeColor="text1"/>
          <w:sz w:val="24"/>
        </w:rPr>
      </w:pPr>
      <w:r w:rsidRPr="00EF0A05">
        <w:rPr>
          <w:rFonts w:asciiTheme="minorEastAsia" w:eastAsiaTheme="minorEastAsia" w:hAnsiTheme="minorEastAsia" w:hint="eastAsia"/>
          <w:b/>
          <w:color w:val="000000" w:themeColor="text1"/>
          <w:sz w:val="24"/>
        </w:rPr>
        <w:t>8</w:t>
      </w:r>
      <w:r w:rsidR="0076518F" w:rsidRPr="00EF0A05">
        <w:rPr>
          <w:rFonts w:asciiTheme="minorEastAsia" w:eastAsiaTheme="minorEastAsia" w:hAnsiTheme="minorEastAsia" w:hint="eastAsia"/>
          <w:b/>
          <w:color w:val="000000" w:themeColor="text1"/>
          <w:sz w:val="24"/>
        </w:rPr>
        <w:t>.</w:t>
      </w:r>
      <w:r w:rsidR="00057A02" w:rsidRPr="00EF0A05">
        <w:rPr>
          <w:rFonts w:asciiTheme="minorEastAsia" w:eastAsiaTheme="minorEastAsia" w:hAnsiTheme="minorEastAsia" w:hint="eastAsia"/>
          <w:b/>
          <w:color w:val="000000" w:themeColor="text1"/>
          <w:sz w:val="24"/>
        </w:rPr>
        <w:t>1</w:t>
      </w:r>
      <w:r w:rsidR="0076518F" w:rsidRPr="00EF0A05">
        <w:rPr>
          <w:rFonts w:asciiTheme="minorEastAsia" w:eastAsiaTheme="minorEastAsia" w:hAnsiTheme="minorEastAsia" w:hint="eastAsia"/>
          <w:b/>
          <w:color w:val="000000" w:themeColor="text1"/>
          <w:sz w:val="24"/>
        </w:rPr>
        <w:t xml:space="preserve"> 备查文件目录</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1. </w:t>
      </w:r>
      <w:r>
        <w:rPr>
          <w:rFonts w:asciiTheme="minorEastAsia" w:eastAsiaTheme="minorEastAsia" w:hAnsiTheme="minorEastAsia" w:hint="eastAsia"/>
          <w:color w:val="000000" w:themeColor="text1"/>
          <w:sz w:val="24"/>
        </w:rPr>
        <w:t>中国证监会批准上投摩根富时发达市场</w:t>
      </w:r>
      <w:r>
        <w:rPr>
          <w:rFonts w:asciiTheme="minorEastAsia" w:eastAsiaTheme="minorEastAsia" w:hAnsiTheme="minorEastAsia" w:hint="eastAsia"/>
          <w:color w:val="000000" w:themeColor="text1"/>
          <w:sz w:val="24"/>
        </w:rPr>
        <w:t>REITs</w:t>
      </w:r>
      <w:r>
        <w:rPr>
          <w:rFonts w:asciiTheme="minorEastAsia" w:eastAsiaTheme="minorEastAsia" w:hAnsiTheme="minorEastAsia" w:hint="eastAsia"/>
          <w:color w:val="000000" w:themeColor="text1"/>
          <w:sz w:val="24"/>
        </w:rPr>
        <w:t>指数型证券投资基金（</w:t>
      </w:r>
      <w:r>
        <w:rPr>
          <w:rFonts w:asciiTheme="minorEastAsia" w:eastAsiaTheme="minorEastAsia" w:hAnsiTheme="minorEastAsia" w:hint="eastAsia"/>
          <w:color w:val="000000" w:themeColor="text1"/>
          <w:sz w:val="24"/>
        </w:rPr>
        <w:t>QDII</w:t>
      </w:r>
      <w:r>
        <w:rPr>
          <w:rFonts w:asciiTheme="minorEastAsia" w:eastAsiaTheme="minorEastAsia" w:hAnsiTheme="minorEastAsia" w:hint="eastAsia"/>
          <w:color w:val="000000" w:themeColor="text1"/>
          <w:sz w:val="24"/>
        </w:rPr>
        <w:t>）设立的文件；</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2. </w:t>
      </w:r>
      <w:r>
        <w:rPr>
          <w:rFonts w:asciiTheme="minorEastAsia" w:eastAsiaTheme="minorEastAsia" w:hAnsiTheme="minorEastAsia" w:hint="eastAsia"/>
          <w:color w:val="000000" w:themeColor="text1"/>
          <w:sz w:val="24"/>
        </w:rPr>
        <w:t>《上投摩根富时发达市场</w:t>
      </w:r>
      <w:r>
        <w:rPr>
          <w:rFonts w:asciiTheme="minorEastAsia" w:eastAsiaTheme="minorEastAsia" w:hAnsiTheme="minorEastAsia" w:hint="eastAsia"/>
          <w:color w:val="000000" w:themeColor="text1"/>
          <w:sz w:val="24"/>
        </w:rPr>
        <w:t>REITs</w:t>
      </w:r>
      <w:r>
        <w:rPr>
          <w:rFonts w:asciiTheme="minorEastAsia" w:eastAsiaTheme="minorEastAsia" w:hAnsiTheme="minorEastAsia" w:hint="eastAsia"/>
          <w:color w:val="000000" w:themeColor="text1"/>
          <w:sz w:val="24"/>
        </w:rPr>
        <w:t>指数型证券投资基金（</w:t>
      </w:r>
      <w:r>
        <w:rPr>
          <w:rFonts w:asciiTheme="minorEastAsia" w:eastAsiaTheme="minorEastAsia" w:hAnsiTheme="minorEastAsia" w:hint="eastAsia"/>
          <w:color w:val="000000" w:themeColor="text1"/>
          <w:sz w:val="24"/>
        </w:rPr>
        <w:t>QDII</w:t>
      </w:r>
      <w:r>
        <w:rPr>
          <w:rFonts w:asciiTheme="minorEastAsia" w:eastAsiaTheme="minorEastAsia" w:hAnsiTheme="minorEastAsia" w:hint="eastAsia"/>
          <w:color w:val="000000" w:themeColor="text1"/>
          <w:sz w:val="24"/>
        </w:rPr>
        <w:t>）基金合同》；</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3. </w:t>
      </w:r>
      <w:r>
        <w:rPr>
          <w:rFonts w:asciiTheme="minorEastAsia" w:eastAsiaTheme="minorEastAsia" w:hAnsiTheme="minorEastAsia" w:hint="eastAsia"/>
          <w:color w:val="000000" w:themeColor="text1"/>
          <w:sz w:val="24"/>
        </w:rPr>
        <w:t>《上投摩根富时发达市场</w:t>
      </w:r>
      <w:r>
        <w:rPr>
          <w:rFonts w:asciiTheme="minorEastAsia" w:eastAsiaTheme="minorEastAsia" w:hAnsiTheme="minorEastAsia" w:hint="eastAsia"/>
          <w:color w:val="000000" w:themeColor="text1"/>
          <w:sz w:val="24"/>
        </w:rPr>
        <w:t>REITs</w:t>
      </w:r>
      <w:r>
        <w:rPr>
          <w:rFonts w:asciiTheme="minorEastAsia" w:eastAsiaTheme="minorEastAsia" w:hAnsiTheme="minorEastAsia" w:hint="eastAsia"/>
          <w:color w:val="000000" w:themeColor="text1"/>
          <w:sz w:val="24"/>
        </w:rPr>
        <w:t>指数型证券投资基金（</w:t>
      </w:r>
      <w:r>
        <w:rPr>
          <w:rFonts w:asciiTheme="minorEastAsia" w:eastAsiaTheme="minorEastAsia" w:hAnsiTheme="minorEastAsia" w:hint="eastAsia"/>
          <w:color w:val="000000" w:themeColor="text1"/>
          <w:sz w:val="24"/>
        </w:rPr>
        <w:t>QDII</w:t>
      </w:r>
      <w:r>
        <w:rPr>
          <w:rFonts w:asciiTheme="minorEastAsia" w:eastAsiaTheme="minorEastAsia" w:hAnsiTheme="minorEastAsia" w:hint="eastAsia"/>
          <w:color w:val="000000" w:themeColor="text1"/>
          <w:sz w:val="24"/>
        </w:rPr>
        <w:t>）托管协议》；</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4. </w:t>
      </w:r>
      <w:r>
        <w:rPr>
          <w:rFonts w:asciiTheme="minorEastAsia" w:eastAsiaTheme="minorEastAsia" w:hAnsiTheme="minorEastAsia" w:hint="eastAsia"/>
          <w:color w:val="000000" w:themeColor="text1"/>
          <w:sz w:val="24"/>
        </w:rPr>
        <w:t>《上投摩根开放式基金业务规则》；</w:t>
      </w:r>
    </w:p>
    <w:p w:rsidR="000E67FD" w:rsidRDefault="001C5E47">
      <w:pPr>
        <w:spacing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5. </w:t>
      </w:r>
      <w:r>
        <w:rPr>
          <w:rFonts w:asciiTheme="minorEastAsia" w:eastAsiaTheme="minorEastAsia" w:hAnsiTheme="minorEastAsia" w:hint="eastAsia"/>
          <w:color w:val="000000" w:themeColor="text1"/>
          <w:sz w:val="24"/>
        </w:rPr>
        <w:t>基金管理人业务资格批件、营业执照；</w:t>
      </w:r>
    </w:p>
    <w:p w:rsidR="0076518F" w:rsidRPr="00EF0A05" w:rsidRDefault="00385AB9" w:rsidP="00CF2C2A">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6. 基金托管人业务资格批件和营业执照。</w:t>
      </w:r>
    </w:p>
    <w:p w:rsidR="0076518F" w:rsidRPr="00EF0A05" w:rsidRDefault="0076518F" w:rsidP="00CF2C2A">
      <w:pPr>
        <w:spacing w:line="360" w:lineRule="auto"/>
        <w:ind w:firstLineChars="200" w:firstLine="480"/>
        <w:rPr>
          <w:rFonts w:asciiTheme="minorEastAsia" w:eastAsiaTheme="minorEastAsia" w:hAnsiTheme="minorEastAsia"/>
          <w:color w:val="000000" w:themeColor="text1"/>
          <w:sz w:val="24"/>
        </w:rPr>
      </w:pPr>
    </w:p>
    <w:p w:rsidR="0076518F" w:rsidRPr="00EF0A05" w:rsidRDefault="005A7449" w:rsidP="00CF2C2A">
      <w:pPr>
        <w:spacing w:line="360" w:lineRule="auto"/>
        <w:rPr>
          <w:rFonts w:asciiTheme="minorEastAsia" w:eastAsiaTheme="minorEastAsia" w:hAnsiTheme="minorEastAsia"/>
          <w:b/>
          <w:color w:val="000000" w:themeColor="text1"/>
          <w:sz w:val="24"/>
        </w:rPr>
      </w:pPr>
      <w:r w:rsidRPr="00EF0A05">
        <w:rPr>
          <w:rFonts w:asciiTheme="minorEastAsia" w:eastAsiaTheme="minorEastAsia" w:hAnsiTheme="minorEastAsia" w:hint="eastAsia"/>
          <w:b/>
          <w:color w:val="000000" w:themeColor="text1"/>
          <w:sz w:val="24"/>
        </w:rPr>
        <w:t>8</w:t>
      </w:r>
      <w:r w:rsidR="0076518F" w:rsidRPr="00EF0A05">
        <w:rPr>
          <w:rFonts w:asciiTheme="minorEastAsia" w:eastAsiaTheme="minorEastAsia" w:hAnsiTheme="minorEastAsia" w:hint="eastAsia"/>
          <w:b/>
          <w:color w:val="000000" w:themeColor="text1"/>
          <w:sz w:val="24"/>
        </w:rPr>
        <w:t>.</w:t>
      </w:r>
      <w:r w:rsidR="00057A02" w:rsidRPr="00EF0A05">
        <w:rPr>
          <w:rFonts w:asciiTheme="minorEastAsia" w:eastAsiaTheme="minorEastAsia" w:hAnsiTheme="minorEastAsia" w:hint="eastAsia"/>
          <w:b/>
          <w:color w:val="000000" w:themeColor="text1"/>
          <w:sz w:val="24"/>
        </w:rPr>
        <w:t>2</w:t>
      </w:r>
      <w:r w:rsidR="0076518F" w:rsidRPr="00EF0A05">
        <w:rPr>
          <w:rFonts w:asciiTheme="minorEastAsia" w:eastAsiaTheme="minorEastAsia" w:hAnsiTheme="minorEastAsia" w:hint="eastAsia"/>
          <w:b/>
          <w:color w:val="000000" w:themeColor="text1"/>
          <w:sz w:val="24"/>
        </w:rPr>
        <w:t xml:space="preserve"> 存放地点</w:t>
      </w:r>
    </w:p>
    <w:p w:rsidR="0076518F" w:rsidRPr="00EF0A05" w:rsidRDefault="00385AB9" w:rsidP="00CF2C2A">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基金管理人或基金托管人住所。</w:t>
      </w:r>
    </w:p>
    <w:p w:rsidR="0076518F" w:rsidRPr="00EF0A05" w:rsidRDefault="0076518F" w:rsidP="00CF2C2A">
      <w:pPr>
        <w:spacing w:line="360" w:lineRule="auto"/>
        <w:ind w:firstLineChars="200" w:firstLine="480"/>
        <w:rPr>
          <w:rFonts w:asciiTheme="minorEastAsia" w:eastAsiaTheme="minorEastAsia" w:hAnsiTheme="minorEastAsia"/>
          <w:color w:val="000000" w:themeColor="text1"/>
          <w:sz w:val="24"/>
        </w:rPr>
      </w:pPr>
    </w:p>
    <w:p w:rsidR="0076518F" w:rsidRPr="00EF0A05" w:rsidRDefault="005A7449" w:rsidP="00CF2C2A">
      <w:pPr>
        <w:spacing w:line="360" w:lineRule="auto"/>
        <w:rPr>
          <w:rFonts w:asciiTheme="minorEastAsia" w:eastAsiaTheme="minorEastAsia" w:hAnsiTheme="minorEastAsia"/>
          <w:b/>
          <w:color w:val="000000" w:themeColor="text1"/>
          <w:sz w:val="24"/>
        </w:rPr>
      </w:pPr>
      <w:r w:rsidRPr="00EF0A05">
        <w:rPr>
          <w:rFonts w:asciiTheme="minorEastAsia" w:eastAsiaTheme="minorEastAsia" w:hAnsiTheme="minorEastAsia" w:hint="eastAsia"/>
          <w:b/>
          <w:color w:val="000000" w:themeColor="text1"/>
          <w:sz w:val="24"/>
        </w:rPr>
        <w:t>8</w:t>
      </w:r>
      <w:r w:rsidR="0076518F" w:rsidRPr="00EF0A05">
        <w:rPr>
          <w:rFonts w:asciiTheme="minorEastAsia" w:eastAsiaTheme="minorEastAsia" w:hAnsiTheme="minorEastAsia" w:hint="eastAsia"/>
          <w:b/>
          <w:color w:val="000000" w:themeColor="text1"/>
          <w:sz w:val="24"/>
        </w:rPr>
        <w:t>.</w:t>
      </w:r>
      <w:r w:rsidR="00057A02" w:rsidRPr="00EF0A05">
        <w:rPr>
          <w:rFonts w:asciiTheme="minorEastAsia" w:eastAsiaTheme="minorEastAsia" w:hAnsiTheme="minorEastAsia" w:hint="eastAsia"/>
          <w:b/>
          <w:color w:val="000000" w:themeColor="text1"/>
          <w:sz w:val="24"/>
        </w:rPr>
        <w:t>3</w:t>
      </w:r>
      <w:r w:rsidR="0076518F" w:rsidRPr="00EF0A05">
        <w:rPr>
          <w:rFonts w:asciiTheme="minorEastAsia" w:eastAsiaTheme="minorEastAsia" w:hAnsiTheme="minorEastAsia" w:hint="eastAsia"/>
          <w:b/>
          <w:color w:val="000000" w:themeColor="text1"/>
          <w:sz w:val="24"/>
        </w:rPr>
        <w:t xml:space="preserve"> 查阅方式</w:t>
      </w:r>
    </w:p>
    <w:p w:rsidR="0076518F" w:rsidRPr="00EF0A05" w:rsidRDefault="00385AB9" w:rsidP="00CF2C2A">
      <w:pPr>
        <w:spacing w:line="360" w:lineRule="auto"/>
        <w:ind w:firstLineChars="200" w:firstLine="480"/>
        <w:rPr>
          <w:rFonts w:asciiTheme="minorEastAsia" w:eastAsiaTheme="minorEastAsia" w:hAnsiTheme="minorEastAsia"/>
          <w:color w:val="000000" w:themeColor="text1"/>
          <w:sz w:val="24"/>
        </w:rPr>
      </w:pPr>
      <w:r w:rsidRPr="00EF0A05">
        <w:rPr>
          <w:rFonts w:asciiTheme="minorEastAsia" w:eastAsiaTheme="minorEastAsia" w:hAnsiTheme="minorEastAsia" w:hint="eastAsia"/>
          <w:color w:val="000000" w:themeColor="text1"/>
          <w:sz w:val="24"/>
        </w:rPr>
        <w:t>投资者可在营业时间免费查阅，也可按工本费购买复印件。</w:t>
      </w:r>
    </w:p>
    <w:p w:rsidR="0076518F" w:rsidRPr="00EF0A05" w:rsidRDefault="0076518F" w:rsidP="008B6A4A">
      <w:pPr>
        <w:spacing w:line="360" w:lineRule="auto"/>
        <w:ind w:firstLineChars="200" w:firstLine="480"/>
        <w:rPr>
          <w:rFonts w:asciiTheme="minorEastAsia" w:eastAsiaTheme="minorEastAsia" w:hAnsiTheme="minorEastAsia"/>
          <w:color w:val="000000" w:themeColor="text1"/>
          <w:sz w:val="24"/>
        </w:rPr>
      </w:pPr>
    </w:p>
    <w:p w:rsidR="0076518F" w:rsidRPr="00EF0A05" w:rsidRDefault="0076518F" w:rsidP="008B6A4A">
      <w:pPr>
        <w:spacing w:line="360" w:lineRule="auto"/>
        <w:ind w:firstLineChars="200" w:firstLine="480"/>
        <w:rPr>
          <w:rFonts w:asciiTheme="minorEastAsia" w:eastAsiaTheme="minorEastAsia" w:hAnsiTheme="minorEastAsia"/>
          <w:color w:val="000000" w:themeColor="text1"/>
          <w:sz w:val="24"/>
        </w:rPr>
      </w:pPr>
    </w:p>
    <w:p w:rsidR="00CF2C2A" w:rsidRPr="00EF0A05" w:rsidRDefault="00CF2C2A" w:rsidP="008B6A4A">
      <w:pPr>
        <w:spacing w:line="360" w:lineRule="auto"/>
        <w:ind w:firstLineChars="200" w:firstLine="480"/>
        <w:rPr>
          <w:rFonts w:asciiTheme="minorEastAsia" w:eastAsiaTheme="minorEastAsia" w:hAnsiTheme="minorEastAsia"/>
          <w:color w:val="000000" w:themeColor="text1"/>
          <w:sz w:val="24"/>
        </w:rPr>
      </w:pPr>
    </w:p>
    <w:p w:rsidR="00CF2C2A" w:rsidRPr="00EF0A05" w:rsidRDefault="00CF2C2A" w:rsidP="008B6A4A">
      <w:pPr>
        <w:spacing w:line="360" w:lineRule="auto"/>
        <w:ind w:firstLineChars="200" w:firstLine="480"/>
        <w:rPr>
          <w:rFonts w:asciiTheme="minorEastAsia" w:eastAsiaTheme="minorEastAsia" w:hAnsiTheme="minorEastAsia"/>
          <w:color w:val="000000" w:themeColor="text1"/>
          <w:sz w:val="24"/>
        </w:rPr>
      </w:pPr>
    </w:p>
    <w:p w:rsidR="00CF2C2A" w:rsidRPr="00EF0A05" w:rsidRDefault="00CF2C2A" w:rsidP="008B6A4A">
      <w:pPr>
        <w:spacing w:line="360" w:lineRule="auto"/>
        <w:ind w:firstLineChars="200" w:firstLine="480"/>
        <w:rPr>
          <w:rFonts w:asciiTheme="minorEastAsia" w:eastAsiaTheme="minorEastAsia" w:hAnsiTheme="minorEastAsia"/>
          <w:color w:val="000000" w:themeColor="text1"/>
          <w:sz w:val="24"/>
        </w:rPr>
      </w:pPr>
    </w:p>
    <w:p w:rsidR="00CF2C2A" w:rsidRPr="00EF0A05" w:rsidRDefault="00CF2C2A" w:rsidP="008B6A4A">
      <w:pPr>
        <w:spacing w:line="360" w:lineRule="auto"/>
        <w:ind w:firstLineChars="200" w:firstLine="480"/>
        <w:rPr>
          <w:rFonts w:asciiTheme="minorEastAsia" w:eastAsiaTheme="minorEastAsia" w:hAnsiTheme="minorEastAsia"/>
          <w:color w:val="000000" w:themeColor="text1"/>
          <w:sz w:val="24"/>
        </w:rPr>
      </w:pPr>
    </w:p>
    <w:p w:rsidR="00CF2C2A" w:rsidRPr="00EF0A05" w:rsidRDefault="00CF2C2A" w:rsidP="00CF2C2A">
      <w:pPr>
        <w:spacing w:line="360" w:lineRule="auto"/>
        <w:ind w:firstLineChars="200" w:firstLine="480"/>
        <w:rPr>
          <w:rFonts w:asciiTheme="minorEastAsia" w:eastAsiaTheme="minorEastAsia" w:hAnsiTheme="minorEastAsia"/>
          <w:color w:val="000000" w:themeColor="text1"/>
          <w:sz w:val="24"/>
        </w:rPr>
      </w:pPr>
    </w:p>
    <w:p w:rsidR="00385AB9" w:rsidRPr="00EF0A05" w:rsidRDefault="00385AB9" w:rsidP="00CF2C2A">
      <w:pPr>
        <w:spacing w:line="360" w:lineRule="auto"/>
        <w:jc w:val="right"/>
        <w:rPr>
          <w:rFonts w:asciiTheme="minorEastAsia" w:eastAsiaTheme="minorEastAsia" w:hAnsiTheme="minorEastAsia"/>
          <w:b/>
          <w:bCs/>
          <w:color w:val="000000" w:themeColor="text1"/>
          <w:sz w:val="24"/>
        </w:rPr>
      </w:pPr>
      <w:r w:rsidRPr="00EF0A05">
        <w:rPr>
          <w:rFonts w:asciiTheme="minorEastAsia" w:eastAsiaTheme="minorEastAsia" w:hAnsiTheme="minorEastAsia"/>
          <w:b/>
          <w:bCs/>
          <w:color w:val="000000" w:themeColor="text1"/>
          <w:sz w:val="24"/>
        </w:rPr>
        <w:t>上投摩根基金管理有限公司</w:t>
      </w:r>
    </w:p>
    <w:p w:rsidR="0076518F" w:rsidRPr="00EF0A05" w:rsidRDefault="00B814D9" w:rsidP="00CF2C2A">
      <w:pPr>
        <w:spacing w:line="360" w:lineRule="auto"/>
        <w:jc w:val="right"/>
        <w:rPr>
          <w:rFonts w:asciiTheme="minorEastAsia" w:eastAsiaTheme="minorEastAsia" w:hAnsiTheme="minorEastAsia"/>
          <w:b/>
          <w:bCs/>
          <w:color w:val="000000" w:themeColor="text1"/>
          <w:sz w:val="24"/>
        </w:rPr>
      </w:pPr>
      <w:r w:rsidRPr="00EF0A05">
        <w:rPr>
          <w:rFonts w:asciiTheme="minorEastAsia" w:eastAsiaTheme="minorEastAsia" w:hAnsiTheme="minorEastAsia"/>
          <w:b/>
          <w:bCs/>
          <w:color w:val="000000" w:themeColor="text1"/>
          <w:sz w:val="24"/>
        </w:rPr>
        <w:t>二〇二〇年一月二十日</w:t>
      </w:r>
    </w:p>
    <w:sectPr w:rsidR="0076518F" w:rsidRPr="00EF0A05"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CB0" w:rsidRDefault="00807CB0">
      <w:r>
        <w:separator/>
      </w:r>
    </w:p>
  </w:endnote>
  <w:endnote w:type="continuationSeparator" w:id="0">
    <w:p w:rsidR="00807CB0" w:rsidRDefault="0080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4F" w:rsidRPr="001D0DB0" w:rsidRDefault="00CA3C4F" w:rsidP="00D6226F">
    <w:pPr>
      <w:pStyle w:val="a7"/>
      <w:jc w:val="center"/>
    </w:pPr>
    <w:r>
      <w:rPr>
        <w:rFonts w:hint="eastAsia"/>
        <w:kern w:val="0"/>
        <w:szCs w:val="21"/>
      </w:rPr>
      <w:t>第</w:t>
    </w:r>
    <w:r w:rsidR="00283B37">
      <w:rPr>
        <w:kern w:val="0"/>
        <w:szCs w:val="21"/>
      </w:rPr>
      <w:fldChar w:fldCharType="begin"/>
    </w:r>
    <w:r>
      <w:rPr>
        <w:kern w:val="0"/>
        <w:szCs w:val="21"/>
      </w:rPr>
      <w:instrText xml:space="preserve"> PAGE </w:instrText>
    </w:r>
    <w:r w:rsidR="00283B37">
      <w:rPr>
        <w:kern w:val="0"/>
        <w:szCs w:val="21"/>
      </w:rPr>
      <w:fldChar w:fldCharType="separate"/>
    </w:r>
    <w:r w:rsidR="001C5E47">
      <w:rPr>
        <w:noProof/>
        <w:kern w:val="0"/>
        <w:szCs w:val="21"/>
      </w:rPr>
      <w:t>1</w:t>
    </w:r>
    <w:r w:rsidR="00283B37">
      <w:rPr>
        <w:kern w:val="0"/>
        <w:szCs w:val="21"/>
      </w:rPr>
      <w:fldChar w:fldCharType="end"/>
    </w:r>
    <w:r>
      <w:rPr>
        <w:rFonts w:hint="eastAsia"/>
        <w:kern w:val="0"/>
        <w:szCs w:val="21"/>
      </w:rPr>
      <w:t>页共</w:t>
    </w:r>
    <w:r w:rsidR="00283B37">
      <w:rPr>
        <w:kern w:val="0"/>
        <w:szCs w:val="21"/>
      </w:rPr>
      <w:fldChar w:fldCharType="begin"/>
    </w:r>
    <w:r>
      <w:rPr>
        <w:kern w:val="0"/>
        <w:szCs w:val="21"/>
      </w:rPr>
      <w:instrText xml:space="preserve"> NUMPAGES </w:instrText>
    </w:r>
    <w:r w:rsidR="00283B37">
      <w:rPr>
        <w:kern w:val="0"/>
        <w:szCs w:val="21"/>
      </w:rPr>
      <w:fldChar w:fldCharType="separate"/>
    </w:r>
    <w:r w:rsidR="001C5E47">
      <w:rPr>
        <w:noProof/>
        <w:kern w:val="0"/>
        <w:szCs w:val="21"/>
      </w:rPr>
      <w:t>15</w:t>
    </w:r>
    <w:r w:rsidR="00283B3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4F" w:rsidRDefault="00283B37">
    <w:pPr>
      <w:pStyle w:val="a7"/>
      <w:framePr w:wrap="around" w:vAnchor="text" w:hAnchor="margin" w:xAlign="center" w:y="1"/>
      <w:rPr>
        <w:rStyle w:val="a8"/>
      </w:rPr>
    </w:pPr>
    <w:r>
      <w:rPr>
        <w:rStyle w:val="a8"/>
      </w:rPr>
      <w:fldChar w:fldCharType="begin"/>
    </w:r>
    <w:r w:rsidR="00CA3C4F">
      <w:rPr>
        <w:rStyle w:val="a8"/>
      </w:rPr>
      <w:instrText xml:space="preserve">PAGE  </w:instrText>
    </w:r>
    <w:r>
      <w:rPr>
        <w:rStyle w:val="a8"/>
      </w:rPr>
      <w:fldChar w:fldCharType="end"/>
    </w:r>
  </w:p>
  <w:p w:rsidR="00CA3C4F" w:rsidRDefault="00CA3C4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4F" w:rsidRDefault="00283B37">
    <w:pPr>
      <w:pStyle w:val="a7"/>
      <w:framePr w:wrap="around" w:vAnchor="text" w:hAnchor="margin" w:xAlign="center" w:y="1"/>
      <w:rPr>
        <w:rStyle w:val="a8"/>
      </w:rPr>
    </w:pPr>
    <w:r>
      <w:rPr>
        <w:rStyle w:val="a8"/>
      </w:rPr>
      <w:fldChar w:fldCharType="begin"/>
    </w:r>
    <w:r w:rsidR="00CA3C4F">
      <w:rPr>
        <w:rStyle w:val="a8"/>
      </w:rPr>
      <w:instrText xml:space="preserve">PAGE  </w:instrText>
    </w:r>
    <w:r>
      <w:rPr>
        <w:rStyle w:val="a8"/>
      </w:rPr>
      <w:fldChar w:fldCharType="separate"/>
    </w:r>
    <w:r w:rsidR="001C5E47">
      <w:rPr>
        <w:rStyle w:val="a8"/>
        <w:noProof/>
      </w:rPr>
      <w:t>2</w:t>
    </w:r>
    <w:r>
      <w:rPr>
        <w:rStyle w:val="a8"/>
      </w:rPr>
      <w:fldChar w:fldCharType="end"/>
    </w:r>
  </w:p>
  <w:p w:rsidR="00CA3C4F" w:rsidRDefault="00CA3C4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4F" w:rsidRDefault="00CA3C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CB0" w:rsidRDefault="00807CB0">
      <w:r>
        <w:separator/>
      </w:r>
    </w:p>
  </w:footnote>
  <w:footnote w:type="continuationSeparator" w:id="0">
    <w:p w:rsidR="00807CB0" w:rsidRDefault="0080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FB" w:rsidRDefault="004E30FB" w:rsidP="004E30FB">
    <w:pPr>
      <w:pStyle w:val="aa"/>
      <w:pBdr>
        <w:bottom w:val="single" w:sz="6" w:space="0" w:color="auto"/>
      </w:pBdr>
      <w:jc w:val="right"/>
    </w:pPr>
    <w:r>
      <w:rPr>
        <w:sz w:val="21"/>
        <w:szCs w:val="21"/>
      </w:rPr>
      <w:t>上投摩根富时发达市场</w:t>
    </w:r>
    <w:r>
      <w:rPr>
        <w:sz w:val="21"/>
        <w:szCs w:val="21"/>
      </w:rPr>
      <w:t>REITs</w:t>
    </w:r>
    <w:r>
      <w:rPr>
        <w:sz w:val="21"/>
        <w:szCs w:val="21"/>
      </w:rPr>
      <w:t>指数型证券投资基金（</w:t>
    </w:r>
    <w:r>
      <w:rPr>
        <w:sz w:val="21"/>
        <w:szCs w:val="21"/>
      </w:rPr>
      <w:t>QDII</w:t>
    </w:r>
    <w:r>
      <w:rPr>
        <w:sz w:val="21"/>
        <w:szCs w:val="21"/>
      </w:rPr>
      <w:t>）</w:t>
    </w:r>
    <w:r>
      <w:rPr>
        <w:sz w:val="21"/>
        <w:szCs w:val="21"/>
      </w:rPr>
      <w:t>2019</w:t>
    </w:r>
    <w:r>
      <w:rPr>
        <w:sz w:val="21"/>
        <w:szCs w:val="21"/>
      </w:rPr>
      <w:t>年第</w:t>
    </w:r>
    <w:r>
      <w:rPr>
        <w:sz w:val="21"/>
        <w:szCs w:val="21"/>
      </w:rPr>
      <w:t>4</w:t>
    </w:r>
    <w:r>
      <w:rPr>
        <w:sz w:val="21"/>
        <w:szCs w:val="21"/>
      </w:rPr>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4F" w:rsidRDefault="00CA3C4F">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4F" w:rsidRDefault="00CA3C4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403B"/>
    <w:rsid w:val="00005911"/>
    <w:rsid w:val="00010A83"/>
    <w:rsid w:val="00010A8E"/>
    <w:rsid w:val="00010AC3"/>
    <w:rsid w:val="00011EB5"/>
    <w:rsid w:val="00015F91"/>
    <w:rsid w:val="00017581"/>
    <w:rsid w:val="00020583"/>
    <w:rsid w:val="00021DD4"/>
    <w:rsid w:val="00023BE7"/>
    <w:rsid w:val="0003337A"/>
    <w:rsid w:val="00037FCF"/>
    <w:rsid w:val="00041AB5"/>
    <w:rsid w:val="000421B8"/>
    <w:rsid w:val="00043ABF"/>
    <w:rsid w:val="000445E4"/>
    <w:rsid w:val="00045AE7"/>
    <w:rsid w:val="000510AB"/>
    <w:rsid w:val="00052312"/>
    <w:rsid w:val="00055AF1"/>
    <w:rsid w:val="00055B0F"/>
    <w:rsid w:val="00057A02"/>
    <w:rsid w:val="00062875"/>
    <w:rsid w:val="00062E6C"/>
    <w:rsid w:val="00063A8D"/>
    <w:rsid w:val="00064AE3"/>
    <w:rsid w:val="00066524"/>
    <w:rsid w:val="00067332"/>
    <w:rsid w:val="00070CD1"/>
    <w:rsid w:val="0007171B"/>
    <w:rsid w:val="000741EF"/>
    <w:rsid w:val="00081D05"/>
    <w:rsid w:val="00087CF7"/>
    <w:rsid w:val="00094876"/>
    <w:rsid w:val="00094F45"/>
    <w:rsid w:val="00095912"/>
    <w:rsid w:val="00095CE0"/>
    <w:rsid w:val="00096933"/>
    <w:rsid w:val="00097230"/>
    <w:rsid w:val="000A457E"/>
    <w:rsid w:val="000A549A"/>
    <w:rsid w:val="000A72F2"/>
    <w:rsid w:val="000B0C56"/>
    <w:rsid w:val="000B22B8"/>
    <w:rsid w:val="000B3274"/>
    <w:rsid w:val="000B3E43"/>
    <w:rsid w:val="000B69EF"/>
    <w:rsid w:val="000C1723"/>
    <w:rsid w:val="000C1B20"/>
    <w:rsid w:val="000C1B73"/>
    <w:rsid w:val="000C21D1"/>
    <w:rsid w:val="000C4107"/>
    <w:rsid w:val="000C4586"/>
    <w:rsid w:val="000C45E7"/>
    <w:rsid w:val="000C4E2D"/>
    <w:rsid w:val="000C5D03"/>
    <w:rsid w:val="000C6C23"/>
    <w:rsid w:val="000D01F4"/>
    <w:rsid w:val="000D0BF3"/>
    <w:rsid w:val="000D121F"/>
    <w:rsid w:val="000D1519"/>
    <w:rsid w:val="000E002D"/>
    <w:rsid w:val="000E237B"/>
    <w:rsid w:val="000E4456"/>
    <w:rsid w:val="000E5D28"/>
    <w:rsid w:val="000E67FD"/>
    <w:rsid w:val="000F175F"/>
    <w:rsid w:val="000F17D1"/>
    <w:rsid w:val="000F268E"/>
    <w:rsid w:val="000F5F24"/>
    <w:rsid w:val="000F60FF"/>
    <w:rsid w:val="000F635F"/>
    <w:rsid w:val="000F6C61"/>
    <w:rsid w:val="000F6EE9"/>
    <w:rsid w:val="00100C12"/>
    <w:rsid w:val="00100C16"/>
    <w:rsid w:val="001045AA"/>
    <w:rsid w:val="001049B6"/>
    <w:rsid w:val="001051C6"/>
    <w:rsid w:val="0010694D"/>
    <w:rsid w:val="0011177A"/>
    <w:rsid w:val="001120D4"/>
    <w:rsid w:val="00112E27"/>
    <w:rsid w:val="00114B31"/>
    <w:rsid w:val="00116E31"/>
    <w:rsid w:val="00120B9A"/>
    <w:rsid w:val="0012150F"/>
    <w:rsid w:val="0012304E"/>
    <w:rsid w:val="00123B10"/>
    <w:rsid w:val="001248EF"/>
    <w:rsid w:val="001257C7"/>
    <w:rsid w:val="001265C5"/>
    <w:rsid w:val="00126DDF"/>
    <w:rsid w:val="001270BF"/>
    <w:rsid w:val="00127BAC"/>
    <w:rsid w:val="00132AAE"/>
    <w:rsid w:val="00140E80"/>
    <w:rsid w:val="00142A56"/>
    <w:rsid w:val="00143B45"/>
    <w:rsid w:val="00144DF5"/>
    <w:rsid w:val="00145630"/>
    <w:rsid w:val="00145A97"/>
    <w:rsid w:val="00146485"/>
    <w:rsid w:val="00150AD6"/>
    <w:rsid w:val="001522EE"/>
    <w:rsid w:val="00154ADA"/>
    <w:rsid w:val="0015531A"/>
    <w:rsid w:val="0016041C"/>
    <w:rsid w:val="00163B27"/>
    <w:rsid w:val="00165317"/>
    <w:rsid w:val="0017043B"/>
    <w:rsid w:val="00171BAD"/>
    <w:rsid w:val="00172B84"/>
    <w:rsid w:val="0017526D"/>
    <w:rsid w:val="001756A1"/>
    <w:rsid w:val="001761EE"/>
    <w:rsid w:val="00176EAA"/>
    <w:rsid w:val="0017725A"/>
    <w:rsid w:val="00177C4B"/>
    <w:rsid w:val="0018154C"/>
    <w:rsid w:val="0018325A"/>
    <w:rsid w:val="00186199"/>
    <w:rsid w:val="001928F7"/>
    <w:rsid w:val="00193ABD"/>
    <w:rsid w:val="00194537"/>
    <w:rsid w:val="00194F40"/>
    <w:rsid w:val="001A149A"/>
    <w:rsid w:val="001A21A9"/>
    <w:rsid w:val="001A59D8"/>
    <w:rsid w:val="001A5DA4"/>
    <w:rsid w:val="001A5FA6"/>
    <w:rsid w:val="001B2F0C"/>
    <w:rsid w:val="001B47FF"/>
    <w:rsid w:val="001B63AB"/>
    <w:rsid w:val="001B7820"/>
    <w:rsid w:val="001B7E94"/>
    <w:rsid w:val="001C37F6"/>
    <w:rsid w:val="001C5E47"/>
    <w:rsid w:val="001C6288"/>
    <w:rsid w:val="001C7614"/>
    <w:rsid w:val="001D0F6A"/>
    <w:rsid w:val="001D161E"/>
    <w:rsid w:val="001D21BC"/>
    <w:rsid w:val="001D2FA5"/>
    <w:rsid w:val="001D35E0"/>
    <w:rsid w:val="001D5045"/>
    <w:rsid w:val="001D5A44"/>
    <w:rsid w:val="001D724B"/>
    <w:rsid w:val="001D7693"/>
    <w:rsid w:val="001D79D5"/>
    <w:rsid w:val="001E04A5"/>
    <w:rsid w:val="001E11D3"/>
    <w:rsid w:val="001E2A6A"/>
    <w:rsid w:val="001E3DC2"/>
    <w:rsid w:val="001E52F8"/>
    <w:rsid w:val="001E56FF"/>
    <w:rsid w:val="001E5C6B"/>
    <w:rsid w:val="001F03E1"/>
    <w:rsid w:val="001F3CC6"/>
    <w:rsid w:val="001F4530"/>
    <w:rsid w:val="002010DE"/>
    <w:rsid w:val="00202968"/>
    <w:rsid w:val="00202C32"/>
    <w:rsid w:val="00203AEF"/>
    <w:rsid w:val="00211A26"/>
    <w:rsid w:val="002125F7"/>
    <w:rsid w:val="00214463"/>
    <w:rsid w:val="00214756"/>
    <w:rsid w:val="00215CF2"/>
    <w:rsid w:val="00221174"/>
    <w:rsid w:val="0022167B"/>
    <w:rsid w:val="002328FE"/>
    <w:rsid w:val="002359EB"/>
    <w:rsid w:val="002363AB"/>
    <w:rsid w:val="0024260D"/>
    <w:rsid w:val="00245012"/>
    <w:rsid w:val="0024504E"/>
    <w:rsid w:val="0024651F"/>
    <w:rsid w:val="0025007C"/>
    <w:rsid w:val="0025158D"/>
    <w:rsid w:val="0025281A"/>
    <w:rsid w:val="00253D3C"/>
    <w:rsid w:val="00254F37"/>
    <w:rsid w:val="00255292"/>
    <w:rsid w:val="00256097"/>
    <w:rsid w:val="00257D2B"/>
    <w:rsid w:val="00260200"/>
    <w:rsid w:val="00263405"/>
    <w:rsid w:val="002648D8"/>
    <w:rsid w:val="00265865"/>
    <w:rsid w:val="00273C7E"/>
    <w:rsid w:val="00273F86"/>
    <w:rsid w:val="0027678D"/>
    <w:rsid w:val="002774F0"/>
    <w:rsid w:val="00283B37"/>
    <w:rsid w:val="0028459B"/>
    <w:rsid w:val="00284C5F"/>
    <w:rsid w:val="002873F0"/>
    <w:rsid w:val="002964F9"/>
    <w:rsid w:val="0029671E"/>
    <w:rsid w:val="00297B13"/>
    <w:rsid w:val="002A1F14"/>
    <w:rsid w:val="002A2678"/>
    <w:rsid w:val="002A2E01"/>
    <w:rsid w:val="002A398F"/>
    <w:rsid w:val="002A530F"/>
    <w:rsid w:val="002A5C6B"/>
    <w:rsid w:val="002A5D31"/>
    <w:rsid w:val="002A714F"/>
    <w:rsid w:val="002B1851"/>
    <w:rsid w:val="002B27FF"/>
    <w:rsid w:val="002B4320"/>
    <w:rsid w:val="002B61C3"/>
    <w:rsid w:val="002B6793"/>
    <w:rsid w:val="002C1726"/>
    <w:rsid w:val="002C21A6"/>
    <w:rsid w:val="002C26D5"/>
    <w:rsid w:val="002C5367"/>
    <w:rsid w:val="002C5777"/>
    <w:rsid w:val="002D31BB"/>
    <w:rsid w:val="002D32E3"/>
    <w:rsid w:val="002E0FEB"/>
    <w:rsid w:val="002E26F5"/>
    <w:rsid w:val="002E5FE7"/>
    <w:rsid w:val="002F0F79"/>
    <w:rsid w:val="002F17D6"/>
    <w:rsid w:val="002F2234"/>
    <w:rsid w:val="002F2713"/>
    <w:rsid w:val="002F280E"/>
    <w:rsid w:val="002F3709"/>
    <w:rsid w:val="002F3A6C"/>
    <w:rsid w:val="002F4296"/>
    <w:rsid w:val="00300951"/>
    <w:rsid w:val="00300E97"/>
    <w:rsid w:val="003019A8"/>
    <w:rsid w:val="00302CA8"/>
    <w:rsid w:val="00302DE9"/>
    <w:rsid w:val="0030439E"/>
    <w:rsid w:val="00305084"/>
    <w:rsid w:val="00311094"/>
    <w:rsid w:val="0031598C"/>
    <w:rsid w:val="003204E9"/>
    <w:rsid w:val="00321E8C"/>
    <w:rsid w:val="00322A86"/>
    <w:rsid w:val="00323AE8"/>
    <w:rsid w:val="00324548"/>
    <w:rsid w:val="0032500D"/>
    <w:rsid w:val="003251F4"/>
    <w:rsid w:val="003303E3"/>
    <w:rsid w:val="003329EA"/>
    <w:rsid w:val="003370F8"/>
    <w:rsid w:val="00340499"/>
    <w:rsid w:val="003407A5"/>
    <w:rsid w:val="00341188"/>
    <w:rsid w:val="0034147B"/>
    <w:rsid w:val="00350238"/>
    <w:rsid w:val="0035109C"/>
    <w:rsid w:val="00351F0A"/>
    <w:rsid w:val="0035432B"/>
    <w:rsid w:val="0035691D"/>
    <w:rsid w:val="00361E7E"/>
    <w:rsid w:val="00367057"/>
    <w:rsid w:val="00370AA4"/>
    <w:rsid w:val="00371FF4"/>
    <w:rsid w:val="003745DA"/>
    <w:rsid w:val="00377520"/>
    <w:rsid w:val="00380D36"/>
    <w:rsid w:val="003812A5"/>
    <w:rsid w:val="003822D3"/>
    <w:rsid w:val="00385AB9"/>
    <w:rsid w:val="00385E16"/>
    <w:rsid w:val="00386630"/>
    <w:rsid w:val="00390B25"/>
    <w:rsid w:val="00397156"/>
    <w:rsid w:val="00397616"/>
    <w:rsid w:val="00397960"/>
    <w:rsid w:val="003A152F"/>
    <w:rsid w:val="003A3BC4"/>
    <w:rsid w:val="003A458A"/>
    <w:rsid w:val="003B2F13"/>
    <w:rsid w:val="003B405E"/>
    <w:rsid w:val="003B57D3"/>
    <w:rsid w:val="003C09A4"/>
    <w:rsid w:val="003C1F58"/>
    <w:rsid w:val="003C49AA"/>
    <w:rsid w:val="003C6DC5"/>
    <w:rsid w:val="003C792F"/>
    <w:rsid w:val="003D124B"/>
    <w:rsid w:val="003D18F3"/>
    <w:rsid w:val="003D2093"/>
    <w:rsid w:val="003D51F6"/>
    <w:rsid w:val="003D78B5"/>
    <w:rsid w:val="003E0588"/>
    <w:rsid w:val="003E244F"/>
    <w:rsid w:val="003E379B"/>
    <w:rsid w:val="003E6203"/>
    <w:rsid w:val="003E62A6"/>
    <w:rsid w:val="003E695F"/>
    <w:rsid w:val="003E6C9B"/>
    <w:rsid w:val="003E709C"/>
    <w:rsid w:val="003E7B89"/>
    <w:rsid w:val="003F0275"/>
    <w:rsid w:val="003F4241"/>
    <w:rsid w:val="003F7C45"/>
    <w:rsid w:val="00400946"/>
    <w:rsid w:val="004009A4"/>
    <w:rsid w:val="0040132C"/>
    <w:rsid w:val="00403886"/>
    <w:rsid w:val="00405085"/>
    <w:rsid w:val="004066FC"/>
    <w:rsid w:val="00407C10"/>
    <w:rsid w:val="004113B4"/>
    <w:rsid w:val="00414827"/>
    <w:rsid w:val="00416C10"/>
    <w:rsid w:val="00424EF3"/>
    <w:rsid w:val="004268BB"/>
    <w:rsid w:val="00431047"/>
    <w:rsid w:val="00431B86"/>
    <w:rsid w:val="004408EC"/>
    <w:rsid w:val="00440DC0"/>
    <w:rsid w:val="00441E6A"/>
    <w:rsid w:val="00443C8F"/>
    <w:rsid w:val="00452481"/>
    <w:rsid w:val="004553AF"/>
    <w:rsid w:val="004567C5"/>
    <w:rsid w:val="00457804"/>
    <w:rsid w:val="00462B61"/>
    <w:rsid w:val="00464283"/>
    <w:rsid w:val="004646BF"/>
    <w:rsid w:val="00464744"/>
    <w:rsid w:val="004665E3"/>
    <w:rsid w:val="004674EB"/>
    <w:rsid w:val="00467BA5"/>
    <w:rsid w:val="004710DD"/>
    <w:rsid w:val="004731F1"/>
    <w:rsid w:val="00477724"/>
    <w:rsid w:val="0047798A"/>
    <w:rsid w:val="00480BC8"/>
    <w:rsid w:val="00481265"/>
    <w:rsid w:val="004814BF"/>
    <w:rsid w:val="00482956"/>
    <w:rsid w:val="0048587E"/>
    <w:rsid w:val="00486D15"/>
    <w:rsid w:val="00487C2B"/>
    <w:rsid w:val="0049297D"/>
    <w:rsid w:val="004929F2"/>
    <w:rsid w:val="00493023"/>
    <w:rsid w:val="00493D46"/>
    <w:rsid w:val="00495A03"/>
    <w:rsid w:val="004968E3"/>
    <w:rsid w:val="00497079"/>
    <w:rsid w:val="004A1BBA"/>
    <w:rsid w:val="004A270C"/>
    <w:rsid w:val="004A3039"/>
    <w:rsid w:val="004A355B"/>
    <w:rsid w:val="004A3625"/>
    <w:rsid w:val="004A3E3C"/>
    <w:rsid w:val="004A791A"/>
    <w:rsid w:val="004B0E6D"/>
    <w:rsid w:val="004B16E8"/>
    <w:rsid w:val="004B6250"/>
    <w:rsid w:val="004B76B1"/>
    <w:rsid w:val="004C0057"/>
    <w:rsid w:val="004C0541"/>
    <w:rsid w:val="004C2C46"/>
    <w:rsid w:val="004C52A1"/>
    <w:rsid w:val="004C7235"/>
    <w:rsid w:val="004C7955"/>
    <w:rsid w:val="004D047F"/>
    <w:rsid w:val="004D3971"/>
    <w:rsid w:val="004D3D96"/>
    <w:rsid w:val="004D486D"/>
    <w:rsid w:val="004D650F"/>
    <w:rsid w:val="004D6D54"/>
    <w:rsid w:val="004E2133"/>
    <w:rsid w:val="004E30FB"/>
    <w:rsid w:val="004E60FB"/>
    <w:rsid w:val="004E7AF6"/>
    <w:rsid w:val="004F4B2A"/>
    <w:rsid w:val="004F779C"/>
    <w:rsid w:val="004F7846"/>
    <w:rsid w:val="005000D4"/>
    <w:rsid w:val="00500A6E"/>
    <w:rsid w:val="00510CAF"/>
    <w:rsid w:val="00511AC1"/>
    <w:rsid w:val="005128C5"/>
    <w:rsid w:val="0051478B"/>
    <w:rsid w:val="0051566A"/>
    <w:rsid w:val="00515D7B"/>
    <w:rsid w:val="005166E9"/>
    <w:rsid w:val="0052009E"/>
    <w:rsid w:val="00525E59"/>
    <w:rsid w:val="005318CC"/>
    <w:rsid w:val="005346F1"/>
    <w:rsid w:val="005349B1"/>
    <w:rsid w:val="005374BC"/>
    <w:rsid w:val="00540D79"/>
    <w:rsid w:val="00543367"/>
    <w:rsid w:val="00543BFA"/>
    <w:rsid w:val="00547D9C"/>
    <w:rsid w:val="00547DA1"/>
    <w:rsid w:val="0055513C"/>
    <w:rsid w:val="00560C94"/>
    <w:rsid w:val="0056291C"/>
    <w:rsid w:val="00564EB5"/>
    <w:rsid w:val="00565A63"/>
    <w:rsid w:val="00566588"/>
    <w:rsid w:val="00567F6D"/>
    <w:rsid w:val="00571CD9"/>
    <w:rsid w:val="0057275D"/>
    <w:rsid w:val="005800A9"/>
    <w:rsid w:val="00580488"/>
    <w:rsid w:val="0058074D"/>
    <w:rsid w:val="00582FAD"/>
    <w:rsid w:val="00583489"/>
    <w:rsid w:val="00590FE4"/>
    <w:rsid w:val="00591D9C"/>
    <w:rsid w:val="00592483"/>
    <w:rsid w:val="00596191"/>
    <w:rsid w:val="00597057"/>
    <w:rsid w:val="00597D8B"/>
    <w:rsid w:val="005A1C30"/>
    <w:rsid w:val="005A2757"/>
    <w:rsid w:val="005A3295"/>
    <w:rsid w:val="005A4302"/>
    <w:rsid w:val="005A46FF"/>
    <w:rsid w:val="005A704A"/>
    <w:rsid w:val="005A7449"/>
    <w:rsid w:val="005B011E"/>
    <w:rsid w:val="005B2E84"/>
    <w:rsid w:val="005B3103"/>
    <w:rsid w:val="005B4D29"/>
    <w:rsid w:val="005B6CA6"/>
    <w:rsid w:val="005B700A"/>
    <w:rsid w:val="005B7B0E"/>
    <w:rsid w:val="005C07DC"/>
    <w:rsid w:val="005C25C8"/>
    <w:rsid w:val="005C5409"/>
    <w:rsid w:val="005C69AC"/>
    <w:rsid w:val="005C722E"/>
    <w:rsid w:val="005D01A4"/>
    <w:rsid w:val="005D29D4"/>
    <w:rsid w:val="005D4452"/>
    <w:rsid w:val="005D45B3"/>
    <w:rsid w:val="005D4CEB"/>
    <w:rsid w:val="005E2501"/>
    <w:rsid w:val="005E5B01"/>
    <w:rsid w:val="005E5CC1"/>
    <w:rsid w:val="005E7793"/>
    <w:rsid w:val="005F04E6"/>
    <w:rsid w:val="005F43B9"/>
    <w:rsid w:val="005F68CB"/>
    <w:rsid w:val="005F7085"/>
    <w:rsid w:val="006033E3"/>
    <w:rsid w:val="00605748"/>
    <w:rsid w:val="00610C82"/>
    <w:rsid w:val="0061321C"/>
    <w:rsid w:val="00615063"/>
    <w:rsid w:val="0061761F"/>
    <w:rsid w:val="0062145B"/>
    <w:rsid w:val="0062386E"/>
    <w:rsid w:val="00623F01"/>
    <w:rsid w:val="006258FD"/>
    <w:rsid w:val="00626E2D"/>
    <w:rsid w:val="00627D94"/>
    <w:rsid w:val="00630B42"/>
    <w:rsid w:val="00631425"/>
    <w:rsid w:val="00642072"/>
    <w:rsid w:val="006440ED"/>
    <w:rsid w:val="00645293"/>
    <w:rsid w:val="00651B78"/>
    <w:rsid w:val="00652263"/>
    <w:rsid w:val="00652881"/>
    <w:rsid w:val="0065588D"/>
    <w:rsid w:val="00655B94"/>
    <w:rsid w:val="006563E4"/>
    <w:rsid w:val="00661974"/>
    <w:rsid w:val="006636D6"/>
    <w:rsid w:val="00664551"/>
    <w:rsid w:val="006676A0"/>
    <w:rsid w:val="00670857"/>
    <w:rsid w:val="00671124"/>
    <w:rsid w:val="006727B0"/>
    <w:rsid w:val="0067307E"/>
    <w:rsid w:val="006746C7"/>
    <w:rsid w:val="006829BB"/>
    <w:rsid w:val="00687AD5"/>
    <w:rsid w:val="00691153"/>
    <w:rsid w:val="006950A3"/>
    <w:rsid w:val="00695251"/>
    <w:rsid w:val="00695ADE"/>
    <w:rsid w:val="00695C0D"/>
    <w:rsid w:val="00696356"/>
    <w:rsid w:val="006A68A4"/>
    <w:rsid w:val="006A72C6"/>
    <w:rsid w:val="006B02DA"/>
    <w:rsid w:val="006B1FD1"/>
    <w:rsid w:val="006B2065"/>
    <w:rsid w:val="006B2F2B"/>
    <w:rsid w:val="006B3940"/>
    <w:rsid w:val="006B699C"/>
    <w:rsid w:val="006C099C"/>
    <w:rsid w:val="006C168D"/>
    <w:rsid w:val="006C1F15"/>
    <w:rsid w:val="006C5E36"/>
    <w:rsid w:val="006C642C"/>
    <w:rsid w:val="006C6FC6"/>
    <w:rsid w:val="006D00D5"/>
    <w:rsid w:val="006D11D3"/>
    <w:rsid w:val="006D1F49"/>
    <w:rsid w:val="006D5BA5"/>
    <w:rsid w:val="006D775F"/>
    <w:rsid w:val="006E34B7"/>
    <w:rsid w:val="006E5BB0"/>
    <w:rsid w:val="006F01CF"/>
    <w:rsid w:val="006F115E"/>
    <w:rsid w:val="006F2AA6"/>
    <w:rsid w:val="006F39B6"/>
    <w:rsid w:val="006F4CD8"/>
    <w:rsid w:val="006F5BE1"/>
    <w:rsid w:val="006F763F"/>
    <w:rsid w:val="00701F44"/>
    <w:rsid w:val="00703E8A"/>
    <w:rsid w:val="00710335"/>
    <w:rsid w:val="00711522"/>
    <w:rsid w:val="007124FE"/>
    <w:rsid w:val="00713186"/>
    <w:rsid w:val="00713757"/>
    <w:rsid w:val="00717772"/>
    <w:rsid w:val="00721231"/>
    <w:rsid w:val="00721AF1"/>
    <w:rsid w:val="0072280F"/>
    <w:rsid w:val="00722B5E"/>
    <w:rsid w:val="0072708F"/>
    <w:rsid w:val="00732D1D"/>
    <w:rsid w:val="0073413C"/>
    <w:rsid w:val="00736034"/>
    <w:rsid w:val="0073681C"/>
    <w:rsid w:val="00741EBE"/>
    <w:rsid w:val="00741F94"/>
    <w:rsid w:val="00746130"/>
    <w:rsid w:val="00746554"/>
    <w:rsid w:val="00746A40"/>
    <w:rsid w:val="00747125"/>
    <w:rsid w:val="00750358"/>
    <w:rsid w:val="007513AC"/>
    <w:rsid w:val="007537F4"/>
    <w:rsid w:val="00755CDF"/>
    <w:rsid w:val="00757A4C"/>
    <w:rsid w:val="00763A8D"/>
    <w:rsid w:val="00764A94"/>
    <w:rsid w:val="0076518F"/>
    <w:rsid w:val="007651E5"/>
    <w:rsid w:val="007670DC"/>
    <w:rsid w:val="0077111A"/>
    <w:rsid w:val="00772721"/>
    <w:rsid w:val="007756ED"/>
    <w:rsid w:val="00780C47"/>
    <w:rsid w:val="00781847"/>
    <w:rsid w:val="00786CFC"/>
    <w:rsid w:val="007870FC"/>
    <w:rsid w:val="00787919"/>
    <w:rsid w:val="00787CD0"/>
    <w:rsid w:val="00791053"/>
    <w:rsid w:val="00791A3A"/>
    <w:rsid w:val="00791BB9"/>
    <w:rsid w:val="00794196"/>
    <w:rsid w:val="00796EC9"/>
    <w:rsid w:val="00797637"/>
    <w:rsid w:val="007A2630"/>
    <w:rsid w:val="007A3680"/>
    <w:rsid w:val="007A59B8"/>
    <w:rsid w:val="007A75F5"/>
    <w:rsid w:val="007B2862"/>
    <w:rsid w:val="007B51EE"/>
    <w:rsid w:val="007B662A"/>
    <w:rsid w:val="007C1771"/>
    <w:rsid w:val="007D0E9D"/>
    <w:rsid w:val="007D28C9"/>
    <w:rsid w:val="007D3CC8"/>
    <w:rsid w:val="007D62F9"/>
    <w:rsid w:val="007D63A4"/>
    <w:rsid w:val="007D6458"/>
    <w:rsid w:val="007E0B0A"/>
    <w:rsid w:val="007E1AA2"/>
    <w:rsid w:val="007E303C"/>
    <w:rsid w:val="007E3CF7"/>
    <w:rsid w:val="007E4C1F"/>
    <w:rsid w:val="007E4DEE"/>
    <w:rsid w:val="007F0759"/>
    <w:rsid w:val="007F25C0"/>
    <w:rsid w:val="007F26D5"/>
    <w:rsid w:val="007F5F52"/>
    <w:rsid w:val="007F77C6"/>
    <w:rsid w:val="008003A1"/>
    <w:rsid w:val="008006B7"/>
    <w:rsid w:val="00800FDB"/>
    <w:rsid w:val="00802081"/>
    <w:rsid w:val="00806461"/>
    <w:rsid w:val="00807CB0"/>
    <w:rsid w:val="0081096D"/>
    <w:rsid w:val="00810EAD"/>
    <w:rsid w:val="00811833"/>
    <w:rsid w:val="00816670"/>
    <w:rsid w:val="008174D4"/>
    <w:rsid w:val="00820253"/>
    <w:rsid w:val="00820FE6"/>
    <w:rsid w:val="00821A66"/>
    <w:rsid w:val="00822476"/>
    <w:rsid w:val="00822882"/>
    <w:rsid w:val="008232BB"/>
    <w:rsid w:val="008257F3"/>
    <w:rsid w:val="00825F68"/>
    <w:rsid w:val="00835408"/>
    <w:rsid w:val="0083666F"/>
    <w:rsid w:val="00837CEF"/>
    <w:rsid w:val="00840035"/>
    <w:rsid w:val="008428A9"/>
    <w:rsid w:val="00844112"/>
    <w:rsid w:val="008456C9"/>
    <w:rsid w:val="0084611D"/>
    <w:rsid w:val="0084669C"/>
    <w:rsid w:val="00847CA0"/>
    <w:rsid w:val="00850C62"/>
    <w:rsid w:val="008573E5"/>
    <w:rsid w:val="00863011"/>
    <w:rsid w:val="00865075"/>
    <w:rsid w:val="0086534A"/>
    <w:rsid w:val="00866B03"/>
    <w:rsid w:val="008673EE"/>
    <w:rsid w:val="0086748F"/>
    <w:rsid w:val="008712A3"/>
    <w:rsid w:val="00872CE4"/>
    <w:rsid w:val="00877B62"/>
    <w:rsid w:val="00881015"/>
    <w:rsid w:val="008810B0"/>
    <w:rsid w:val="008819B6"/>
    <w:rsid w:val="00881AAC"/>
    <w:rsid w:val="008836B7"/>
    <w:rsid w:val="008841D3"/>
    <w:rsid w:val="00887DE6"/>
    <w:rsid w:val="00890172"/>
    <w:rsid w:val="00893048"/>
    <w:rsid w:val="00894C2A"/>
    <w:rsid w:val="00896AAD"/>
    <w:rsid w:val="00897708"/>
    <w:rsid w:val="00897D88"/>
    <w:rsid w:val="008A2F16"/>
    <w:rsid w:val="008A6D69"/>
    <w:rsid w:val="008B1823"/>
    <w:rsid w:val="008B6A4A"/>
    <w:rsid w:val="008B6E16"/>
    <w:rsid w:val="008B7110"/>
    <w:rsid w:val="008C2029"/>
    <w:rsid w:val="008C61D6"/>
    <w:rsid w:val="008C64F1"/>
    <w:rsid w:val="008C6AC9"/>
    <w:rsid w:val="008D1BB0"/>
    <w:rsid w:val="008D20FF"/>
    <w:rsid w:val="008D3D3D"/>
    <w:rsid w:val="008D3DE6"/>
    <w:rsid w:val="008D4223"/>
    <w:rsid w:val="008D44CC"/>
    <w:rsid w:val="008D46E3"/>
    <w:rsid w:val="008D6709"/>
    <w:rsid w:val="008E083A"/>
    <w:rsid w:val="008E2450"/>
    <w:rsid w:val="008E7896"/>
    <w:rsid w:val="008E78A4"/>
    <w:rsid w:val="008F2477"/>
    <w:rsid w:val="008F444A"/>
    <w:rsid w:val="008F4AFC"/>
    <w:rsid w:val="008F65AF"/>
    <w:rsid w:val="008F7815"/>
    <w:rsid w:val="008F7EA4"/>
    <w:rsid w:val="009010F0"/>
    <w:rsid w:val="00901162"/>
    <w:rsid w:val="00901240"/>
    <w:rsid w:val="00901469"/>
    <w:rsid w:val="0090159D"/>
    <w:rsid w:val="0090223A"/>
    <w:rsid w:val="009028E2"/>
    <w:rsid w:val="0090450C"/>
    <w:rsid w:val="009050E8"/>
    <w:rsid w:val="009102E4"/>
    <w:rsid w:val="00914EAB"/>
    <w:rsid w:val="00922D49"/>
    <w:rsid w:val="009239C7"/>
    <w:rsid w:val="0092502E"/>
    <w:rsid w:val="00925E37"/>
    <w:rsid w:val="00925EDD"/>
    <w:rsid w:val="00927D0E"/>
    <w:rsid w:val="009309DA"/>
    <w:rsid w:val="0093260B"/>
    <w:rsid w:val="00936688"/>
    <w:rsid w:val="00937CFA"/>
    <w:rsid w:val="009406B3"/>
    <w:rsid w:val="00943A0D"/>
    <w:rsid w:val="00943C27"/>
    <w:rsid w:val="00945CF5"/>
    <w:rsid w:val="009467E9"/>
    <w:rsid w:val="009500A1"/>
    <w:rsid w:val="0095037E"/>
    <w:rsid w:val="00952AAD"/>
    <w:rsid w:val="00954567"/>
    <w:rsid w:val="00955D4E"/>
    <w:rsid w:val="00957466"/>
    <w:rsid w:val="0096260B"/>
    <w:rsid w:val="00962E87"/>
    <w:rsid w:val="009664D5"/>
    <w:rsid w:val="00966865"/>
    <w:rsid w:val="00967903"/>
    <w:rsid w:val="00970C69"/>
    <w:rsid w:val="00971F1C"/>
    <w:rsid w:val="0097211D"/>
    <w:rsid w:val="00972E10"/>
    <w:rsid w:val="009746CA"/>
    <w:rsid w:val="009760F0"/>
    <w:rsid w:val="00981963"/>
    <w:rsid w:val="00983B7F"/>
    <w:rsid w:val="00983C82"/>
    <w:rsid w:val="00984520"/>
    <w:rsid w:val="0098545C"/>
    <w:rsid w:val="00986D1E"/>
    <w:rsid w:val="00990071"/>
    <w:rsid w:val="00991EA9"/>
    <w:rsid w:val="00992B2A"/>
    <w:rsid w:val="00992BA2"/>
    <w:rsid w:val="00992F83"/>
    <w:rsid w:val="0099508A"/>
    <w:rsid w:val="009974EB"/>
    <w:rsid w:val="009A06E4"/>
    <w:rsid w:val="009A1126"/>
    <w:rsid w:val="009A2020"/>
    <w:rsid w:val="009B1584"/>
    <w:rsid w:val="009B1DFD"/>
    <w:rsid w:val="009B21CA"/>
    <w:rsid w:val="009B2648"/>
    <w:rsid w:val="009C03E5"/>
    <w:rsid w:val="009C3730"/>
    <w:rsid w:val="009C37BD"/>
    <w:rsid w:val="009C3AAC"/>
    <w:rsid w:val="009C4721"/>
    <w:rsid w:val="009C4D19"/>
    <w:rsid w:val="009C5FDB"/>
    <w:rsid w:val="009C693E"/>
    <w:rsid w:val="009C6C40"/>
    <w:rsid w:val="009C70CB"/>
    <w:rsid w:val="009D1EA4"/>
    <w:rsid w:val="009D27AA"/>
    <w:rsid w:val="009D4991"/>
    <w:rsid w:val="009D5544"/>
    <w:rsid w:val="009D5BB5"/>
    <w:rsid w:val="009D696D"/>
    <w:rsid w:val="009D6ED2"/>
    <w:rsid w:val="009D7A3C"/>
    <w:rsid w:val="009E0F1A"/>
    <w:rsid w:val="009E140D"/>
    <w:rsid w:val="009E1E55"/>
    <w:rsid w:val="009E33E6"/>
    <w:rsid w:val="009E4465"/>
    <w:rsid w:val="009E6401"/>
    <w:rsid w:val="009E6C54"/>
    <w:rsid w:val="009F0FCF"/>
    <w:rsid w:val="009F2A25"/>
    <w:rsid w:val="009F43CC"/>
    <w:rsid w:val="009F5235"/>
    <w:rsid w:val="009F531A"/>
    <w:rsid w:val="009F6550"/>
    <w:rsid w:val="009F786E"/>
    <w:rsid w:val="00A00902"/>
    <w:rsid w:val="00A02D83"/>
    <w:rsid w:val="00A039FF"/>
    <w:rsid w:val="00A05ACE"/>
    <w:rsid w:val="00A1385E"/>
    <w:rsid w:val="00A14AE3"/>
    <w:rsid w:val="00A1520A"/>
    <w:rsid w:val="00A16675"/>
    <w:rsid w:val="00A22CD6"/>
    <w:rsid w:val="00A234EC"/>
    <w:rsid w:val="00A2417A"/>
    <w:rsid w:val="00A27804"/>
    <w:rsid w:val="00A30E56"/>
    <w:rsid w:val="00A33DF2"/>
    <w:rsid w:val="00A36AB5"/>
    <w:rsid w:val="00A37123"/>
    <w:rsid w:val="00A37398"/>
    <w:rsid w:val="00A37DDA"/>
    <w:rsid w:val="00A411D1"/>
    <w:rsid w:val="00A43389"/>
    <w:rsid w:val="00A43E71"/>
    <w:rsid w:val="00A45753"/>
    <w:rsid w:val="00A47B15"/>
    <w:rsid w:val="00A52F84"/>
    <w:rsid w:val="00A56AA4"/>
    <w:rsid w:val="00A56B05"/>
    <w:rsid w:val="00A57678"/>
    <w:rsid w:val="00A60E2F"/>
    <w:rsid w:val="00A62536"/>
    <w:rsid w:val="00A63284"/>
    <w:rsid w:val="00A64CB8"/>
    <w:rsid w:val="00A67018"/>
    <w:rsid w:val="00A672F3"/>
    <w:rsid w:val="00A673DC"/>
    <w:rsid w:val="00A7076E"/>
    <w:rsid w:val="00A709BE"/>
    <w:rsid w:val="00A7162E"/>
    <w:rsid w:val="00A726E0"/>
    <w:rsid w:val="00A72D71"/>
    <w:rsid w:val="00A75705"/>
    <w:rsid w:val="00A77C69"/>
    <w:rsid w:val="00A83201"/>
    <w:rsid w:val="00A83953"/>
    <w:rsid w:val="00A840C5"/>
    <w:rsid w:val="00A86B47"/>
    <w:rsid w:val="00A903B6"/>
    <w:rsid w:val="00A90F4F"/>
    <w:rsid w:val="00A947AA"/>
    <w:rsid w:val="00A95C1D"/>
    <w:rsid w:val="00AA1B53"/>
    <w:rsid w:val="00AA3556"/>
    <w:rsid w:val="00AA35FD"/>
    <w:rsid w:val="00AA3DB7"/>
    <w:rsid w:val="00AB0EFF"/>
    <w:rsid w:val="00AB1CE3"/>
    <w:rsid w:val="00AB3012"/>
    <w:rsid w:val="00AB321C"/>
    <w:rsid w:val="00AB42E2"/>
    <w:rsid w:val="00AB688F"/>
    <w:rsid w:val="00AB75EA"/>
    <w:rsid w:val="00AB7AA2"/>
    <w:rsid w:val="00AC4BC1"/>
    <w:rsid w:val="00AC703D"/>
    <w:rsid w:val="00AD04BD"/>
    <w:rsid w:val="00AD708F"/>
    <w:rsid w:val="00AD7214"/>
    <w:rsid w:val="00AD7540"/>
    <w:rsid w:val="00AE1066"/>
    <w:rsid w:val="00AE19D8"/>
    <w:rsid w:val="00AE4518"/>
    <w:rsid w:val="00AE5D7F"/>
    <w:rsid w:val="00AE79F0"/>
    <w:rsid w:val="00AF0C1A"/>
    <w:rsid w:val="00AF41C5"/>
    <w:rsid w:val="00AF6EC1"/>
    <w:rsid w:val="00AF7CF5"/>
    <w:rsid w:val="00B00331"/>
    <w:rsid w:val="00B01A80"/>
    <w:rsid w:val="00B07C27"/>
    <w:rsid w:val="00B10DE1"/>
    <w:rsid w:val="00B10FF8"/>
    <w:rsid w:val="00B11CC5"/>
    <w:rsid w:val="00B203C4"/>
    <w:rsid w:val="00B22E81"/>
    <w:rsid w:val="00B23996"/>
    <w:rsid w:val="00B23CB2"/>
    <w:rsid w:val="00B2561A"/>
    <w:rsid w:val="00B25A64"/>
    <w:rsid w:val="00B27C3C"/>
    <w:rsid w:val="00B27CE6"/>
    <w:rsid w:val="00B32AB3"/>
    <w:rsid w:val="00B34E7C"/>
    <w:rsid w:val="00B368EA"/>
    <w:rsid w:val="00B37EEF"/>
    <w:rsid w:val="00B47485"/>
    <w:rsid w:val="00B47850"/>
    <w:rsid w:val="00B50B28"/>
    <w:rsid w:val="00B518C3"/>
    <w:rsid w:val="00B52166"/>
    <w:rsid w:val="00B524CA"/>
    <w:rsid w:val="00B55185"/>
    <w:rsid w:val="00B56C5B"/>
    <w:rsid w:val="00B61923"/>
    <w:rsid w:val="00B621D6"/>
    <w:rsid w:val="00B65D6F"/>
    <w:rsid w:val="00B67552"/>
    <w:rsid w:val="00B67C23"/>
    <w:rsid w:val="00B74161"/>
    <w:rsid w:val="00B75735"/>
    <w:rsid w:val="00B77142"/>
    <w:rsid w:val="00B801C4"/>
    <w:rsid w:val="00B80A2C"/>
    <w:rsid w:val="00B814D9"/>
    <w:rsid w:val="00B81F60"/>
    <w:rsid w:val="00B82D3B"/>
    <w:rsid w:val="00B841AC"/>
    <w:rsid w:val="00B8572D"/>
    <w:rsid w:val="00B8605B"/>
    <w:rsid w:val="00B865B0"/>
    <w:rsid w:val="00B90780"/>
    <w:rsid w:val="00B9240D"/>
    <w:rsid w:val="00B94BB8"/>
    <w:rsid w:val="00B9644D"/>
    <w:rsid w:val="00B97278"/>
    <w:rsid w:val="00BA22A8"/>
    <w:rsid w:val="00BA3E48"/>
    <w:rsid w:val="00BB1EB3"/>
    <w:rsid w:val="00BB2678"/>
    <w:rsid w:val="00BB4071"/>
    <w:rsid w:val="00BC2343"/>
    <w:rsid w:val="00BC74DE"/>
    <w:rsid w:val="00BD2DC7"/>
    <w:rsid w:val="00BD30C8"/>
    <w:rsid w:val="00BD3EB4"/>
    <w:rsid w:val="00BD5C65"/>
    <w:rsid w:val="00BE01CA"/>
    <w:rsid w:val="00BE08F5"/>
    <w:rsid w:val="00BE6018"/>
    <w:rsid w:val="00BF1F57"/>
    <w:rsid w:val="00BF2383"/>
    <w:rsid w:val="00BF2DDD"/>
    <w:rsid w:val="00BF4086"/>
    <w:rsid w:val="00BF426C"/>
    <w:rsid w:val="00BF4E28"/>
    <w:rsid w:val="00BF58D0"/>
    <w:rsid w:val="00BF5FC5"/>
    <w:rsid w:val="00BF70AE"/>
    <w:rsid w:val="00BF7505"/>
    <w:rsid w:val="00BF7D6A"/>
    <w:rsid w:val="00C013E1"/>
    <w:rsid w:val="00C01611"/>
    <w:rsid w:val="00C02C6D"/>
    <w:rsid w:val="00C02D59"/>
    <w:rsid w:val="00C030B6"/>
    <w:rsid w:val="00C03284"/>
    <w:rsid w:val="00C04855"/>
    <w:rsid w:val="00C050D7"/>
    <w:rsid w:val="00C05B5F"/>
    <w:rsid w:val="00C104CC"/>
    <w:rsid w:val="00C152FE"/>
    <w:rsid w:val="00C16739"/>
    <w:rsid w:val="00C22CCE"/>
    <w:rsid w:val="00C23BA2"/>
    <w:rsid w:val="00C24CA0"/>
    <w:rsid w:val="00C32AF2"/>
    <w:rsid w:val="00C33204"/>
    <w:rsid w:val="00C338EB"/>
    <w:rsid w:val="00C3465D"/>
    <w:rsid w:val="00C379E9"/>
    <w:rsid w:val="00C40F7A"/>
    <w:rsid w:val="00C439FB"/>
    <w:rsid w:val="00C43F23"/>
    <w:rsid w:val="00C50011"/>
    <w:rsid w:val="00C56DA4"/>
    <w:rsid w:val="00C645E6"/>
    <w:rsid w:val="00C64D82"/>
    <w:rsid w:val="00C64FBC"/>
    <w:rsid w:val="00C65A83"/>
    <w:rsid w:val="00C737EE"/>
    <w:rsid w:val="00C80F23"/>
    <w:rsid w:val="00C81151"/>
    <w:rsid w:val="00C828B6"/>
    <w:rsid w:val="00C82CC6"/>
    <w:rsid w:val="00C850A3"/>
    <w:rsid w:val="00C85C32"/>
    <w:rsid w:val="00C87568"/>
    <w:rsid w:val="00C9072B"/>
    <w:rsid w:val="00C90DB6"/>
    <w:rsid w:val="00C9394F"/>
    <w:rsid w:val="00C93B1A"/>
    <w:rsid w:val="00C96F5F"/>
    <w:rsid w:val="00CA3C4F"/>
    <w:rsid w:val="00CA5927"/>
    <w:rsid w:val="00CA79EC"/>
    <w:rsid w:val="00CB09F0"/>
    <w:rsid w:val="00CB2D37"/>
    <w:rsid w:val="00CB39C2"/>
    <w:rsid w:val="00CB4C8C"/>
    <w:rsid w:val="00CB6782"/>
    <w:rsid w:val="00CC080A"/>
    <w:rsid w:val="00CC1D4D"/>
    <w:rsid w:val="00CC3C04"/>
    <w:rsid w:val="00CD151F"/>
    <w:rsid w:val="00CE26E5"/>
    <w:rsid w:val="00CE46DB"/>
    <w:rsid w:val="00CE5277"/>
    <w:rsid w:val="00CE6358"/>
    <w:rsid w:val="00CF0C6C"/>
    <w:rsid w:val="00CF2C2A"/>
    <w:rsid w:val="00CF2D54"/>
    <w:rsid w:val="00D01324"/>
    <w:rsid w:val="00D02BA5"/>
    <w:rsid w:val="00D03538"/>
    <w:rsid w:val="00D049B8"/>
    <w:rsid w:val="00D04C0E"/>
    <w:rsid w:val="00D0516C"/>
    <w:rsid w:val="00D05EE7"/>
    <w:rsid w:val="00D068D0"/>
    <w:rsid w:val="00D0722C"/>
    <w:rsid w:val="00D078D1"/>
    <w:rsid w:val="00D129A8"/>
    <w:rsid w:val="00D12FB9"/>
    <w:rsid w:val="00D200BD"/>
    <w:rsid w:val="00D22399"/>
    <w:rsid w:val="00D33751"/>
    <w:rsid w:val="00D36F6E"/>
    <w:rsid w:val="00D37343"/>
    <w:rsid w:val="00D40397"/>
    <w:rsid w:val="00D4205E"/>
    <w:rsid w:val="00D43CCE"/>
    <w:rsid w:val="00D51F57"/>
    <w:rsid w:val="00D52744"/>
    <w:rsid w:val="00D52DC6"/>
    <w:rsid w:val="00D565EC"/>
    <w:rsid w:val="00D61982"/>
    <w:rsid w:val="00D6226F"/>
    <w:rsid w:val="00D6267A"/>
    <w:rsid w:val="00D6596A"/>
    <w:rsid w:val="00D674CF"/>
    <w:rsid w:val="00D67A47"/>
    <w:rsid w:val="00D67D12"/>
    <w:rsid w:val="00D67E63"/>
    <w:rsid w:val="00D70923"/>
    <w:rsid w:val="00D74F09"/>
    <w:rsid w:val="00D7585A"/>
    <w:rsid w:val="00D77C49"/>
    <w:rsid w:val="00D80618"/>
    <w:rsid w:val="00D82494"/>
    <w:rsid w:val="00D83CF5"/>
    <w:rsid w:val="00D84A4B"/>
    <w:rsid w:val="00D92168"/>
    <w:rsid w:val="00D940B5"/>
    <w:rsid w:val="00D95CB0"/>
    <w:rsid w:val="00D95E12"/>
    <w:rsid w:val="00D977C0"/>
    <w:rsid w:val="00DA00A3"/>
    <w:rsid w:val="00DA13F3"/>
    <w:rsid w:val="00DA2DE3"/>
    <w:rsid w:val="00DA716A"/>
    <w:rsid w:val="00DB1841"/>
    <w:rsid w:val="00DB1F4F"/>
    <w:rsid w:val="00DB37EE"/>
    <w:rsid w:val="00DB413D"/>
    <w:rsid w:val="00DB4450"/>
    <w:rsid w:val="00DB7B69"/>
    <w:rsid w:val="00DC234A"/>
    <w:rsid w:val="00DC34E9"/>
    <w:rsid w:val="00DC41E4"/>
    <w:rsid w:val="00DC66A8"/>
    <w:rsid w:val="00DC7C77"/>
    <w:rsid w:val="00DD7EA2"/>
    <w:rsid w:val="00DE00F2"/>
    <w:rsid w:val="00DE117F"/>
    <w:rsid w:val="00DE144D"/>
    <w:rsid w:val="00DE401C"/>
    <w:rsid w:val="00DE4304"/>
    <w:rsid w:val="00DF0726"/>
    <w:rsid w:val="00DF63FA"/>
    <w:rsid w:val="00E012CC"/>
    <w:rsid w:val="00E02B71"/>
    <w:rsid w:val="00E02DEB"/>
    <w:rsid w:val="00E032BE"/>
    <w:rsid w:val="00E042A1"/>
    <w:rsid w:val="00E05F9D"/>
    <w:rsid w:val="00E104FA"/>
    <w:rsid w:val="00E1082A"/>
    <w:rsid w:val="00E11166"/>
    <w:rsid w:val="00E13182"/>
    <w:rsid w:val="00E15383"/>
    <w:rsid w:val="00E1738C"/>
    <w:rsid w:val="00E22D28"/>
    <w:rsid w:val="00E22DA2"/>
    <w:rsid w:val="00E230E3"/>
    <w:rsid w:val="00E230ED"/>
    <w:rsid w:val="00E30EDF"/>
    <w:rsid w:val="00E31FBA"/>
    <w:rsid w:val="00E36AAE"/>
    <w:rsid w:val="00E41773"/>
    <w:rsid w:val="00E41CF1"/>
    <w:rsid w:val="00E513F6"/>
    <w:rsid w:val="00E52F3B"/>
    <w:rsid w:val="00E538AB"/>
    <w:rsid w:val="00E53D94"/>
    <w:rsid w:val="00E53DEA"/>
    <w:rsid w:val="00E55986"/>
    <w:rsid w:val="00E57F40"/>
    <w:rsid w:val="00E615EB"/>
    <w:rsid w:val="00E616DB"/>
    <w:rsid w:val="00E618DD"/>
    <w:rsid w:val="00E627A4"/>
    <w:rsid w:val="00E630ED"/>
    <w:rsid w:val="00E7357D"/>
    <w:rsid w:val="00E74EC5"/>
    <w:rsid w:val="00E76B86"/>
    <w:rsid w:val="00E80A21"/>
    <w:rsid w:val="00E80E16"/>
    <w:rsid w:val="00E8342F"/>
    <w:rsid w:val="00E847A7"/>
    <w:rsid w:val="00E85415"/>
    <w:rsid w:val="00E86783"/>
    <w:rsid w:val="00E906B4"/>
    <w:rsid w:val="00E9095B"/>
    <w:rsid w:val="00E92EE0"/>
    <w:rsid w:val="00E9399B"/>
    <w:rsid w:val="00E94008"/>
    <w:rsid w:val="00E94762"/>
    <w:rsid w:val="00E96B52"/>
    <w:rsid w:val="00EA2244"/>
    <w:rsid w:val="00EA6FA7"/>
    <w:rsid w:val="00EB067F"/>
    <w:rsid w:val="00EB1F02"/>
    <w:rsid w:val="00EB5BC5"/>
    <w:rsid w:val="00EC086C"/>
    <w:rsid w:val="00EC42D0"/>
    <w:rsid w:val="00EC638F"/>
    <w:rsid w:val="00ED2713"/>
    <w:rsid w:val="00ED5D6F"/>
    <w:rsid w:val="00EE2ACE"/>
    <w:rsid w:val="00EE4874"/>
    <w:rsid w:val="00EE5829"/>
    <w:rsid w:val="00EE79A6"/>
    <w:rsid w:val="00EF0A05"/>
    <w:rsid w:val="00EF0D86"/>
    <w:rsid w:val="00F005A0"/>
    <w:rsid w:val="00F106D2"/>
    <w:rsid w:val="00F11352"/>
    <w:rsid w:val="00F1498D"/>
    <w:rsid w:val="00F14DDF"/>
    <w:rsid w:val="00F152AD"/>
    <w:rsid w:val="00F20BE9"/>
    <w:rsid w:val="00F2285F"/>
    <w:rsid w:val="00F23155"/>
    <w:rsid w:val="00F24E0E"/>
    <w:rsid w:val="00F2526E"/>
    <w:rsid w:val="00F26693"/>
    <w:rsid w:val="00F36130"/>
    <w:rsid w:val="00F36A6E"/>
    <w:rsid w:val="00F36FE3"/>
    <w:rsid w:val="00F40444"/>
    <w:rsid w:val="00F4087A"/>
    <w:rsid w:val="00F41E36"/>
    <w:rsid w:val="00F423BD"/>
    <w:rsid w:val="00F432FF"/>
    <w:rsid w:val="00F46A39"/>
    <w:rsid w:val="00F46F26"/>
    <w:rsid w:val="00F4715C"/>
    <w:rsid w:val="00F54869"/>
    <w:rsid w:val="00F556B2"/>
    <w:rsid w:val="00F57187"/>
    <w:rsid w:val="00F574E5"/>
    <w:rsid w:val="00F5754B"/>
    <w:rsid w:val="00F576DE"/>
    <w:rsid w:val="00F63BF7"/>
    <w:rsid w:val="00F65617"/>
    <w:rsid w:val="00F710BE"/>
    <w:rsid w:val="00F718C1"/>
    <w:rsid w:val="00F736D2"/>
    <w:rsid w:val="00F7564C"/>
    <w:rsid w:val="00F76220"/>
    <w:rsid w:val="00F769BE"/>
    <w:rsid w:val="00F77D7A"/>
    <w:rsid w:val="00F82E6B"/>
    <w:rsid w:val="00F87CA3"/>
    <w:rsid w:val="00F97B71"/>
    <w:rsid w:val="00FA1925"/>
    <w:rsid w:val="00FA2DDA"/>
    <w:rsid w:val="00FA34CA"/>
    <w:rsid w:val="00FA3CC8"/>
    <w:rsid w:val="00FA4A55"/>
    <w:rsid w:val="00FA4D4F"/>
    <w:rsid w:val="00FA54E8"/>
    <w:rsid w:val="00FB2D17"/>
    <w:rsid w:val="00FB2F69"/>
    <w:rsid w:val="00FB3BCA"/>
    <w:rsid w:val="00FB45FF"/>
    <w:rsid w:val="00FB47E0"/>
    <w:rsid w:val="00FB5D97"/>
    <w:rsid w:val="00FC1991"/>
    <w:rsid w:val="00FC1CA5"/>
    <w:rsid w:val="00FC2979"/>
    <w:rsid w:val="00FC45F4"/>
    <w:rsid w:val="00FC5E83"/>
    <w:rsid w:val="00FD1C3C"/>
    <w:rsid w:val="00FD38A8"/>
    <w:rsid w:val="00FD3B9A"/>
    <w:rsid w:val="00FD6AC8"/>
    <w:rsid w:val="00FD7153"/>
    <w:rsid w:val="00FD7298"/>
    <w:rsid w:val="00FE308B"/>
    <w:rsid w:val="00FE3230"/>
    <w:rsid w:val="00FE3EA1"/>
    <w:rsid w:val="00FE4818"/>
    <w:rsid w:val="00FE5D80"/>
    <w:rsid w:val="00FE6979"/>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7F304DED-1E57-4DCB-A00D-DC301845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5D4452"/>
    <w:pPr>
      <w:keepNext/>
      <w:keepLines/>
      <w:spacing w:before="340" w:after="330" w:line="578" w:lineRule="auto"/>
      <w:outlineLvl w:val="0"/>
    </w:pPr>
    <w:rPr>
      <w:b/>
      <w:bCs/>
      <w:kern w:val="44"/>
      <w:sz w:val="44"/>
      <w:szCs w:val="44"/>
    </w:rPr>
  </w:style>
  <w:style w:type="paragraph" w:styleId="2">
    <w:name w:val="heading 2"/>
    <w:basedOn w:val="a"/>
    <w:next w:val="a0"/>
    <w:qFormat/>
    <w:rsid w:val="001B63AB"/>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B63AB"/>
    <w:pPr>
      <w:ind w:firstLineChars="200" w:firstLine="420"/>
    </w:pPr>
  </w:style>
  <w:style w:type="paragraph" w:styleId="a4">
    <w:name w:val="Body Text Indent"/>
    <w:basedOn w:val="a"/>
    <w:rsid w:val="001B63AB"/>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uiPriority w:val="99"/>
    <w:rsid w:val="001B63AB"/>
    <w:rPr>
      <w:rFonts w:ascii="宋体" w:hAnsi="Courier New"/>
      <w:szCs w:val="21"/>
    </w:rPr>
  </w:style>
  <w:style w:type="paragraph" w:styleId="20">
    <w:name w:val="Body Text Indent 2"/>
    <w:basedOn w:val="a"/>
    <w:rsid w:val="001B63AB"/>
    <w:pPr>
      <w:spacing w:line="560" w:lineRule="exact"/>
      <w:ind w:firstLineChars="200" w:firstLine="480"/>
    </w:pPr>
    <w:rPr>
      <w:rFonts w:ascii="宋体" w:hAnsi="宋体"/>
      <w:color w:val="FF0000"/>
      <w:sz w:val="24"/>
    </w:rPr>
  </w:style>
  <w:style w:type="paragraph" w:styleId="a7">
    <w:name w:val="footer"/>
    <w:basedOn w:val="a"/>
    <w:rsid w:val="001B63AB"/>
    <w:pPr>
      <w:tabs>
        <w:tab w:val="center" w:pos="4153"/>
        <w:tab w:val="right" w:pos="8306"/>
      </w:tabs>
      <w:snapToGrid w:val="0"/>
      <w:jc w:val="left"/>
    </w:pPr>
    <w:rPr>
      <w:sz w:val="18"/>
      <w:szCs w:val="18"/>
    </w:rPr>
  </w:style>
  <w:style w:type="character" w:styleId="a8">
    <w:name w:val="page number"/>
    <w:basedOn w:val="a1"/>
    <w:rsid w:val="001B63AB"/>
  </w:style>
  <w:style w:type="character" w:styleId="a9">
    <w:name w:val="Hyperlink"/>
    <w:basedOn w:val="a1"/>
    <w:rsid w:val="001B63AB"/>
    <w:rPr>
      <w:color w:val="0000FF"/>
      <w:u w:val="single"/>
    </w:rPr>
  </w:style>
  <w:style w:type="paragraph" w:styleId="3">
    <w:name w:val="Body Text Indent 3"/>
    <w:basedOn w:val="a"/>
    <w:rsid w:val="001B63AB"/>
    <w:pPr>
      <w:spacing w:line="560" w:lineRule="exact"/>
      <w:ind w:firstLineChars="200" w:firstLine="420"/>
    </w:pPr>
    <w:rPr>
      <w:rFonts w:ascii="Arial" w:hAnsi="Arial" w:cs="Arial"/>
      <w:color w:val="FF0000"/>
    </w:rPr>
  </w:style>
  <w:style w:type="paragraph" w:styleId="aa">
    <w:name w:val="header"/>
    <w:basedOn w:val="a"/>
    <w:link w:val="ab"/>
    <w:uiPriority w:val="99"/>
    <w:rsid w:val="001B63AB"/>
    <w:pPr>
      <w:pBdr>
        <w:bottom w:val="single" w:sz="6" w:space="1" w:color="auto"/>
      </w:pBdr>
      <w:tabs>
        <w:tab w:val="center" w:pos="4153"/>
        <w:tab w:val="right" w:pos="8306"/>
      </w:tabs>
      <w:snapToGrid w:val="0"/>
      <w:jc w:val="center"/>
    </w:pPr>
    <w:rPr>
      <w:sz w:val="18"/>
      <w:szCs w:val="18"/>
    </w:rPr>
  </w:style>
  <w:style w:type="character" w:styleId="ac">
    <w:name w:val="FollowedHyperlink"/>
    <w:basedOn w:val="a1"/>
    <w:rsid w:val="001B63AB"/>
    <w:rPr>
      <w:color w:val="800080"/>
      <w:u w:val="single"/>
    </w:rPr>
  </w:style>
  <w:style w:type="paragraph" w:styleId="ad">
    <w:name w:val="List"/>
    <w:basedOn w:val="ae"/>
    <w:rsid w:val="001B63AB"/>
    <w:pPr>
      <w:spacing w:after="220" w:line="220" w:lineRule="atLeast"/>
      <w:ind w:left="1440" w:hanging="360"/>
    </w:pPr>
    <w:rPr>
      <w:szCs w:val="20"/>
    </w:rPr>
  </w:style>
  <w:style w:type="paragraph" w:styleId="ae">
    <w:name w:val="Body Text"/>
    <w:basedOn w:val="a"/>
    <w:rsid w:val="001B63AB"/>
    <w:pPr>
      <w:spacing w:after="120"/>
    </w:pPr>
  </w:style>
  <w:style w:type="paragraph" w:styleId="af">
    <w:name w:val="Date"/>
    <w:basedOn w:val="a"/>
    <w:next w:val="a"/>
    <w:link w:val="af0"/>
    <w:uiPriority w:val="99"/>
    <w:rsid w:val="001B63AB"/>
    <w:rPr>
      <w:sz w:val="24"/>
      <w:szCs w:val="20"/>
    </w:rPr>
  </w:style>
  <w:style w:type="character" w:customStyle="1" w:styleId="c1">
    <w:name w:val="c1"/>
    <w:basedOn w:val="a1"/>
    <w:rsid w:val="001B63AB"/>
    <w:rPr>
      <w:color w:val="000000"/>
      <w:sz w:val="18"/>
      <w:szCs w:val="18"/>
    </w:rPr>
  </w:style>
  <w:style w:type="paragraph" w:styleId="11">
    <w:name w:val="index 1"/>
    <w:basedOn w:val="a"/>
    <w:next w:val="a"/>
    <w:autoRedefine/>
    <w:semiHidden/>
    <w:rsid w:val="001B63AB"/>
    <w:pPr>
      <w:jc w:val="right"/>
    </w:pPr>
    <w:rPr>
      <w:color w:val="008000"/>
    </w:rPr>
  </w:style>
  <w:style w:type="paragraph" w:customStyle="1" w:styleId="font5">
    <w:name w:val="font5"/>
    <w:basedOn w:val="a"/>
    <w:rsid w:val="001B63AB"/>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1B63AB"/>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1B63A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1B63A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1B63A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1B63A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1B63A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1B63A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1B63A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1B63AB"/>
    <w:rPr>
      <w:sz w:val="18"/>
      <w:szCs w:val="18"/>
    </w:rPr>
  </w:style>
  <w:style w:type="character" w:styleId="af2">
    <w:name w:val="annotation reference"/>
    <w:basedOn w:val="a1"/>
    <w:semiHidden/>
    <w:rsid w:val="001B63AB"/>
    <w:rPr>
      <w:sz w:val="21"/>
      <w:szCs w:val="21"/>
    </w:rPr>
  </w:style>
  <w:style w:type="paragraph" w:styleId="af3">
    <w:name w:val="annotation text"/>
    <w:basedOn w:val="a"/>
    <w:semiHidden/>
    <w:rsid w:val="001B63AB"/>
    <w:pPr>
      <w:jc w:val="left"/>
    </w:pPr>
  </w:style>
  <w:style w:type="paragraph" w:styleId="af4">
    <w:name w:val="annotation subject"/>
    <w:basedOn w:val="af3"/>
    <w:next w:val="af3"/>
    <w:semiHidden/>
    <w:rsid w:val="001B63AB"/>
    <w:rPr>
      <w:b/>
      <w:bCs/>
    </w:rPr>
  </w:style>
  <w:style w:type="paragraph" w:customStyle="1" w:styleId="Char">
    <w:name w:val="Char"/>
    <w:basedOn w:val="a"/>
    <w:rsid w:val="001B63AB"/>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basedOn w:val="a1"/>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726E0"/>
    <w:rPr>
      <w:rFonts w:ascii="宋体" w:hAnsi="Courier New"/>
      <w:kern w:val="2"/>
      <w:sz w:val="21"/>
      <w:szCs w:val="21"/>
    </w:rPr>
  </w:style>
  <w:style w:type="character" w:customStyle="1" w:styleId="ab">
    <w:name w:val="页眉 字符"/>
    <w:basedOn w:val="a1"/>
    <w:link w:val="aa"/>
    <w:uiPriority w:val="99"/>
    <w:rsid w:val="004E30FB"/>
    <w:rPr>
      <w:kern w:val="2"/>
      <w:sz w:val="18"/>
      <w:szCs w:val="18"/>
    </w:rPr>
  </w:style>
  <w:style w:type="character" w:customStyle="1" w:styleId="10">
    <w:name w:val="标题 1 字符"/>
    <w:basedOn w:val="a1"/>
    <w:link w:val="1"/>
    <w:rsid w:val="005D4452"/>
    <w:rPr>
      <w:b/>
      <w:bCs/>
      <w:kern w:val="44"/>
      <w:sz w:val="44"/>
      <w:szCs w:val="44"/>
    </w:rPr>
  </w:style>
  <w:style w:type="character" w:customStyle="1" w:styleId="af0">
    <w:name w:val="日期 字符"/>
    <w:basedOn w:val="a1"/>
    <w:link w:val="af"/>
    <w:uiPriority w:val="99"/>
    <w:rsid w:val="005E5CC1"/>
    <w:rPr>
      <w:kern w:val="2"/>
      <w:sz w:val="24"/>
    </w:rPr>
  </w:style>
  <w:style w:type="character" w:customStyle="1" w:styleId="t1">
    <w:name w:val="t1"/>
    <w:basedOn w:val="a1"/>
    <w:rsid w:val="00C40F7A"/>
    <w:rPr>
      <w:color w:val="990000"/>
    </w:rPr>
  </w:style>
  <w:style w:type="character" w:styleId="afb">
    <w:name w:val="Strong"/>
    <w:basedOn w:val="a1"/>
    <w:uiPriority w:val="22"/>
    <w:qFormat/>
    <w:rsid w:val="003D5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175875008">
      <w:bodyDiv w:val="1"/>
      <w:marLeft w:val="0"/>
      <w:marRight w:val="0"/>
      <w:marTop w:val="0"/>
      <w:marBottom w:val="0"/>
      <w:divBdr>
        <w:top w:val="none" w:sz="0" w:space="0" w:color="auto"/>
        <w:left w:val="none" w:sz="0" w:space="0" w:color="auto"/>
        <w:bottom w:val="none" w:sz="0" w:space="0" w:color="auto"/>
        <w:right w:val="none" w:sz="0" w:space="0" w:color="auto"/>
      </w:divBdr>
    </w:div>
    <w:div w:id="1323436634">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01293798">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561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1076</Words>
  <Characters>6139</Characters>
  <Application>Microsoft Office Word</Application>
  <DocSecurity>0</DocSecurity>
  <Lines>51</Lines>
  <Paragraphs>14</Paragraphs>
  <ScaleCrop>false</ScaleCrop>
  <Company>TRT. Ltd. Co.</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Trowa.Ding@FA</cp:lastModifiedBy>
  <cp:revision>101</cp:revision>
  <cp:lastPrinted>2007-07-19T00:46:00Z</cp:lastPrinted>
  <dcterms:created xsi:type="dcterms:W3CDTF">2013-06-21T07:03:00Z</dcterms:created>
  <dcterms:modified xsi:type="dcterms:W3CDTF">2020-01-16T10:18:00Z</dcterms:modified>
</cp:coreProperties>
</file>