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6A28BF" w:rsidRPr="00862636" w:rsidRDefault="006A28BF"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Style w:val="aff3"/>
          <w:rFonts w:eastAsiaTheme="minorEastAsia"/>
          <w:szCs w:val="21"/>
        </w:rPr>
      </w:pPr>
    </w:p>
    <w:p w:rsidR="008A5A5D" w:rsidRPr="0098332C" w:rsidRDefault="008A5A5D" w:rsidP="00F07EDE">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r w:rsidRPr="0098332C">
        <w:rPr>
          <w:rFonts w:eastAsiaTheme="minorEastAsia"/>
          <w:b/>
          <w:sz w:val="36"/>
          <w:szCs w:val="36"/>
        </w:rPr>
        <w:t>上投摩根富时发达市场</w:t>
      </w:r>
      <w:r w:rsidRPr="0098332C">
        <w:rPr>
          <w:rFonts w:eastAsiaTheme="minorEastAsia"/>
          <w:b/>
          <w:sz w:val="36"/>
          <w:szCs w:val="36"/>
        </w:rPr>
        <w:t>REITs</w:t>
      </w:r>
      <w:r w:rsidRPr="0098332C">
        <w:rPr>
          <w:rFonts w:eastAsiaTheme="minorEastAsia"/>
          <w:b/>
          <w:sz w:val="36"/>
          <w:szCs w:val="36"/>
        </w:rPr>
        <w:t>指数型证券投资基金（</w:t>
      </w:r>
      <w:r w:rsidRPr="0098332C">
        <w:rPr>
          <w:rFonts w:eastAsiaTheme="minorEastAsia"/>
          <w:b/>
          <w:sz w:val="36"/>
          <w:szCs w:val="36"/>
        </w:rPr>
        <w:t>QDII</w:t>
      </w:r>
      <w:r w:rsidRPr="0098332C">
        <w:rPr>
          <w:rFonts w:eastAsiaTheme="minorEastAsia"/>
          <w:b/>
          <w:sz w:val="36"/>
          <w:szCs w:val="36"/>
        </w:rPr>
        <w:t>）</w:t>
      </w:r>
      <w:bookmarkEnd w:id="0"/>
      <w:bookmarkEnd w:id="1"/>
      <w:bookmarkEnd w:id="2"/>
      <w:bookmarkEnd w:id="3"/>
      <w:bookmarkEnd w:id="4"/>
    </w:p>
    <w:p w:rsidR="008A5A5D" w:rsidRPr="0098332C" w:rsidRDefault="008A5A5D" w:rsidP="00F07EDE">
      <w:pPr>
        <w:spacing w:line="360" w:lineRule="auto"/>
        <w:jc w:val="center"/>
        <w:rPr>
          <w:rFonts w:eastAsiaTheme="minorEastAsia"/>
          <w:b/>
          <w:sz w:val="36"/>
          <w:szCs w:val="36"/>
        </w:rPr>
      </w:pPr>
      <w:bookmarkStart w:id="5" w:name="_Toc352254877"/>
      <w:bookmarkStart w:id="6" w:name="_Toc352255957"/>
      <w:bookmarkStart w:id="7" w:name="_Toc352256025"/>
      <w:bookmarkStart w:id="8" w:name="_Toc352256202"/>
      <w:bookmarkStart w:id="9" w:name="_Toc352331203"/>
      <w:r w:rsidRPr="0098332C">
        <w:rPr>
          <w:rFonts w:eastAsiaTheme="minorEastAsia"/>
          <w:b/>
          <w:sz w:val="36"/>
          <w:szCs w:val="36"/>
        </w:rPr>
        <w:t>2019</w:t>
      </w:r>
      <w:r w:rsidRPr="0098332C">
        <w:rPr>
          <w:rFonts w:eastAsiaTheme="minorEastAsia"/>
          <w:b/>
          <w:sz w:val="36"/>
          <w:szCs w:val="36"/>
        </w:rPr>
        <w:t>年半年度报告</w:t>
      </w:r>
      <w:bookmarkEnd w:id="5"/>
      <w:bookmarkEnd w:id="6"/>
      <w:bookmarkEnd w:id="7"/>
      <w:bookmarkEnd w:id="8"/>
      <w:bookmarkEnd w:id="9"/>
      <w:r w:rsidR="00CF7242">
        <w:rPr>
          <w:rFonts w:eastAsiaTheme="minorEastAsia" w:hint="eastAsia"/>
          <w:b/>
          <w:sz w:val="36"/>
          <w:szCs w:val="36"/>
        </w:rPr>
        <w:t>摘要</w:t>
      </w:r>
    </w:p>
    <w:p w:rsidR="008A5A5D" w:rsidRPr="0098332C" w:rsidRDefault="00146FBA" w:rsidP="00F07EDE">
      <w:pPr>
        <w:spacing w:line="360" w:lineRule="auto"/>
        <w:jc w:val="center"/>
        <w:rPr>
          <w:rFonts w:eastAsiaTheme="minorEastAsia"/>
          <w:b/>
          <w:sz w:val="36"/>
          <w:szCs w:val="36"/>
        </w:rPr>
      </w:pPr>
      <w:r w:rsidRPr="0098332C">
        <w:rPr>
          <w:rFonts w:eastAsiaTheme="minorEastAsia"/>
          <w:b/>
          <w:sz w:val="36"/>
          <w:szCs w:val="36"/>
        </w:rPr>
        <w:t>2019</w:t>
      </w:r>
      <w:r w:rsidRPr="0098332C">
        <w:rPr>
          <w:rFonts w:eastAsiaTheme="minorEastAsia"/>
          <w:b/>
          <w:sz w:val="36"/>
          <w:szCs w:val="36"/>
        </w:rPr>
        <w:t>年</w:t>
      </w:r>
      <w:r w:rsidRPr="0098332C">
        <w:rPr>
          <w:rFonts w:eastAsiaTheme="minorEastAsia"/>
          <w:b/>
          <w:sz w:val="36"/>
          <w:szCs w:val="36"/>
        </w:rPr>
        <w:t>6</w:t>
      </w:r>
      <w:r w:rsidRPr="0098332C">
        <w:rPr>
          <w:rFonts w:eastAsiaTheme="minorEastAsia"/>
          <w:b/>
          <w:sz w:val="36"/>
          <w:szCs w:val="36"/>
        </w:rPr>
        <w:t>月</w:t>
      </w:r>
      <w:r w:rsidRPr="0098332C">
        <w:rPr>
          <w:rFonts w:eastAsiaTheme="minorEastAsia"/>
          <w:b/>
          <w:sz w:val="36"/>
          <w:szCs w:val="36"/>
        </w:rPr>
        <w:t>30</w:t>
      </w:r>
      <w:r w:rsidRPr="0098332C">
        <w:rPr>
          <w:rFonts w:eastAsiaTheme="minorEastAsia"/>
          <w:b/>
          <w:sz w:val="36"/>
          <w:szCs w:val="36"/>
        </w:rPr>
        <w:t>日</w:t>
      </w:r>
    </w:p>
    <w:p w:rsidR="008A5A5D" w:rsidRPr="0098332C" w:rsidRDefault="008A5A5D" w:rsidP="006D141C">
      <w:pPr>
        <w:spacing w:line="360" w:lineRule="auto"/>
        <w:jc w:val="center"/>
        <w:rPr>
          <w:rStyle w:val="aff3"/>
          <w:rFonts w:eastAsiaTheme="minorEastAsia"/>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rPr>
          <w:rFonts w:eastAsiaTheme="minorEastAsia"/>
          <w:b/>
          <w:color w:val="000000"/>
          <w:szCs w:val="21"/>
        </w:rPr>
      </w:pP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基金管理人：上投摩根基金管理有限公司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基金托管人：招商银行股份有限公司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报告送出日期：二〇一九年八月二十四日</w:t>
      </w:r>
    </w:p>
    <w:p w:rsidR="008A5A5D" w:rsidRPr="0098332C" w:rsidRDefault="008A5A5D" w:rsidP="00F07EDE">
      <w:pPr>
        <w:spacing w:line="288" w:lineRule="auto"/>
        <w:ind w:firstLineChars="900" w:firstLine="1897"/>
        <w:rPr>
          <w:rFonts w:eastAsiaTheme="minorEastAsia"/>
          <w:b/>
          <w:color w:val="000000"/>
          <w:szCs w:val="21"/>
        </w:rPr>
        <w:sectPr w:rsidR="008A5A5D" w:rsidRPr="0098332C">
          <w:headerReference w:type="default" r:id="rId8"/>
          <w:pgSz w:w="11926" w:h="15840"/>
          <w:pgMar w:top="1418" w:right="1418" w:bottom="851" w:left="1418" w:header="851" w:footer="992" w:gutter="0"/>
          <w:cols w:space="720"/>
        </w:sectPr>
      </w:pPr>
    </w:p>
    <w:p w:rsidR="00937FC6" w:rsidRPr="0098332C"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43"/>
      <w:bookmarkStart w:id="11" w:name="_Toc352255958"/>
      <w:bookmarkStart w:id="12" w:name="_Toc352256026"/>
      <w:bookmarkStart w:id="13" w:name="_Toc352331204"/>
      <w:bookmarkStart w:id="14" w:name="_Toc374611636"/>
      <w:r w:rsidRPr="0098332C">
        <w:rPr>
          <w:rFonts w:eastAsiaTheme="minorEastAsia"/>
          <w:b/>
          <w:bCs/>
          <w:sz w:val="21"/>
          <w:szCs w:val="21"/>
          <w:lang w:val="en-US"/>
        </w:rPr>
        <w:lastRenderedPageBreak/>
        <w:t xml:space="preserve">1  </w:t>
      </w:r>
      <w:r w:rsidRPr="0098332C">
        <w:rPr>
          <w:rFonts w:eastAsiaTheme="minorEastAsia"/>
          <w:b/>
          <w:bCs/>
          <w:sz w:val="21"/>
          <w:szCs w:val="21"/>
          <w:lang w:val="en-US"/>
        </w:rPr>
        <w:t>重要提示</w:t>
      </w:r>
      <w:bookmarkEnd w:id="10"/>
      <w:bookmarkEnd w:id="11"/>
      <w:bookmarkEnd w:id="12"/>
      <w:bookmarkEnd w:id="13"/>
      <w:bookmarkEnd w:id="14"/>
    </w:p>
    <w:p w:rsidR="00937FC6" w:rsidRPr="0098332C" w:rsidRDefault="00937FC6" w:rsidP="00937FC6">
      <w:pPr>
        <w:pStyle w:val="20"/>
        <w:spacing w:before="0" w:after="0"/>
        <w:rPr>
          <w:rFonts w:ascii="Times New Roman" w:eastAsiaTheme="minorEastAsia" w:hAnsi="Times New Roman"/>
          <w:kern w:val="0"/>
          <w:sz w:val="21"/>
          <w:szCs w:val="21"/>
        </w:rPr>
      </w:pPr>
      <w:bookmarkStart w:id="15" w:name="_Toc352255959"/>
      <w:bookmarkStart w:id="16" w:name="_Toc352256027"/>
      <w:bookmarkStart w:id="17" w:name="_Toc352331205"/>
      <w:bookmarkStart w:id="18" w:name="_Toc374611637"/>
      <w:r w:rsidRPr="0098332C">
        <w:rPr>
          <w:rFonts w:ascii="Times New Roman" w:eastAsiaTheme="minorEastAsia" w:hAnsi="Times New Roman"/>
          <w:kern w:val="0"/>
          <w:sz w:val="21"/>
          <w:szCs w:val="21"/>
        </w:rPr>
        <w:t xml:space="preserve">1.1 </w:t>
      </w:r>
      <w:r w:rsidRPr="0098332C">
        <w:rPr>
          <w:rFonts w:ascii="Times New Roman" w:eastAsiaTheme="minorEastAsia" w:hAnsi="Times New Roman"/>
          <w:kern w:val="0"/>
          <w:sz w:val="21"/>
          <w:szCs w:val="21"/>
        </w:rPr>
        <w:t>重要提示</w:t>
      </w:r>
      <w:bookmarkEnd w:id="15"/>
      <w:bookmarkEnd w:id="16"/>
      <w:bookmarkEnd w:id="17"/>
      <w:bookmarkEnd w:id="18"/>
    </w:p>
    <w:p w:rsidR="00122FB4" w:rsidRDefault="003502BE">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122FB4" w:rsidRDefault="003502BE">
      <w:pPr>
        <w:spacing w:line="360" w:lineRule="auto"/>
        <w:ind w:firstLineChars="200" w:firstLine="420"/>
        <w:rPr>
          <w:rFonts w:eastAsiaTheme="minorEastAsia"/>
          <w:color w:val="000000"/>
          <w:szCs w:val="21"/>
        </w:rPr>
      </w:pPr>
      <w:r>
        <w:rPr>
          <w:rFonts w:eastAsiaTheme="minorEastAsia"/>
          <w:color w:val="000000"/>
          <w:szCs w:val="21"/>
        </w:rPr>
        <w:t>基金托管人招商银行股份有限公司根据本基金合同规定，于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122FB4" w:rsidRDefault="003502BE">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122FB4" w:rsidRDefault="003502BE">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CF7242" w:rsidRDefault="00CF7242">
      <w:pPr>
        <w:spacing w:line="360" w:lineRule="auto"/>
        <w:ind w:firstLineChars="200" w:firstLine="420"/>
        <w:rPr>
          <w:rFonts w:eastAsiaTheme="minorEastAsia"/>
          <w:color w:val="000000"/>
          <w:szCs w:val="21"/>
        </w:rPr>
      </w:pPr>
      <w:r>
        <w:rPr>
          <w:rFonts w:hAnsi="宋体" w:hint="eastAsia"/>
          <w:color w:val="000000"/>
          <w:kern w:val="0"/>
          <w:szCs w:val="21"/>
        </w:rPr>
        <w:t>本半年度报告摘要摘自半年度报告正文，投资者欲了解详细内容，应阅读半年度报告正文。</w:t>
      </w:r>
    </w:p>
    <w:p w:rsidR="00122FB4" w:rsidRDefault="003502BE">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871A0D" w:rsidRPr="0098332C" w:rsidRDefault="00937FC6" w:rsidP="00227731">
      <w:pPr>
        <w:spacing w:line="360" w:lineRule="auto"/>
        <w:ind w:firstLineChars="200" w:firstLine="420"/>
        <w:rPr>
          <w:rFonts w:eastAsiaTheme="minorEastAsia"/>
          <w:szCs w:val="21"/>
        </w:rPr>
      </w:pPr>
      <w:r w:rsidRPr="0098332C">
        <w:rPr>
          <w:rFonts w:eastAsiaTheme="minorEastAsia"/>
          <w:color w:val="000000"/>
          <w:szCs w:val="21"/>
        </w:rPr>
        <w:t>本报告期自</w:t>
      </w:r>
      <w:r w:rsidRPr="0098332C">
        <w:rPr>
          <w:rFonts w:eastAsiaTheme="minorEastAsia"/>
          <w:color w:val="000000"/>
          <w:szCs w:val="21"/>
        </w:rPr>
        <w:t>2019</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日起至</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日止。</w:t>
      </w:r>
      <w:bookmarkStart w:id="19" w:name="_GoBack"/>
      <w:bookmarkEnd w:id="19"/>
      <w:r w:rsidR="00871A0D" w:rsidRPr="0098332C">
        <w:rPr>
          <w:rFonts w:eastAsiaTheme="minorEastAsia"/>
          <w:szCs w:val="21"/>
        </w:rPr>
        <w:br w:type="page"/>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20" w:name="_Toc225498244"/>
      <w:bookmarkStart w:id="21" w:name="_Toc352255960"/>
      <w:bookmarkStart w:id="22" w:name="_Toc352256028"/>
      <w:bookmarkStart w:id="23" w:name="_Toc352331206"/>
      <w:bookmarkStart w:id="24" w:name="_Toc390164792"/>
      <w:r w:rsidRPr="0098332C">
        <w:rPr>
          <w:rFonts w:eastAsiaTheme="minorEastAsia"/>
          <w:b/>
          <w:bCs/>
          <w:sz w:val="21"/>
          <w:szCs w:val="21"/>
          <w:lang w:val="en-US"/>
        </w:rPr>
        <w:t>2</w:t>
      </w:r>
      <w:r w:rsidR="00937FC6" w:rsidRPr="0098332C">
        <w:rPr>
          <w:rFonts w:eastAsiaTheme="minorEastAsia"/>
          <w:b/>
          <w:bCs/>
          <w:sz w:val="21"/>
          <w:szCs w:val="21"/>
          <w:lang w:val="en-US"/>
        </w:rPr>
        <w:t xml:space="preserve">  </w:t>
      </w:r>
      <w:r w:rsidRPr="0098332C">
        <w:rPr>
          <w:rFonts w:eastAsiaTheme="minorEastAsia"/>
          <w:b/>
          <w:bCs/>
          <w:sz w:val="21"/>
          <w:szCs w:val="21"/>
          <w:lang w:val="en-US"/>
        </w:rPr>
        <w:t>基金简介</w:t>
      </w:r>
      <w:bookmarkEnd w:id="20"/>
      <w:bookmarkEnd w:id="21"/>
      <w:bookmarkEnd w:id="22"/>
      <w:bookmarkEnd w:id="23"/>
      <w:bookmarkEnd w:id="24"/>
    </w:p>
    <w:p w:rsidR="008A5A5D" w:rsidRPr="0098332C" w:rsidRDefault="008A5A5D" w:rsidP="004016C4">
      <w:pPr>
        <w:pStyle w:val="20"/>
        <w:spacing w:before="0" w:after="0"/>
        <w:rPr>
          <w:rFonts w:ascii="Times New Roman" w:eastAsiaTheme="minorEastAsia" w:hAnsi="Times New Roman"/>
          <w:color w:val="000000"/>
          <w:sz w:val="21"/>
          <w:szCs w:val="21"/>
        </w:rPr>
      </w:pPr>
      <w:bookmarkStart w:id="25" w:name="_Toc352255961"/>
      <w:bookmarkStart w:id="26" w:name="_Toc352256029"/>
      <w:bookmarkStart w:id="27" w:name="_Toc352331207"/>
      <w:bookmarkStart w:id="28" w:name="_Toc390164793"/>
      <w:r w:rsidRPr="0098332C">
        <w:rPr>
          <w:rFonts w:ascii="Times New Roman" w:eastAsiaTheme="minorEastAsia" w:hAnsi="Times New Roman"/>
          <w:kern w:val="0"/>
          <w:sz w:val="21"/>
          <w:szCs w:val="21"/>
        </w:rPr>
        <w:t>2.1</w:t>
      </w:r>
      <w:r w:rsidR="008227FB" w:rsidRPr="0098332C">
        <w:rPr>
          <w:rFonts w:ascii="Times New Roman" w:eastAsiaTheme="minorEastAsia" w:hAnsi="Times New Roman" w:hint="eastAsia"/>
          <w:kern w:val="0"/>
          <w:sz w:val="21"/>
          <w:szCs w:val="21"/>
        </w:rPr>
        <w:t xml:space="preserve"> </w:t>
      </w:r>
      <w:r w:rsidRPr="0098332C">
        <w:rPr>
          <w:rFonts w:ascii="Times New Roman" w:eastAsiaTheme="minorEastAsia" w:hAnsi="Times New Roman"/>
          <w:color w:val="000000"/>
          <w:sz w:val="21"/>
          <w:szCs w:val="21"/>
        </w:rPr>
        <w:t>基金基本情况</w:t>
      </w:r>
      <w:bookmarkEnd w:id="25"/>
      <w:bookmarkEnd w:id="26"/>
      <w:bookmarkEnd w:id="27"/>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基金简称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上投摩根富时发达市场</w:t>
            </w:r>
            <w:r w:rsidRPr="0098332C">
              <w:rPr>
                <w:rFonts w:eastAsiaTheme="minorEastAsia"/>
                <w:szCs w:val="21"/>
              </w:rPr>
              <w:t>REITs</w:t>
            </w:r>
            <w:r w:rsidRPr="0098332C">
              <w:rPr>
                <w:rFonts w:eastAsiaTheme="minorEastAsia"/>
                <w:szCs w:val="21"/>
              </w:rPr>
              <w:t>指数（</w:t>
            </w:r>
            <w:r w:rsidRPr="0098332C">
              <w:rPr>
                <w:rFonts w:eastAsiaTheme="minorEastAsia"/>
                <w:szCs w:val="21"/>
              </w:rPr>
              <w:t>QDII</w:t>
            </w:r>
            <w:r w:rsidRPr="0098332C">
              <w:rPr>
                <w:rFonts w:eastAsiaTheme="minorEastAsia"/>
                <w:szCs w:val="21"/>
              </w:rPr>
              <w:t>）</w:t>
            </w:r>
          </w:p>
        </w:tc>
      </w:tr>
      <w:tr w:rsidR="008A5A5D" w:rsidRPr="0098332C" w:rsidTr="00862636">
        <w:tc>
          <w:tcPr>
            <w:tcW w:w="3258" w:type="dxa"/>
            <w:vAlign w:val="center"/>
          </w:tcPr>
          <w:p w:rsidR="008A5A5D" w:rsidRPr="0098332C" w:rsidRDefault="008A5A5D">
            <w:pPr>
              <w:rPr>
                <w:rFonts w:eastAsiaTheme="minorEastAsia"/>
                <w:color w:val="000000"/>
                <w:kern w:val="0"/>
                <w:szCs w:val="21"/>
              </w:rPr>
            </w:pPr>
            <w:r w:rsidRPr="0098332C">
              <w:rPr>
                <w:rFonts w:eastAsiaTheme="minorEastAsia"/>
                <w:szCs w:val="21"/>
              </w:rPr>
              <w:t>基金主代码</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005613</w:t>
            </w:r>
          </w:p>
        </w:tc>
      </w:tr>
      <w:tr w:rsidR="00B20203" w:rsidRPr="0098332C" w:rsidTr="00862636">
        <w:tc>
          <w:tcPr>
            <w:tcW w:w="3258" w:type="dxa"/>
            <w:vAlign w:val="center"/>
          </w:tcPr>
          <w:p w:rsidR="00B20203" w:rsidRPr="0098332C" w:rsidRDefault="00B20203">
            <w:pPr>
              <w:rPr>
                <w:rFonts w:eastAsiaTheme="minorEastAsia"/>
                <w:szCs w:val="21"/>
              </w:rPr>
            </w:pPr>
            <w:r w:rsidRPr="0098332C">
              <w:rPr>
                <w:rFonts w:eastAsiaTheme="minorEastAsia"/>
                <w:szCs w:val="21"/>
              </w:rPr>
              <w:t>交易代码</w:t>
            </w:r>
          </w:p>
        </w:tc>
        <w:tc>
          <w:tcPr>
            <w:tcW w:w="5217" w:type="dxa"/>
            <w:vAlign w:val="center"/>
          </w:tcPr>
          <w:p w:rsidR="00B20203" w:rsidRPr="0098332C" w:rsidRDefault="00B20203" w:rsidP="00E72E07">
            <w:pPr>
              <w:jc w:val="right"/>
              <w:rPr>
                <w:rFonts w:eastAsiaTheme="minorEastAsia"/>
                <w:szCs w:val="21"/>
              </w:rPr>
            </w:pPr>
            <w:r w:rsidRPr="0098332C">
              <w:rPr>
                <w:rFonts w:eastAsiaTheme="minorEastAsia"/>
                <w:szCs w:val="21"/>
              </w:rPr>
              <w:t>005613</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基金运作方式</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契约型开放式</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基金合同生效日</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2018</w:t>
            </w:r>
            <w:r w:rsidRPr="0098332C">
              <w:rPr>
                <w:rFonts w:eastAsiaTheme="minorEastAsia"/>
                <w:szCs w:val="21"/>
              </w:rPr>
              <w:t>年</w:t>
            </w:r>
            <w:r w:rsidRPr="0098332C">
              <w:rPr>
                <w:rFonts w:eastAsiaTheme="minorEastAsia"/>
                <w:szCs w:val="21"/>
              </w:rPr>
              <w:t>4</w:t>
            </w:r>
            <w:r w:rsidRPr="0098332C">
              <w:rPr>
                <w:rFonts w:eastAsiaTheme="minorEastAsia"/>
                <w:szCs w:val="21"/>
              </w:rPr>
              <w:t>月</w:t>
            </w:r>
            <w:r w:rsidRPr="0098332C">
              <w:rPr>
                <w:rFonts w:eastAsiaTheme="minorEastAsia"/>
                <w:szCs w:val="21"/>
              </w:rPr>
              <w:t>26</w:t>
            </w:r>
            <w:r w:rsidRPr="0098332C">
              <w:rPr>
                <w:rFonts w:eastAsiaTheme="minorEastAsia"/>
                <w:szCs w:val="21"/>
              </w:rPr>
              <w:t>日</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基金管理人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上投摩根基金管理有限公司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基金托管人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招商银行股份有限公司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报告期末基金份额总额</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143,807,874.24</w:t>
            </w:r>
            <w:r w:rsidRPr="0098332C">
              <w:rPr>
                <w:rFonts w:eastAsiaTheme="minorEastAsia"/>
                <w:szCs w:val="21"/>
              </w:rPr>
              <w:t>份</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基金合同存续期</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不定期</w:t>
            </w:r>
          </w:p>
        </w:tc>
      </w:tr>
    </w:tbl>
    <w:p w:rsidR="008A5A5D" w:rsidRPr="0098332C" w:rsidRDefault="008A5A5D" w:rsidP="004F5A80">
      <w:pPr>
        <w:pStyle w:val="20"/>
        <w:spacing w:beforeLines="100" w:before="312" w:after="0"/>
        <w:rPr>
          <w:rFonts w:ascii="Times New Roman" w:eastAsiaTheme="minorEastAsia" w:hAnsi="Times New Roman"/>
          <w:color w:val="000000"/>
          <w:sz w:val="21"/>
          <w:szCs w:val="21"/>
        </w:rPr>
      </w:pPr>
      <w:bookmarkStart w:id="29" w:name="_Toc352255962"/>
      <w:bookmarkStart w:id="30" w:name="_Toc352256030"/>
      <w:bookmarkStart w:id="31" w:name="_Toc352331208"/>
      <w:bookmarkStart w:id="32" w:name="_Toc390164794"/>
      <w:r w:rsidRPr="0098332C">
        <w:rPr>
          <w:rFonts w:ascii="Times New Roman" w:eastAsiaTheme="minorEastAsia" w:hAnsi="Times New Roman"/>
          <w:kern w:val="0"/>
          <w:sz w:val="21"/>
          <w:szCs w:val="21"/>
        </w:rPr>
        <w:t xml:space="preserve">2.2 </w:t>
      </w:r>
      <w:r w:rsidRPr="0098332C">
        <w:rPr>
          <w:rFonts w:ascii="Times New Roman" w:eastAsiaTheme="minorEastAsia" w:hAnsi="Times New Roman"/>
          <w:color w:val="000000"/>
          <w:sz w:val="21"/>
          <w:szCs w:val="21"/>
        </w:rPr>
        <w:t>基金产品说明</w:t>
      </w:r>
      <w:bookmarkEnd w:id="29"/>
      <w:bookmarkEnd w:id="30"/>
      <w:bookmarkEnd w:id="31"/>
      <w:bookmarkEnd w:id="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投资目标</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采用被动式指数化投资策略，通过严格的投资程序约束和数量化风险管理手段，力求实现对标的指数的有效跟踪，追求跟踪误差的最小化。本基金力争控制基金净值增长率与业绩比较基准之间的日均跟踪偏离度小于</w:t>
            </w:r>
            <w:r w:rsidRPr="0098332C">
              <w:rPr>
                <w:rFonts w:eastAsiaTheme="minorEastAsia"/>
                <w:szCs w:val="21"/>
              </w:rPr>
              <w:t>0.5%</w:t>
            </w:r>
            <w:r w:rsidRPr="0098332C">
              <w:rPr>
                <w:rFonts w:eastAsiaTheme="minorEastAsia"/>
                <w:szCs w:val="21"/>
              </w:rPr>
              <w:t>，基金净值增长率与业绩比较基准之间的年跟踪误差不超过</w:t>
            </w:r>
            <w:r w:rsidRPr="0098332C">
              <w:rPr>
                <w:rFonts w:eastAsiaTheme="minorEastAsia"/>
                <w:szCs w:val="21"/>
              </w:rPr>
              <w:t>5%</w:t>
            </w:r>
            <w:r w:rsidRPr="0098332C">
              <w:rPr>
                <w:rFonts w:eastAsiaTheme="minorEastAsia"/>
                <w:szCs w:val="21"/>
              </w:rPr>
              <w:t>。</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投资策略</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本基金采用抽样复制策略进行被动式指数化投资，在富时发达市场</w:t>
            </w:r>
            <w:r w:rsidRPr="0098332C">
              <w:rPr>
                <w:rFonts w:eastAsiaTheme="minorEastAsia"/>
                <w:szCs w:val="21"/>
              </w:rPr>
              <w:t>REITs</w:t>
            </w:r>
            <w:r w:rsidRPr="0098332C">
              <w:rPr>
                <w:rFonts w:eastAsiaTheme="minorEastAsia"/>
                <w:szCs w:val="21"/>
              </w:rPr>
              <w:t>指数（英文为</w:t>
            </w:r>
            <w:r w:rsidRPr="0098332C">
              <w:rPr>
                <w:rFonts w:eastAsiaTheme="minorEastAsia"/>
                <w:szCs w:val="21"/>
              </w:rPr>
              <w:t>FTSE EPRA/NAREIT Developed REITs Index</w:t>
            </w:r>
            <w:r w:rsidRPr="0098332C">
              <w:rPr>
                <w:rFonts w:eastAsiaTheme="minorEastAsia"/>
                <w:szCs w:val="21"/>
              </w:rPr>
              <w:t>）成分股、备选成分股中，优选流动性好、基本面稳健的</w:t>
            </w:r>
            <w:r w:rsidRPr="0098332C">
              <w:rPr>
                <w:rFonts w:eastAsiaTheme="minorEastAsia"/>
                <w:szCs w:val="21"/>
              </w:rPr>
              <w:t>REITs</w:t>
            </w:r>
            <w:r w:rsidRPr="0098332C">
              <w:rPr>
                <w:rFonts w:eastAsiaTheme="minorEastAsia"/>
                <w:szCs w:val="21"/>
              </w:rPr>
              <w:t>构建</w:t>
            </w:r>
            <w:r w:rsidRPr="0098332C">
              <w:rPr>
                <w:rFonts w:eastAsiaTheme="minorEastAsia"/>
                <w:szCs w:val="21"/>
              </w:rPr>
              <w:t>REITs</w:t>
            </w:r>
            <w:r w:rsidRPr="0098332C">
              <w:rPr>
                <w:rFonts w:eastAsiaTheme="minorEastAsia"/>
                <w:szCs w:val="21"/>
              </w:rPr>
              <w:t>组合，以较小的交易成本实现较低的跟踪误差。但因特殊情况导致基金无法有效跟踪标的指数时，本基金将运用其他方法建立实际组合，力求实现跟踪误差最小化。</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业绩比较基准</w:t>
            </w:r>
          </w:p>
        </w:tc>
        <w:tc>
          <w:tcPr>
            <w:tcW w:w="6873" w:type="dxa"/>
            <w:vAlign w:val="bottom"/>
          </w:tcPr>
          <w:p w:rsidR="008A5A5D" w:rsidRPr="0098332C" w:rsidRDefault="008A5A5D">
            <w:pPr>
              <w:rPr>
                <w:rFonts w:eastAsiaTheme="minorEastAsia"/>
                <w:szCs w:val="21"/>
              </w:rPr>
            </w:pPr>
            <w:r w:rsidRPr="0098332C">
              <w:rPr>
                <w:rFonts w:eastAsiaTheme="minorEastAsia"/>
                <w:szCs w:val="21"/>
              </w:rPr>
              <w:t>95%×</w:t>
            </w:r>
            <w:r w:rsidRPr="0098332C">
              <w:rPr>
                <w:rFonts w:eastAsiaTheme="minorEastAsia"/>
                <w:szCs w:val="21"/>
              </w:rPr>
              <w:t>富时发达市场</w:t>
            </w:r>
            <w:r w:rsidRPr="0098332C">
              <w:rPr>
                <w:rFonts w:eastAsiaTheme="minorEastAsia"/>
                <w:szCs w:val="21"/>
              </w:rPr>
              <w:t>REITs</w:t>
            </w:r>
            <w:r w:rsidRPr="0098332C">
              <w:rPr>
                <w:rFonts w:eastAsiaTheme="minorEastAsia"/>
                <w:szCs w:val="21"/>
              </w:rPr>
              <w:t>指数收益率</w:t>
            </w:r>
            <w:r w:rsidRPr="0098332C">
              <w:rPr>
                <w:rFonts w:eastAsiaTheme="minorEastAsia"/>
                <w:szCs w:val="21"/>
              </w:rPr>
              <w:t>+ 5%×</w:t>
            </w:r>
            <w:r w:rsidRPr="0098332C">
              <w:rPr>
                <w:rFonts w:eastAsiaTheme="minorEastAsia"/>
                <w:szCs w:val="21"/>
              </w:rPr>
              <w:t>税后银行活期存款收益率</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风险收益特征</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为指数型基金，主要采用抽样复制法跟踪标的指数，具有与标的指数以及标的指数所代表的投资市场相似的风险收益特征，风险和收益高于货币市场基金、债券型基金和混合型基金。本基金风险收益特征会定期评估并在公司网站发布，请投资者关注。</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3" w:name="_Toc225498247"/>
      <w:bookmarkStart w:id="34" w:name="_Toc352255963"/>
      <w:bookmarkStart w:id="35" w:name="_Toc352256031"/>
      <w:bookmarkStart w:id="36" w:name="_Toc352331209"/>
      <w:bookmarkStart w:id="37" w:name="_Toc390164795"/>
      <w:r w:rsidRPr="0098332C">
        <w:rPr>
          <w:rFonts w:ascii="Times New Roman" w:eastAsiaTheme="minorEastAsia" w:hAnsi="Times New Roman"/>
          <w:kern w:val="0"/>
          <w:sz w:val="21"/>
          <w:szCs w:val="21"/>
        </w:rPr>
        <w:t xml:space="preserve">2.3 </w:t>
      </w:r>
      <w:r w:rsidRPr="0098332C">
        <w:rPr>
          <w:rFonts w:ascii="Times New Roman" w:eastAsiaTheme="minorEastAsia" w:hAnsi="Times New Roman"/>
          <w:kern w:val="0"/>
          <w:sz w:val="21"/>
          <w:szCs w:val="21"/>
        </w:rPr>
        <w:t>基金</w:t>
      </w:r>
      <w:r w:rsidRPr="0098332C">
        <w:rPr>
          <w:rFonts w:ascii="Times New Roman" w:eastAsiaTheme="minorEastAsia" w:hAnsi="Times New Roman"/>
          <w:color w:val="000000"/>
          <w:sz w:val="21"/>
          <w:szCs w:val="21"/>
        </w:rPr>
        <w:t>管理</w:t>
      </w:r>
      <w:r w:rsidRPr="0098332C">
        <w:rPr>
          <w:rFonts w:ascii="Times New Roman" w:eastAsiaTheme="minorEastAsia" w:hAnsi="Times New Roman"/>
          <w:kern w:val="0"/>
          <w:sz w:val="21"/>
          <w:szCs w:val="21"/>
        </w:rPr>
        <w:t>人和基金托管人</w:t>
      </w:r>
      <w:bookmarkEnd w:id="33"/>
      <w:bookmarkEnd w:id="34"/>
      <w:bookmarkEnd w:id="35"/>
      <w:bookmarkEnd w:id="36"/>
      <w:bookmarkEnd w:id="3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项目</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基金管理人</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基金托管人</w:t>
            </w:r>
          </w:p>
        </w:tc>
      </w:tr>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rPr>
                <w:rFonts w:eastAsiaTheme="minorEastAsia"/>
                <w:color w:val="000000"/>
                <w:kern w:val="0"/>
                <w:szCs w:val="21"/>
              </w:rPr>
            </w:pPr>
            <w:r w:rsidRPr="0098332C">
              <w:rPr>
                <w:rFonts w:eastAsiaTheme="minorEastAsia"/>
                <w:color w:val="000000"/>
                <w:kern w:val="0"/>
                <w:szCs w:val="21"/>
              </w:rPr>
              <w:t>名称</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上投摩根基金管理有限公司</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招商银行股份有限公司</w:t>
            </w:r>
          </w:p>
        </w:tc>
      </w:tr>
      <w:tr w:rsidR="008A5A5D" w:rsidRPr="0098332C" w:rsidTr="006D141C">
        <w:tc>
          <w:tcPr>
            <w:tcW w:w="1260" w:type="dxa"/>
            <w:vMerge w:val="restart"/>
            <w:vAlign w:val="center"/>
          </w:tcPr>
          <w:p w:rsidR="008A5A5D" w:rsidRPr="0098332C" w:rsidRDefault="008A5A5D">
            <w:pPr>
              <w:autoSpaceDE w:val="0"/>
              <w:autoSpaceDN w:val="0"/>
              <w:adjustRightInd w:val="0"/>
              <w:spacing w:before="29" w:line="360" w:lineRule="auto"/>
              <w:ind w:left="15"/>
              <w:rPr>
                <w:rFonts w:eastAsiaTheme="minorEastAsia"/>
                <w:color w:val="000000"/>
                <w:kern w:val="0"/>
                <w:szCs w:val="21"/>
              </w:rPr>
            </w:pPr>
            <w:r w:rsidRPr="0098332C">
              <w:rPr>
                <w:rFonts w:eastAsiaTheme="minorEastAsia"/>
                <w:color w:val="000000"/>
                <w:szCs w:val="21"/>
              </w:rPr>
              <w:t>信息披露负责人</w:t>
            </w:r>
          </w:p>
        </w:tc>
        <w:tc>
          <w:tcPr>
            <w:tcW w:w="1371" w:type="dxa"/>
            <w:vAlign w:val="center"/>
          </w:tcPr>
          <w:p w:rsidR="008A5A5D" w:rsidRPr="0098332C" w:rsidRDefault="008A5A5D">
            <w:pPr>
              <w:jc w:val="center"/>
              <w:rPr>
                <w:rFonts w:eastAsiaTheme="minorEastAsia"/>
                <w:color w:val="000000"/>
                <w:szCs w:val="21"/>
              </w:rPr>
            </w:pPr>
            <w:r w:rsidRPr="0098332C">
              <w:rPr>
                <w:rFonts w:eastAsiaTheme="minorEastAsia"/>
                <w:color w:val="000000"/>
                <w:szCs w:val="21"/>
              </w:rPr>
              <w:t>姓名</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胡迪</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张燕</w:t>
            </w:r>
          </w:p>
        </w:tc>
      </w:tr>
      <w:tr w:rsidR="008A5A5D" w:rsidRPr="0098332C" w:rsidTr="00227731">
        <w:tc>
          <w:tcPr>
            <w:tcW w:w="1260"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联系电话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021-38794888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0755-83199084</w:t>
            </w:r>
          </w:p>
        </w:tc>
      </w:tr>
      <w:tr w:rsidR="008A5A5D" w:rsidRPr="0098332C" w:rsidTr="00227731">
        <w:tc>
          <w:tcPr>
            <w:tcW w:w="1260"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电子邮箱</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services@cifm.com</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yan_zhang@cmbchina.com</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客户服务电话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400-889-4888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95555</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传真</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021-20628400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0755-83195201</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8" w:name="_Toc224618346"/>
      <w:bookmarkStart w:id="39" w:name="_Toc235605676"/>
      <w:bookmarkStart w:id="40" w:name="_Toc286929724"/>
      <w:bookmarkStart w:id="41" w:name="_Toc352255964"/>
      <w:bookmarkStart w:id="42" w:name="_Toc352256032"/>
      <w:bookmarkStart w:id="43" w:name="_Toc352331210"/>
      <w:bookmarkStart w:id="44" w:name="_Toc390164796"/>
      <w:r w:rsidRPr="0098332C">
        <w:rPr>
          <w:rFonts w:ascii="Times New Roman" w:eastAsiaTheme="minorEastAsia" w:hAnsi="Times New Roman"/>
          <w:kern w:val="0"/>
          <w:sz w:val="21"/>
          <w:szCs w:val="21"/>
        </w:rPr>
        <w:t xml:space="preserve">2.4 </w:t>
      </w:r>
      <w:r w:rsidRPr="0098332C">
        <w:rPr>
          <w:rFonts w:ascii="Times New Roman" w:eastAsiaTheme="minorEastAsia" w:hAnsi="Times New Roman"/>
          <w:kern w:val="0"/>
          <w:sz w:val="21"/>
          <w:szCs w:val="21"/>
        </w:rPr>
        <w:t>境外投资顾问和境外资产托管人</w:t>
      </w:r>
      <w:bookmarkEnd w:id="38"/>
      <w:bookmarkEnd w:id="39"/>
      <w:bookmarkEnd w:id="40"/>
      <w:bookmarkEnd w:id="41"/>
      <w:bookmarkEnd w:id="42"/>
      <w:bookmarkEnd w:id="43"/>
      <w:bookmarkEnd w:id="4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项目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境外投资顾问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境外资产托管人</w:t>
            </w:r>
          </w:p>
        </w:tc>
      </w:tr>
      <w:tr w:rsidR="008A5A5D" w:rsidRPr="0098332C" w:rsidTr="004B68EC">
        <w:trPr>
          <w:trHeight w:val="370"/>
        </w:trPr>
        <w:tc>
          <w:tcPr>
            <w:tcW w:w="900" w:type="dxa"/>
            <w:vMerge w:val="restart"/>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名称</w:t>
            </w: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英文</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The Hong Kong and Shanghai Banking Corporation Limited</w:t>
            </w:r>
          </w:p>
        </w:tc>
      </w:tr>
      <w:tr w:rsidR="008A5A5D" w:rsidRPr="0098332C" w:rsidTr="004B68EC">
        <w:trPr>
          <w:trHeight w:val="335"/>
        </w:trPr>
        <w:tc>
          <w:tcPr>
            <w:tcW w:w="900" w:type="dxa"/>
            <w:vMerge/>
            <w:vAlign w:val="center"/>
          </w:tcPr>
          <w:p w:rsidR="008A5A5D" w:rsidRPr="0098332C" w:rsidRDefault="008A5A5D" w:rsidP="004B68EC">
            <w:pPr>
              <w:jc w:val="center"/>
              <w:rPr>
                <w:rFonts w:eastAsiaTheme="minorEastAsia"/>
                <w:color w:val="000000"/>
                <w:szCs w:val="21"/>
              </w:rPr>
            </w:pP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中文</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香港上海汇丰银行有限公司</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注册地址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香港中环皇后大道中一号汇丰总行大厦</w:t>
            </w:r>
            <w:r w:rsidRPr="0098332C">
              <w:rPr>
                <w:rFonts w:eastAsiaTheme="minorEastAsia"/>
                <w:szCs w:val="21"/>
              </w:rPr>
              <w:t xml:space="preserve"> </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办公地址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香港九龙深旺道一号</w:t>
            </w:r>
            <w:r w:rsidRPr="0098332C">
              <w:rPr>
                <w:rFonts w:eastAsiaTheme="minorEastAsia"/>
                <w:szCs w:val="21"/>
              </w:rPr>
              <w:t xml:space="preserve">, </w:t>
            </w:r>
            <w:r w:rsidRPr="0098332C">
              <w:rPr>
                <w:rFonts w:eastAsiaTheme="minorEastAsia"/>
                <w:szCs w:val="21"/>
              </w:rPr>
              <w:t>汇丰中心一座六楼</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邮政编码</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注：本基金暂不设投资顾问。</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45" w:name="_Toc225498248"/>
      <w:bookmarkStart w:id="46" w:name="_Toc352255965"/>
      <w:bookmarkStart w:id="47" w:name="_Toc352256033"/>
      <w:bookmarkStart w:id="48" w:name="_Toc352331211"/>
      <w:bookmarkStart w:id="49" w:name="_Toc390164797"/>
      <w:r w:rsidRPr="0098332C">
        <w:rPr>
          <w:rFonts w:ascii="Times New Roman" w:eastAsiaTheme="minorEastAsia" w:hAnsi="Times New Roman"/>
          <w:kern w:val="0"/>
          <w:sz w:val="21"/>
          <w:szCs w:val="21"/>
        </w:rPr>
        <w:t xml:space="preserve">2.5 </w:t>
      </w:r>
      <w:r w:rsidRPr="0098332C">
        <w:rPr>
          <w:rFonts w:ascii="Times New Roman" w:eastAsiaTheme="minorEastAsia" w:hAnsi="Times New Roman"/>
          <w:kern w:val="0"/>
          <w:sz w:val="21"/>
          <w:szCs w:val="21"/>
        </w:rPr>
        <w:t>信息披露方式</w:t>
      </w:r>
      <w:bookmarkEnd w:id="45"/>
      <w:bookmarkEnd w:id="46"/>
      <w:bookmarkEnd w:id="47"/>
      <w:bookmarkEnd w:id="48"/>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登载基金</w:t>
            </w:r>
            <w:r w:rsidR="00E91D76" w:rsidRPr="0098332C">
              <w:rPr>
                <w:rFonts w:eastAsiaTheme="minorEastAsia"/>
                <w:color w:val="000000"/>
                <w:szCs w:val="21"/>
              </w:rPr>
              <w:t>半</w:t>
            </w:r>
            <w:r w:rsidRPr="0098332C">
              <w:rPr>
                <w:rFonts w:eastAsiaTheme="minorEastAsia"/>
                <w:color w:val="000000"/>
                <w:szCs w:val="21"/>
              </w:rPr>
              <w:t>年度报告正文的管理人互联网网址</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http://www.cifm.com</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w:t>
            </w:r>
            <w:r w:rsidR="00E91D76" w:rsidRPr="0098332C">
              <w:rPr>
                <w:rFonts w:eastAsiaTheme="minorEastAsia"/>
                <w:color w:val="000000"/>
                <w:szCs w:val="21"/>
              </w:rPr>
              <w:t>半</w:t>
            </w:r>
            <w:r w:rsidRPr="0098332C">
              <w:rPr>
                <w:rFonts w:eastAsiaTheme="minorEastAsia"/>
                <w:color w:val="000000"/>
                <w:szCs w:val="21"/>
              </w:rPr>
              <w:t>年度报告备置地点</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基金管理人及基金托管人住所</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50" w:name="_Toc352255967"/>
      <w:bookmarkStart w:id="51" w:name="_Toc352256035"/>
      <w:bookmarkStart w:id="52" w:name="_Toc352331213"/>
      <w:bookmarkStart w:id="53" w:name="_Toc390164799"/>
      <w:r w:rsidRPr="0098332C">
        <w:rPr>
          <w:rFonts w:eastAsiaTheme="minorEastAsia"/>
          <w:b/>
          <w:bCs/>
          <w:sz w:val="21"/>
          <w:szCs w:val="21"/>
          <w:lang w:val="en-US"/>
        </w:rPr>
        <w:t>3</w:t>
      </w:r>
      <w:r w:rsidR="00937FC6" w:rsidRPr="0098332C">
        <w:rPr>
          <w:rFonts w:eastAsiaTheme="minorEastAsia"/>
          <w:b/>
          <w:bCs/>
          <w:sz w:val="21"/>
          <w:szCs w:val="21"/>
          <w:lang w:val="en-US"/>
        </w:rPr>
        <w:t xml:space="preserve">  </w:t>
      </w:r>
      <w:r w:rsidR="004C753B" w:rsidRPr="0098332C">
        <w:rPr>
          <w:rFonts w:eastAsiaTheme="minorEastAsia"/>
          <w:b/>
          <w:bCs/>
          <w:sz w:val="21"/>
          <w:szCs w:val="21"/>
          <w:lang w:val="en-US"/>
        </w:rPr>
        <w:t>主要财务指标和</w:t>
      </w:r>
      <w:r w:rsidRPr="0098332C">
        <w:rPr>
          <w:rFonts w:eastAsiaTheme="minorEastAsia"/>
          <w:b/>
          <w:bCs/>
          <w:sz w:val="21"/>
          <w:szCs w:val="21"/>
          <w:lang w:val="en-US"/>
        </w:rPr>
        <w:t>基金净值表现</w:t>
      </w:r>
      <w:bookmarkEnd w:id="50"/>
      <w:bookmarkEnd w:id="51"/>
      <w:bookmarkEnd w:id="52"/>
      <w:bookmarkEnd w:id="53"/>
    </w:p>
    <w:p w:rsidR="008A5A5D" w:rsidRPr="0098332C" w:rsidRDefault="008A5A5D" w:rsidP="00635EA5">
      <w:pPr>
        <w:pStyle w:val="20"/>
        <w:spacing w:before="0" w:after="0"/>
        <w:rPr>
          <w:rFonts w:ascii="Times New Roman" w:eastAsiaTheme="minorEastAsia" w:hAnsi="Times New Roman"/>
          <w:kern w:val="0"/>
          <w:sz w:val="21"/>
          <w:szCs w:val="21"/>
        </w:rPr>
      </w:pPr>
      <w:bookmarkStart w:id="54" w:name="_Toc286996129"/>
      <w:bookmarkStart w:id="55" w:name="_Toc352255968"/>
      <w:bookmarkStart w:id="56" w:name="_Toc352256036"/>
      <w:bookmarkStart w:id="57" w:name="_Toc352331214"/>
      <w:bookmarkStart w:id="58" w:name="_Toc390164800"/>
      <w:r w:rsidRPr="0098332C">
        <w:rPr>
          <w:rFonts w:ascii="Times New Roman" w:eastAsiaTheme="minorEastAsia" w:hAnsi="Times New Roman"/>
          <w:kern w:val="0"/>
          <w:sz w:val="21"/>
          <w:szCs w:val="21"/>
        </w:rPr>
        <w:t xml:space="preserve">3.1 </w:t>
      </w:r>
      <w:r w:rsidRPr="0098332C">
        <w:rPr>
          <w:rFonts w:ascii="Times New Roman" w:eastAsiaTheme="minorEastAsia" w:hAnsi="Times New Roman"/>
          <w:kern w:val="0"/>
          <w:sz w:val="21"/>
          <w:szCs w:val="21"/>
        </w:rPr>
        <w:t>主要会计数据和财务指标</w:t>
      </w:r>
      <w:bookmarkEnd w:id="54"/>
      <w:bookmarkEnd w:id="55"/>
      <w:bookmarkEnd w:id="56"/>
      <w:bookmarkEnd w:id="57"/>
      <w:bookmarkEnd w:id="58"/>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98332C" w:rsidTr="00862636">
        <w:trPr>
          <w:trHeight w:val="487"/>
        </w:trPr>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3.1.1 </w:t>
            </w:r>
            <w:r w:rsidRPr="0098332C">
              <w:rPr>
                <w:rFonts w:eastAsiaTheme="minorEastAsia"/>
                <w:b/>
                <w:szCs w:val="21"/>
              </w:rPr>
              <w:t>期间数据和指标</w:t>
            </w:r>
            <w:r w:rsidR="003A6B26" w:rsidRPr="0098332C">
              <w:rPr>
                <w:rFonts w:eastAsiaTheme="minorEastAsia"/>
                <w:szCs w:val="21"/>
              </w:rPr>
              <w:t xml:space="preserve"> </w:t>
            </w:r>
          </w:p>
        </w:tc>
        <w:tc>
          <w:tcPr>
            <w:tcW w:w="4744" w:type="dxa"/>
            <w:vAlign w:val="center"/>
          </w:tcPr>
          <w:p w:rsidR="008A5A5D" w:rsidRPr="0098332C" w:rsidRDefault="008A5A5D" w:rsidP="00EF3A81">
            <w:pPr>
              <w:jc w:val="center"/>
              <w:rPr>
                <w:rFonts w:eastAsiaTheme="minorEastAsia"/>
                <w:b/>
                <w:szCs w:val="21"/>
              </w:rPr>
            </w:pPr>
            <w:r w:rsidRPr="0098332C">
              <w:rPr>
                <w:rFonts w:eastAsiaTheme="minorEastAsia"/>
                <w:b/>
                <w:szCs w:val="21"/>
              </w:rPr>
              <w:t>报告期（</w:t>
            </w:r>
            <w:r w:rsidRPr="0098332C">
              <w:rPr>
                <w:rFonts w:eastAsiaTheme="minorEastAsia"/>
                <w:b/>
                <w:szCs w:val="21"/>
              </w:rPr>
              <w:t>2019</w:t>
            </w:r>
            <w:r w:rsidRPr="0098332C">
              <w:rPr>
                <w:rFonts w:eastAsiaTheme="minorEastAsia"/>
                <w:b/>
                <w:szCs w:val="21"/>
              </w:rPr>
              <w:t>年</w:t>
            </w:r>
            <w:r w:rsidRPr="0098332C">
              <w:rPr>
                <w:rFonts w:eastAsiaTheme="minorEastAsia"/>
                <w:b/>
                <w:szCs w:val="21"/>
              </w:rPr>
              <w:t>1</w:t>
            </w:r>
            <w:r w:rsidRPr="0098332C">
              <w:rPr>
                <w:rFonts w:eastAsiaTheme="minorEastAsia"/>
                <w:b/>
                <w:szCs w:val="21"/>
              </w:rPr>
              <w:t>月</w:t>
            </w:r>
            <w:r w:rsidRPr="0098332C">
              <w:rPr>
                <w:rFonts w:eastAsiaTheme="minorEastAsia"/>
                <w:b/>
                <w:szCs w:val="21"/>
              </w:rPr>
              <w:t>1</w:t>
            </w:r>
            <w:r w:rsidRPr="0098332C">
              <w:rPr>
                <w:rFonts w:eastAsiaTheme="minorEastAsia"/>
                <w:b/>
                <w:szCs w:val="21"/>
              </w:rPr>
              <w:t>日</w:t>
            </w:r>
            <w:r w:rsidR="00EF3A81" w:rsidRPr="0098332C">
              <w:rPr>
                <w:rFonts w:eastAsiaTheme="minorEastAsia"/>
                <w:b/>
                <w:szCs w:val="21"/>
              </w:rPr>
              <w:t>至</w:t>
            </w:r>
            <w:r w:rsidRPr="0098332C">
              <w:rPr>
                <w:rFonts w:eastAsiaTheme="minorEastAsia"/>
                <w:b/>
                <w:szCs w:val="21"/>
              </w:rPr>
              <w:t>2019</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本期已实现收益</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6,794,316.03</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24,329,146.60</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加权平均基金份额本期利润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0.1663</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w:t>
            </w:r>
            <w:r w:rsidR="008E21BC" w:rsidRPr="0098332C">
              <w:rPr>
                <w:rFonts w:eastAsiaTheme="minorEastAsia"/>
                <w:szCs w:val="21"/>
              </w:rPr>
              <w:t>基金份额</w:t>
            </w:r>
            <w:r w:rsidRPr="0098332C">
              <w:rPr>
                <w:rFonts w:eastAsiaTheme="minorEastAsia"/>
                <w:szCs w:val="21"/>
              </w:rPr>
              <w:t>净值增长率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14.52%</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3.1.2 </w:t>
            </w:r>
            <w:r w:rsidRPr="0098332C">
              <w:rPr>
                <w:rFonts w:eastAsiaTheme="minorEastAsia"/>
                <w:b/>
                <w:szCs w:val="21"/>
              </w:rPr>
              <w:t>期末数据和指标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(2019</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期末可供分配基金份额利润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0.0864</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期末基金资产净值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176,256,137.08</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期末基金份额净值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1.2256</w:t>
            </w:r>
          </w:p>
        </w:tc>
      </w:tr>
    </w:tbl>
    <w:p w:rsidR="00122FB4" w:rsidRDefault="003502B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注：本期已实现收益指基金本期利息收入、投资收益、其他收入（不含公允价值变动收益）扣除相关费用后的余额，本期利润为本期已实现收益加上本期公允价值变动收益。</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上述基金业绩指标不包括持有人认购或交易基金的各项费用，计入费用后实际收益水平要低于所列数字。</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9" w:name="_Toc225498252"/>
      <w:bookmarkStart w:id="60" w:name="_Toc352255969"/>
      <w:bookmarkStart w:id="61" w:name="_Toc352256037"/>
      <w:bookmarkStart w:id="62" w:name="_Toc352331215"/>
      <w:bookmarkStart w:id="63" w:name="_Toc390164801"/>
      <w:r w:rsidRPr="0098332C">
        <w:rPr>
          <w:rFonts w:ascii="Times New Roman" w:eastAsiaTheme="minorEastAsia" w:hAnsi="Times New Roman"/>
          <w:kern w:val="0"/>
          <w:sz w:val="21"/>
          <w:szCs w:val="21"/>
        </w:rPr>
        <w:t xml:space="preserve">3.2 </w:t>
      </w:r>
      <w:r w:rsidRPr="0098332C">
        <w:rPr>
          <w:rFonts w:ascii="Times New Roman" w:eastAsiaTheme="minorEastAsia" w:hAnsi="Times New Roman"/>
          <w:kern w:val="0"/>
          <w:sz w:val="21"/>
          <w:szCs w:val="21"/>
        </w:rPr>
        <w:t>基金净值表现</w:t>
      </w:r>
      <w:bookmarkEnd w:id="59"/>
      <w:bookmarkEnd w:id="60"/>
      <w:bookmarkEnd w:id="61"/>
      <w:bookmarkEnd w:id="62"/>
      <w:bookmarkEnd w:id="63"/>
    </w:p>
    <w:p w:rsidR="008A5A5D" w:rsidRPr="0098332C" w:rsidRDefault="008A5A5D" w:rsidP="00635EA5">
      <w:pPr>
        <w:autoSpaceDE w:val="0"/>
        <w:autoSpaceDN w:val="0"/>
        <w:adjustRightInd w:val="0"/>
        <w:spacing w:line="360" w:lineRule="auto"/>
        <w:jc w:val="left"/>
        <w:rPr>
          <w:rFonts w:eastAsiaTheme="minorEastAsia"/>
          <w:b/>
          <w:color w:val="000000"/>
          <w:kern w:val="0"/>
          <w:szCs w:val="21"/>
        </w:rPr>
      </w:pPr>
      <w:r w:rsidRPr="0098332C">
        <w:rPr>
          <w:rFonts w:eastAsiaTheme="minorEastAsia"/>
          <w:b/>
          <w:color w:val="000000"/>
          <w:kern w:val="0"/>
          <w:szCs w:val="21"/>
        </w:rPr>
        <w:t xml:space="preserve">3.2.1 </w:t>
      </w:r>
      <w:r w:rsidRPr="0098332C">
        <w:rPr>
          <w:rFonts w:eastAsiaTheme="minorEastAsia"/>
          <w:b/>
          <w:color w:val="000000"/>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1226"/>
        <w:gridCol w:w="1203"/>
        <w:gridCol w:w="1226"/>
        <w:gridCol w:w="1204"/>
        <w:gridCol w:w="1204"/>
        <w:gridCol w:w="1204"/>
      </w:tblGrid>
      <w:tr w:rsidR="008A5A5D" w:rsidRPr="0098332C" w:rsidTr="00862636">
        <w:tc>
          <w:tcPr>
            <w:tcW w:w="1323"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阶段</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w:t>
            </w:r>
            <w:r w:rsidRPr="0098332C">
              <w:rPr>
                <w:rFonts w:ascii="宋体" w:hAnsi="宋体" w:cs="宋体" w:hint="eastAsia"/>
                <w:color w:val="000000"/>
                <w:szCs w:val="21"/>
              </w:rPr>
              <w:t>①</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份额净值增长率标准差</w:t>
            </w:r>
            <w:r w:rsidRPr="0098332C">
              <w:rPr>
                <w:rFonts w:ascii="宋体" w:hAnsi="宋体" w:cs="宋体" w:hint="eastAsia"/>
                <w:color w:val="000000"/>
                <w:szCs w:val="21"/>
              </w:rPr>
              <w:t>②</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业绩比较基准收益率标准差</w:t>
            </w:r>
            <w:r w:rsidRPr="0098332C">
              <w:rPr>
                <w:rFonts w:ascii="宋体" w:hAnsi="宋体" w:cs="宋体" w:hint="eastAsia"/>
                <w:color w:val="000000"/>
                <w:szCs w:val="21"/>
              </w:rPr>
              <w:t>④</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①</w:t>
            </w:r>
            <w:r w:rsidRPr="0098332C">
              <w:rPr>
                <w:rFonts w:eastAsiaTheme="minorEastAsia"/>
                <w:color w:val="000000"/>
                <w:szCs w:val="21"/>
              </w:rPr>
              <w:t>－</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②</w:t>
            </w:r>
            <w:r w:rsidRPr="0098332C">
              <w:rPr>
                <w:rFonts w:eastAsiaTheme="minorEastAsia"/>
                <w:color w:val="000000"/>
                <w:szCs w:val="21"/>
              </w:rPr>
              <w:t>－</w:t>
            </w:r>
            <w:r w:rsidRPr="0098332C">
              <w:rPr>
                <w:rFonts w:ascii="宋体" w:hAnsi="宋体" w:cs="宋体" w:hint="eastAsia"/>
                <w:color w:val="000000"/>
                <w:szCs w:val="21"/>
              </w:rPr>
              <w:t>④</w:t>
            </w:r>
          </w:p>
        </w:tc>
      </w:tr>
      <w:tr w:rsidR="00122FB4">
        <w:tc>
          <w:tcPr>
            <w:tcW w:w="0" w:type="auto"/>
            <w:vAlign w:val="center"/>
          </w:tcPr>
          <w:p w:rsidR="00122FB4" w:rsidRDefault="003502BE">
            <w:pPr>
              <w:jc w:val="left"/>
            </w:pPr>
            <w:r>
              <w:rPr>
                <w:rFonts w:eastAsiaTheme="minorEastAsia"/>
                <w:color w:val="000000"/>
                <w:szCs w:val="21"/>
              </w:rPr>
              <w:t>过去一个月</w:t>
            </w:r>
          </w:p>
        </w:tc>
        <w:tc>
          <w:tcPr>
            <w:tcW w:w="0" w:type="auto"/>
            <w:vAlign w:val="center"/>
          </w:tcPr>
          <w:p w:rsidR="00122FB4" w:rsidRDefault="003502BE">
            <w:pPr>
              <w:jc w:val="center"/>
            </w:pPr>
            <w:r>
              <w:rPr>
                <w:rFonts w:eastAsiaTheme="minorEastAsia"/>
                <w:color w:val="000000"/>
                <w:szCs w:val="21"/>
              </w:rPr>
              <w:t>1.38%</w:t>
            </w:r>
          </w:p>
        </w:tc>
        <w:tc>
          <w:tcPr>
            <w:tcW w:w="0" w:type="auto"/>
            <w:vAlign w:val="center"/>
          </w:tcPr>
          <w:p w:rsidR="00122FB4" w:rsidRDefault="003502BE">
            <w:pPr>
              <w:jc w:val="center"/>
            </w:pPr>
            <w:r>
              <w:rPr>
                <w:rFonts w:eastAsiaTheme="minorEastAsia"/>
                <w:color w:val="000000"/>
                <w:szCs w:val="21"/>
              </w:rPr>
              <w:t>0.6</w:t>
            </w:r>
            <w:r w:rsidR="00D4271F">
              <w:rPr>
                <w:rFonts w:eastAsiaTheme="minorEastAsia" w:hint="eastAsia"/>
                <w:color w:val="000000"/>
                <w:szCs w:val="21"/>
              </w:rPr>
              <w:t>8</w:t>
            </w:r>
            <w:r>
              <w:rPr>
                <w:rFonts w:eastAsiaTheme="minorEastAsia"/>
                <w:color w:val="000000"/>
                <w:szCs w:val="21"/>
              </w:rPr>
              <w:t>%</w:t>
            </w:r>
          </w:p>
        </w:tc>
        <w:tc>
          <w:tcPr>
            <w:tcW w:w="0" w:type="auto"/>
            <w:vAlign w:val="center"/>
          </w:tcPr>
          <w:p w:rsidR="00122FB4" w:rsidRDefault="003502BE">
            <w:pPr>
              <w:jc w:val="center"/>
            </w:pPr>
            <w:r>
              <w:rPr>
                <w:rFonts w:eastAsiaTheme="minorEastAsia"/>
                <w:color w:val="000000"/>
                <w:szCs w:val="21"/>
              </w:rPr>
              <w:t>0.89%</w:t>
            </w:r>
          </w:p>
        </w:tc>
        <w:tc>
          <w:tcPr>
            <w:tcW w:w="0" w:type="auto"/>
            <w:vAlign w:val="center"/>
          </w:tcPr>
          <w:p w:rsidR="00122FB4" w:rsidRDefault="003502BE">
            <w:pPr>
              <w:jc w:val="center"/>
            </w:pPr>
            <w:r>
              <w:rPr>
                <w:rFonts w:eastAsiaTheme="minorEastAsia"/>
                <w:color w:val="000000"/>
                <w:szCs w:val="21"/>
              </w:rPr>
              <w:t>0.66%</w:t>
            </w:r>
          </w:p>
        </w:tc>
        <w:tc>
          <w:tcPr>
            <w:tcW w:w="0" w:type="auto"/>
            <w:vAlign w:val="center"/>
          </w:tcPr>
          <w:p w:rsidR="00122FB4" w:rsidRDefault="003502BE">
            <w:pPr>
              <w:jc w:val="center"/>
            </w:pPr>
            <w:r>
              <w:rPr>
                <w:rFonts w:eastAsiaTheme="minorEastAsia"/>
                <w:color w:val="000000"/>
                <w:szCs w:val="21"/>
              </w:rPr>
              <w:t>0.49%</w:t>
            </w:r>
          </w:p>
        </w:tc>
        <w:tc>
          <w:tcPr>
            <w:tcW w:w="0" w:type="auto"/>
            <w:vAlign w:val="center"/>
          </w:tcPr>
          <w:p w:rsidR="00122FB4" w:rsidRDefault="003502BE">
            <w:pPr>
              <w:jc w:val="center"/>
            </w:pPr>
            <w:r>
              <w:rPr>
                <w:rFonts w:eastAsiaTheme="minorEastAsia"/>
                <w:color w:val="000000"/>
                <w:szCs w:val="21"/>
              </w:rPr>
              <w:t>0.0</w:t>
            </w:r>
            <w:r w:rsidR="00D4271F">
              <w:rPr>
                <w:rFonts w:eastAsiaTheme="minorEastAsia" w:hint="eastAsia"/>
                <w:color w:val="000000"/>
                <w:szCs w:val="21"/>
              </w:rPr>
              <w:t>2</w:t>
            </w:r>
            <w:r>
              <w:rPr>
                <w:rFonts w:eastAsiaTheme="minorEastAsia"/>
                <w:color w:val="000000"/>
                <w:szCs w:val="21"/>
              </w:rPr>
              <w:t>%</w:t>
            </w:r>
          </w:p>
        </w:tc>
      </w:tr>
      <w:tr w:rsidR="00122FB4">
        <w:tc>
          <w:tcPr>
            <w:tcW w:w="0" w:type="auto"/>
            <w:vAlign w:val="center"/>
          </w:tcPr>
          <w:p w:rsidR="00122FB4" w:rsidRDefault="003502BE">
            <w:pPr>
              <w:jc w:val="left"/>
            </w:pPr>
            <w:r>
              <w:rPr>
                <w:rFonts w:eastAsiaTheme="minorEastAsia"/>
                <w:color w:val="000000"/>
                <w:szCs w:val="21"/>
              </w:rPr>
              <w:t>过去三个月</w:t>
            </w:r>
          </w:p>
        </w:tc>
        <w:tc>
          <w:tcPr>
            <w:tcW w:w="0" w:type="auto"/>
            <w:vAlign w:val="center"/>
          </w:tcPr>
          <w:p w:rsidR="00122FB4" w:rsidRDefault="003502BE">
            <w:pPr>
              <w:jc w:val="center"/>
            </w:pPr>
            <w:r>
              <w:rPr>
                <w:rFonts w:eastAsiaTheme="minorEastAsia"/>
                <w:color w:val="000000"/>
                <w:szCs w:val="21"/>
              </w:rPr>
              <w:t>2.78%</w:t>
            </w:r>
          </w:p>
        </w:tc>
        <w:tc>
          <w:tcPr>
            <w:tcW w:w="0" w:type="auto"/>
            <w:vAlign w:val="center"/>
          </w:tcPr>
          <w:p w:rsidR="00122FB4" w:rsidRDefault="003502BE">
            <w:pPr>
              <w:jc w:val="center"/>
            </w:pPr>
            <w:r>
              <w:rPr>
                <w:rFonts w:eastAsiaTheme="minorEastAsia"/>
                <w:color w:val="000000"/>
                <w:szCs w:val="21"/>
              </w:rPr>
              <w:t>0.68%</w:t>
            </w:r>
          </w:p>
        </w:tc>
        <w:tc>
          <w:tcPr>
            <w:tcW w:w="0" w:type="auto"/>
            <w:vAlign w:val="center"/>
          </w:tcPr>
          <w:p w:rsidR="00122FB4" w:rsidRDefault="003502BE">
            <w:pPr>
              <w:jc w:val="center"/>
            </w:pPr>
            <w:r>
              <w:rPr>
                <w:rFonts w:eastAsiaTheme="minorEastAsia"/>
                <w:color w:val="000000"/>
                <w:szCs w:val="21"/>
              </w:rPr>
              <w:t>2.14%</w:t>
            </w:r>
          </w:p>
        </w:tc>
        <w:tc>
          <w:tcPr>
            <w:tcW w:w="0" w:type="auto"/>
            <w:vAlign w:val="center"/>
          </w:tcPr>
          <w:p w:rsidR="00122FB4" w:rsidRDefault="003502BE">
            <w:pPr>
              <w:jc w:val="center"/>
            </w:pPr>
            <w:r>
              <w:rPr>
                <w:rFonts w:eastAsiaTheme="minorEastAsia"/>
                <w:color w:val="000000"/>
                <w:szCs w:val="21"/>
              </w:rPr>
              <w:t>0.65%</w:t>
            </w:r>
          </w:p>
        </w:tc>
        <w:tc>
          <w:tcPr>
            <w:tcW w:w="0" w:type="auto"/>
            <w:vAlign w:val="center"/>
          </w:tcPr>
          <w:p w:rsidR="00122FB4" w:rsidRDefault="003502BE">
            <w:pPr>
              <w:jc w:val="center"/>
            </w:pPr>
            <w:r>
              <w:rPr>
                <w:rFonts w:eastAsiaTheme="minorEastAsia"/>
                <w:color w:val="000000"/>
                <w:szCs w:val="21"/>
              </w:rPr>
              <w:t>0.64%</w:t>
            </w:r>
          </w:p>
        </w:tc>
        <w:tc>
          <w:tcPr>
            <w:tcW w:w="0" w:type="auto"/>
            <w:vAlign w:val="center"/>
          </w:tcPr>
          <w:p w:rsidR="00122FB4" w:rsidRDefault="003502BE">
            <w:pPr>
              <w:jc w:val="center"/>
            </w:pPr>
            <w:r>
              <w:rPr>
                <w:rFonts w:eastAsiaTheme="minorEastAsia"/>
                <w:color w:val="000000"/>
                <w:szCs w:val="21"/>
              </w:rPr>
              <w:t>0.03%</w:t>
            </w:r>
          </w:p>
        </w:tc>
      </w:tr>
      <w:tr w:rsidR="00122FB4">
        <w:tc>
          <w:tcPr>
            <w:tcW w:w="0" w:type="auto"/>
            <w:vAlign w:val="center"/>
          </w:tcPr>
          <w:p w:rsidR="00122FB4" w:rsidRDefault="003502BE">
            <w:pPr>
              <w:jc w:val="left"/>
            </w:pPr>
            <w:r>
              <w:rPr>
                <w:rFonts w:eastAsiaTheme="minorEastAsia"/>
                <w:color w:val="000000"/>
                <w:szCs w:val="21"/>
              </w:rPr>
              <w:t>过去六个月</w:t>
            </w:r>
          </w:p>
        </w:tc>
        <w:tc>
          <w:tcPr>
            <w:tcW w:w="0" w:type="auto"/>
            <w:vAlign w:val="center"/>
          </w:tcPr>
          <w:p w:rsidR="00122FB4" w:rsidRDefault="003502BE">
            <w:pPr>
              <w:jc w:val="center"/>
            </w:pPr>
            <w:r>
              <w:rPr>
                <w:rFonts w:eastAsiaTheme="minorEastAsia"/>
                <w:color w:val="000000"/>
                <w:szCs w:val="21"/>
              </w:rPr>
              <w:t>14.52%</w:t>
            </w:r>
          </w:p>
        </w:tc>
        <w:tc>
          <w:tcPr>
            <w:tcW w:w="0" w:type="auto"/>
            <w:vAlign w:val="center"/>
          </w:tcPr>
          <w:p w:rsidR="00122FB4" w:rsidRDefault="003502BE">
            <w:pPr>
              <w:jc w:val="center"/>
            </w:pPr>
            <w:r>
              <w:rPr>
                <w:rFonts w:eastAsiaTheme="minorEastAsia"/>
                <w:color w:val="000000"/>
                <w:szCs w:val="21"/>
              </w:rPr>
              <w:t>0.67%</w:t>
            </w:r>
          </w:p>
        </w:tc>
        <w:tc>
          <w:tcPr>
            <w:tcW w:w="0" w:type="auto"/>
            <w:vAlign w:val="center"/>
          </w:tcPr>
          <w:p w:rsidR="00122FB4" w:rsidRDefault="003502BE">
            <w:pPr>
              <w:jc w:val="center"/>
            </w:pPr>
            <w:r>
              <w:rPr>
                <w:rFonts w:eastAsiaTheme="minorEastAsia"/>
                <w:color w:val="000000"/>
                <w:szCs w:val="21"/>
              </w:rPr>
              <w:t>13.25%</w:t>
            </w:r>
          </w:p>
        </w:tc>
        <w:tc>
          <w:tcPr>
            <w:tcW w:w="0" w:type="auto"/>
            <w:vAlign w:val="center"/>
          </w:tcPr>
          <w:p w:rsidR="00122FB4" w:rsidRDefault="003502BE">
            <w:pPr>
              <w:jc w:val="center"/>
            </w:pPr>
            <w:r>
              <w:rPr>
                <w:rFonts w:eastAsiaTheme="minorEastAsia"/>
                <w:color w:val="000000"/>
                <w:szCs w:val="21"/>
              </w:rPr>
              <w:t>0.63%</w:t>
            </w:r>
          </w:p>
        </w:tc>
        <w:tc>
          <w:tcPr>
            <w:tcW w:w="0" w:type="auto"/>
            <w:vAlign w:val="center"/>
          </w:tcPr>
          <w:p w:rsidR="00122FB4" w:rsidRDefault="003502BE">
            <w:pPr>
              <w:jc w:val="center"/>
            </w:pPr>
            <w:r>
              <w:rPr>
                <w:rFonts w:eastAsiaTheme="minorEastAsia"/>
                <w:color w:val="000000"/>
                <w:szCs w:val="21"/>
              </w:rPr>
              <w:t>1.27%</w:t>
            </w:r>
          </w:p>
        </w:tc>
        <w:tc>
          <w:tcPr>
            <w:tcW w:w="0" w:type="auto"/>
            <w:vAlign w:val="center"/>
          </w:tcPr>
          <w:p w:rsidR="00122FB4" w:rsidRDefault="003502BE">
            <w:pPr>
              <w:jc w:val="center"/>
            </w:pPr>
            <w:r>
              <w:rPr>
                <w:rFonts w:eastAsiaTheme="minorEastAsia"/>
                <w:color w:val="000000"/>
                <w:szCs w:val="21"/>
              </w:rPr>
              <w:t>0.04%</w:t>
            </w:r>
          </w:p>
        </w:tc>
      </w:tr>
      <w:tr w:rsidR="00122FB4">
        <w:tc>
          <w:tcPr>
            <w:tcW w:w="0" w:type="auto"/>
            <w:vAlign w:val="center"/>
          </w:tcPr>
          <w:p w:rsidR="00122FB4" w:rsidRDefault="003502BE">
            <w:pPr>
              <w:jc w:val="left"/>
            </w:pPr>
            <w:r>
              <w:rPr>
                <w:rFonts w:eastAsiaTheme="minorEastAsia"/>
                <w:color w:val="000000"/>
                <w:szCs w:val="21"/>
              </w:rPr>
              <w:t>过去一年</w:t>
            </w:r>
          </w:p>
        </w:tc>
        <w:tc>
          <w:tcPr>
            <w:tcW w:w="0" w:type="auto"/>
            <w:vAlign w:val="center"/>
          </w:tcPr>
          <w:p w:rsidR="00122FB4" w:rsidRDefault="003502BE">
            <w:pPr>
              <w:jc w:val="center"/>
            </w:pPr>
            <w:r>
              <w:rPr>
                <w:rFonts w:eastAsiaTheme="minorEastAsia"/>
                <w:color w:val="000000"/>
                <w:szCs w:val="21"/>
              </w:rPr>
              <w:t>12.90%</w:t>
            </w:r>
          </w:p>
        </w:tc>
        <w:tc>
          <w:tcPr>
            <w:tcW w:w="0" w:type="auto"/>
            <w:vAlign w:val="center"/>
          </w:tcPr>
          <w:p w:rsidR="00122FB4" w:rsidRDefault="003502BE">
            <w:pPr>
              <w:jc w:val="center"/>
            </w:pPr>
            <w:r>
              <w:rPr>
                <w:rFonts w:eastAsiaTheme="minorEastAsia"/>
                <w:color w:val="000000"/>
                <w:szCs w:val="21"/>
              </w:rPr>
              <w:t>0.76%</w:t>
            </w:r>
          </w:p>
        </w:tc>
        <w:tc>
          <w:tcPr>
            <w:tcW w:w="0" w:type="auto"/>
            <w:vAlign w:val="center"/>
          </w:tcPr>
          <w:p w:rsidR="00122FB4" w:rsidRDefault="003502BE">
            <w:pPr>
              <w:jc w:val="center"/>
            </w:pPr>
            <w:r>
              <w:rPr>
                <w:rFonts w:eastAsiaTheme="minorEastAsia"/>
                <w:color w:val="000000"/>
                <w:szCs w:val="21"/>
              </w:rPr>
              <w:t>9.13%</w:t>
            </w:r>
          </w:p>
        </w:tc>
        <w:tc>
          <w:tcPr>
            <w:tcW w:w="0" w:type="auto"/>
            <w:vAlign w:val="center"/>
          </w:tcPr>
          <w:p w:rsidR="00122FB4" w:rsidRDefault="003502BE">
            <w:pPr>
              <w:jc w:val="center"/>
            </w:pPr>
            <w:r>
              <w:rPr>
                <w:rFonts w:eastAsiaTheme="minorEastAsia"/>
                <w:color w:val="000000"/>
                <w:szCs w:val="21"/>
              </w:rPr>
              <w:t>0.71%</w:t>
            </w:r>
          </w:p>
        </w:tc>
        <w:tc>
          <w:tcPr>
            <w:tcW w:w="0" w:type="auto"/>
            <w:vAlign w:val="center"/>
          </w:tcPr>
          <w:p w:rsidR="00122FB4" w:rsidRDefault="003502BE">
            <w:pPr>
              <w:jc w:val="center"/>
            </w:pPr>
            <w:r>
              <w:rPr>
                <w:rFonts w:eastAsiaTheme="minorEastAsia"/>
                <w:color w:val="000000"/>
                <w:szCs w:val="21"/>
              </w:rPr>
              <w:t>3.77%</w:t>
            </w:r>
          </w:p>
        </w:tc>
        <w:tc>
          <w:tcPr>
            <w:tcW w:w="0" w:type="auto"/>
            <w:vAlign w:val="center"/>
          </w:tcPr>
          <w:p w:rsidR="00122FB4" w:rsidRDefault="003502BE">
            <w:pPr>
              <w:jc w:val="center"/>
            </w:pPr>
            <w:r>
              <w:rPr>
                <w:rFonts w:eastAsiaTheme="minorEastAsia"/>
                <w:color w:val="000000"/>
                <w:szCs w:val="21"/>
              </w:rPr>
              <w:t>0.05%</w:t>
            </w:r>
          </w:p>
        </w:tc>
      </w:tr>
      <w:tr w:rsidR="00122FB4">
        <w:tc>
          <w:tcPr>
            <w:tcW w:w="0" w:type="auto"/>
            <w:vAlign w:val="center"/>
          </w:tcPr>
          <w:p w:rsidR="00122FB4" w:rsidRDefault="003502BE">
            <w:pPr>
              <w:jc w:val="left"/>
            </w:pPr>
            <w:r>
              <w:rPr>
                <w:rFonts w:eastAsiaTheme="minorEastAsia"/>
                <w:color w:val="000000"/>
                <w:szCs w:val="21"/>
              </w:rPr>
              <w:t>过去三年</w:t>
            </w:r>
          </w:p>
        </w:tc>
        <w:tc>
          <w:tcPr>
            <w:tcW w:w="0" w:type="auto"/>
            <w:vAlign w:val="center"/>
          </w:tcPr>
          <w:p w:rsidR="00122FB4" w:rsidRDefault="003502BE">
            <w:pPr>
              <w:jc w:val="center"/>
            </w:pPr>
            <w:r>
              <w:rPr>
                <w:rFonts w:eastAsiaTheme="minorEastAsia"/>
                <w:color w:val="000000"/>
                <w:szCs w:val="21"/>
              </w:rPr>
              <w:t>-</w:t>
            </w:r>
          </w:p>
        </w:tc>
        <w:tc>
          <w:tcPr>
            <w:tcW w:w="0" w:type="auto"/>
            <w:vAlign w:val="center"/>
          </w:tcPr>
          <w:p w:rsidR="00122FB4" w:rsidRDefault="003502BE">
            <w:pPr>
              <w:jc w:val="center"/>
            </w:pPr>
            <w:r>
              <w:rPr>
                <w:rFonts w:eastAsiaTheme="minorEastAsia"/>
                <w:color w:val="000000"/>
                <w:szCs w:val="21"/>
              </w:rPr>
              <w:t>-</w:t>
            </w:r>
          </w:p>
        </w:tc>
        <w:tc>
          <w:tcPr>
            <w:tcW w:w="0" w:type="auto"/>
            <w:vAlign w:val="center"/>
          </w:tcPr>
          <w:p w:rsidR="00122FB4" w:rsidRDefault="003502BE">
            <w:pPr>
              <w:jc w:val="center"/>
            </w:pPr>
            <w:r>
              <w:rPr>
                <w:rFonts w:eastAsiaTheme="minorEastAsia"/>
                <w:color w:val="000000"/>
                <w:szCs w:val="21"/>
              </w:rPr>
              <w:t>-</w:t>
            </w:r>
          </w:p>
        </w:tc>
        <w:tc>
          <w:tcPr>
            <w:tcW w:w="0" w:type="auto"/>
            <w:vAlign w:val="center"/>
          </w:tcPr>
          <w:p w:rsidR="00122FB4" w:rsidRDefault="003502BE">
            <w:pPr>
              <w:jc w:val="center"/>
            </w:pPr>
            <w:r>
              <w:rPr>
                <w:rFonts w:eastAsiaTheme="minorEastAsia"/>
                <w:color w:val="000000"/>
                <w:szCs w:val="21"/>
              </w:rPr>
              <w:t>-</w:t>
            </w:r>
          </w:p>
        </w:tc>
        <w:tc>
          <w:tcPr>
            <w:tcW w:w="0" w:type="auto"/>
            <w:vAlign w:val="center"/>
          </w:tcPr>
          <w:p w:rsidR="00122FB4" w:rsidRDefault="003502BE">
            <w:pPr>
              <w:jc w:val="center"/>
            </w:pPr>
            <w:r>
              <w:rPr>
                <w:rFonts w:eastAsiaTheme="minorEastAsia"/>
                <w:color w:val="000000"/>
                <w:szCs w:val="21"/>
              </w:rPr>
              <w:t>-</w:t>
            </w:r>
          </w:p>
        </w:tc>
        <w:tc>
          <w:tcPr>
            <w:tcW w:w="0" w:type="auto"/>
            <w:vAlign w:val="center"/>
          </w:tcPr>
          <w:p w:rsidR="00122FB4" w:rsidRDefault="003502BE">
            <w:pPr>
              <w:jc w:val="center"/>
            </w:pPr>
            <w:r>
              <w:rPr>
                <w:rFonts w:eastAsiaTheme="minorEastAsia"/>
                <w:color w:val="000000"/>
                <w:szCs w:val="21"/>
              </w:rPr>
              <w:t>-</w:t>
            </w:r>
          </w:p>
        </w:tc>
      </w:tr>
      <w:tr w:rsidR="00122FB4">
        <w:tc>
          <w:tcPr>
            <w:tcW w:w="0" w:type="auto"/>
            <w:vAlign w:val="center"/>
          </w:tcPr>
          <w:p w:rsidR="00122FB4" w:rsidRDefault="003502BE">
            <w:pPr>
              <w:jc w:val="left"/>
            </w:pPr>
            <w:r>
              <w:rPr>
                <w:rFonts w:eastAsiaTheme="minorEastAsia"/>
                <w:color w:val="000000"/>
                <w:szCs w:val="21"/>
              </w:rPr>
              <w:t>自基金合同生效起至今</w:t>
            </w:r>
          </w:p>
        </w:tc>
        <w:tc>
          <w:tcPr>
            <w:tcW w:w="0" w:type="auto"/>
            <w:vAlign w:val="center"/>
          </w:tcPr>
          <w:p w:rsidR="00122FB4" w:rsidRDefault="003502BE">
            <w:pPr>
              <w:jc w:val="center"/>
            </w:pPr>
            <w:r>
              <w:rPr>
                <w:rFonts w:eastAsiaTheme="minorEastAsia"/>
                <w:color w:val="000000"/>
                <w:szCs w:val="21"/>
              </w:rPr>
              <w:t>22.56%</w:t>
            </w:r>
          </w:p>
        </w:tc>
        <w:tc>
          <w:tcPr>
            <w:tcW w:w="0" w:type="auto"/>
            <w:vAlign w:val="center"/>
          </w:tcPr>
          <w:p w:rsidR="00122FB4" w:rsidRDefault="003502BE">
            <w:pPr>
              <w:jc w:val="center"/>
            </w:pPr>
            <w:r>
              <w:rPr>
                <w:rFonts w:eastAsiaTheme="minorEastAsia"/>
                <w:color w:val="000000"/>
                <w:szCs w:val="21"/>
              </w:rPr>
              <w:t>0.73%</w:t>
            </w:r>
          </w:p>
        </w:tc>
        <w:tc>
          <w:tcPr>
            <w:tcW w:w="0" w:type="auto"/>
            <w:vAlign w:val="center"/>
          </w:tcPr>
          <w:p w:rsidR="00122FB4" w:rsidRDefault="003502BE">
            <w:pPr>
              <w:jc w:val="center"/>
            </w:pPr>
            <w:r>
              <w:rPr>
                <w:rFonts w:eastAsiaTheme="minorEastAsia"/>
                <w:color w:val="000000"/>
                <w:szCs w:val="21"/>
              </w:rPr>
              <w:t>21.85%</w:t>
            </w:r>
          </w:p>
        </w:tc>
        <w:tc>
          <w:tcPr>
            <w:tcW w:w="0" w:type="auto"/>
            <w:vAlign w:val="center"/>
          </w:tcPr>
          <w:p w:rsidR="00122FB4" w:rsidRDefault="003502BE">
            <w:pPr>
              <w:jc w:val="center"/>
            </w:pPr>
            <w:r>
              <w:rPr>
                <w:rFonts w:eastAsiaTheme="minorEastAsia"/>
                <w:color w:val="000000"/>
                <w:szCs w:val="21"/>
              </w:rPr>
              <w:t>0.70%</w:t>
            </w:r>
          </w:p>
        </w:tc>
        <w:tc>
          <w:tcPr>
            <w:tcW w:w="0" w:type="auto"/>
            <w:vAlign w:val="center"/>
          </w:tcPr>
          <w:p w:rsidR="00122FB4" w:rsidRDefault="003502BE">
            <w:pPr>
              <w:jc w:val="center"/>
            </w:pPr>
            <w:r>
              <w:rPr>
                <w:rFonts w:eastAsiaTheme="minorEastAsia"/>
                <w:color w:val="000000"/>
                <w:szCs w:val="21"/>
              </w:rPr>
              <w:t>0.71%</w:t>
            </w:r>
          </w:p>
        </w:tc>
        <w:tc>
          <w:tcPr>
            <w:tcW w:w="0" w:type="auto"/>
            <w:vAlign w:val="center"/>
          </w:tcPr>
          <w:p w:rsidR="00122FB4" w:rsidRDefault="003502BE">
            <w:pPr>
              <w:jc w:val="center"/>
            </w:pPr>
            <w:r>
              <w:rPr>
                <w:rFonts w:eastAsiaTheme="minorEastAsia"/>
                <w:color w:val="000000"/>
                <w:szCs w:val="21"/>
              </w:rPr>
              <w:t>0.03%</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注：本基金的业绩比较基准为：</w:t>
      </w:r>
      <w:r w:rsidRPr="0098332C">
        <w:rPr>
          <w:rFonts w:eastAsiaTheme="minorEastAsia"/>
          <w:kern w:val="0"/>
          <w:szCs w:val="21"/>
        </w:rPr>
        <w:t>95%×</w:t>
      </w:r>
      <w:r w:rsidRPr="0098332C">
        <w:rPr>
          <w:rFonts w:eastAsiaTheme="minorEastAsia"/>
          <w:kern w:val="0"/>
          <w:szCs w:val="21"/>
        </w:rPr>
        <w:t>富时发达市场</w:t>
      </w:r>
      <w:r w:rsidRPr="0098332C">
        <w:rPr>
          <w:rFonts w:eastAsiaTheme="minorEastAsia"/>
          <w:kern w:val="0"/>
          <w:szCs w:val="21"/>
        </w:rPr>
        <w:t>REITs</w:t>
      </w:r>
      <w:r w:rsidRPr="0098332C">
        <w:rPr>
          <w:rFonts w:eastAsiaTheme="minorEastAsia"/>
          <w:kern w:val="0"/>
          <w:szCs w:val="21"/>
        </w:rPr>
        <w:t>指数收益率</w:t>
      </w:r>
      <w:r w:rsidRPr="0098332C">
        <w:rPr>
          <w:rFonts w:eastAsiaTheme="minorEastAsia"/>
          <w:kern w:val="0"/>
          <w:szCs w:val="21"/>
        </w:rPr>
        <w:t>+ 5%×</w:t>
      </w:r>
      <w:r w:rsidRPr="0098332C">
        <w:rPr>
          <w:rFonts w:eastAsiaTheme="minorEastAsia"/>
          <w:kern w:val="0"/>
          <w:szCs w:val="21"/>
        </w:rPr>
        <w:t>税后银行活期存款收益率。</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color w:val="000000"/>
          <w:kern w:val="0"/>
          <w:szCs w:val="21"/>
        </w:rPr>
        <w:t>3.2.2</w:t>
      </w:r>
      <w:r w:rsidR="00A634AE" w:rsidRPr="0098332C">
        <w:rPr>
          <w:rStyle w:val="aff3"/>
          <w:rFonts w:eastAsiaTheme="minorEastAsia"/>
          <w:color w:val="000000"/>
          <w:szCs w:val="21"/>
          <w:shd w:val="clear" w:color="auto" w:fill="FFFFFF"/>
        </w:rPr>
        <w:t>自基金合同生效以来</w:t>
      </w:r>
      <w:r w:rsidRPr="0098332C">
        <w:rPr>
          <w:rFonts w:eastAsiaTheme="minorEastAsia"/>
          <w:b/>
          <w:color w:val="000000"/>
          <w:kern w:val="0"/>
          <w:szCs w:val="21"/>
        </w:rPr>
        <w:t>基金份额累计净值增长率变动及其与同期业绩比较基</w:t>
      </w:r>
      <w:r w:rsidRPr="0098332C">
        <w:rPr>
          <w:rFonts w:eastAsiaTheme="minorEastAsia"/>
          <w:b/>
          <w:bCs/>
          <w:color w:val="000000"/>
          <w:szCs w:val="21"/>
        </w:rPr>
        <w:t>准收益率变动的比较</w:t>
      </w:r>
    </w:p>
    <w:p w:rsidR="008A5A5D" w:rsidRPr="0098332C" w:rsidRDefault="008A5A5D" w:rsidP="00635EA5">
      <w:pPr>
        <w:spacing w:line="360" w:lineRule="auto"/>
        <w:jc w:val="center"/>
        <w:rPr>
          <w:rFonts w:eastAsiaTheme="minorEastAsia"/>
          <w:color w:val="000000"/>
          <w:szCs w:val="21"/>
        </w:rPr>
      </w:pPr>
      <w:r w:rsidRPr="0098332C">
        <w:rPr>
          <w:rFonts w:eastAsiaTheme="minorEastAsia"/>
          <w:color w:val="000000"/>
          <w:szCs w:val="21"/>
        </w:rPr>
        <w:t>上投摩根富时发达市场</w:t>
      </w:r>
      <w:r w:rsidRPr="0098332C">
        <w:rPr>
          <w:rFonts w:eastAsiaTheme="minorEastAsia"/>
          <w:color w:val="000000"/>
          <w:szCs w:val="21"/>
        </w:rPr>
        <w:t>REITs</w:t>
      </w:r>
      <w:r w:rsidRPr="0098332C">
        <w:rPr>
          <w:rFonts w:eastAsiaTheme="minorEastAsia"/>
          <w:color w:val="000000"/>
          <w:szCs w:val="21"/>
        </w:rPr>
        <w:t>指数型证券投资基金（</w:t>
      </w:r>
      <w:r w:rsidRPr="0098332C">
        <w:rPr>
          <w:rFonts w:eastAsiaTheme="minorEastAsia"/>
          <w:color w:val="000000"/>
          <w:szCs w:val="21"/>
        </w:rPr>
        <w:t>QDII</w:t>
      </w:r>
      <w:r w:rsidRPr="0098332C">
        <w:rPr>
          <w:rFonts w:eastAsiaTheme="minorEastAsia"/>
          <w:color w:val="000000"/>
          <w:szCs w:val="21"/>
        </w:rPr>
        <w:t>）</w:t>
      </w:r>
    </w:p>
    <w:p w:rsidR="00F71BF5" w:rsidRPr="0098332C" w:rsidRDefault="00F71BF5" w:rsidP="00635EA5">
      <w:pPr>
        <w:pStyle w:val="a8"/>
        <w:snapToGrid w:val="0"/>
        <w:spacing w:line="360" w:lineRule="auto"/>
        <w:ind w:firstLine="480"/>
        <w:jc w:val="center"/>
        <w:rPr>
          <w:rFonts w:ascii="Times New Roman" w:eastAsiaTheme="minorEastAsia" w:hAnsi="Times New Roman"/>
          <w:color w:val="000000"/>
        </w:rPr>
      </w:pPr>
      <w:r w:rsidRPr="0098332C">
        <w:rPr>
          <w:rFonts w:ascii="Times New Roman" w:eastAsiaTheme="minorEastAsia" w:hAnsi="Times New Roman"/>
          <w:color w:val="000000"/>
        </w:rPr>
        <w:t>份额累计净值增长率与业绩比较基准收益率历史走势对比图</w:t>
      </w:r>
    </w:p>
    <w:p w:rsidR="008A5A5D" w:rsidRPr="0098332C" w:rsidRDefault="008A5A5D" w:rsidP="00635EA5">
      <w:pPr>
        <w:pStyle w:val="a8"/>
        <w:snapToGrid w:val="0"/>
        <w:spacing w:line="360" w:lineRule="auto"/>
        <w:ind w:firstLine="480"/>
        <w:jc w:val="center"/>
        <w:rPr>
          <w:rFonts w:ascii="Times New Roman" w:eastAsiaTheme="minorEastAsia" w:hAnsi="Times New Roman"/>
        </w:rPr>
      </w:pPr>
      <w:r w:rsidRPr="0098332C">
        <w:rPr>
          <w:rFonts w:ascii="Times New Roman" w:eastAsiaTheme="minorEastAsia" w:hAnsi="Times New Roman"/>
        </w:rPr>
        <w:t>(</w:t>
      </w:r>
      <w:r w:rsidR="00AC4A34" w:rsidRPr="0098332C">
        <w:rPr>
          <w:rFonts w:ascii="Times New Roman" w:eastAsiaTheme="minorEastAsia" w:hAnsi="Times New Roman"/>
        </w:rPr>
        <w:t>2018</w:t>
      </w:r>
      <w:r w:rsidR="00AC4A34" w:rsidRPr="0098332C">
        <w:rPr>
          <w:rFonts w:ascii="Times New Roman" w:eastAsiaTheme="minorEastAsia" w:hAnsi="Times New Roman"/>
        </w:rPr>
        <w:t>年</w:t>
      </w:r>
      <w:r w:rsidR="00AC4A34" w:rsidRPr="0098332C">
        <w:rPr>
          <w:rFonts w:ascii="Times New Roman" w:eastAsiaTheme="minorEastAsia" w:hAnsi="Times New Roman"/>
        </w:rPr>
        <w:t>4</w:t>
      </w:r>
      <w:r w:rsidR="00AC4A34" w:rsidRPr="0098332C">
        <w:rPr>
          <w:rFonts w:ascii="Times New Roman" w:eastAsiaTheme="minorEastAsia" w:hAnsi="Times New Roman"/>
        </w:rPr>
        <w:t>月</w:t>
      </w:r>
      <w:r w:rsidR="00AC4A34" w:rsidRPr="0098332C">
        <w:rPr>
          <w:rFonts w:ascii="Times New Roman" w:eastAsiaTheme="minorEastAsia" w:hAnsi="Times New Roman"/>
        </w:rPr>
        <w:t>26</w:t>
      </w:r>
      <w:r w:rsidR="00AC4A34" w:rsidRPr="0098332C">
        <w:rPr>
          <w:rFonts w:ascii="Times New Roman" w:eastAsiaTheme="minorEastAsia" w:hAnsi="Times New Roman"/>
        </w:rPr>
        <w:t>日</w:t>
      </w:r>
      <w:r w:rsidRPr="0098332C">
        <w:rPr>
          <w:rFonts w:ascii="Times New Roman" w:eastAsiaTheme="minorEastAsia" w:hAnsi="Times New Roman"/>
        </w:rPr>
        <w:t>至</w:t>
      </w:r>
      <w:r w:rsidRPr="0098332C">
        <w:rPr>
          <w:rFonts w:ascii="Times New Roman" w:eastAsiaTheme="minorEastAsia" w:hAnsi="Times New Roman"/>
        </w:rPr>
        <w:t>2019</w:t>
      </w:r>
      <w:r w:rsidRPr="0098332C">
        <w:rPr>
          <w:rFonts w:ascii="Times New Roman" w:eastAsiaTheme="minorEastAsia" w:hAnsi="Times New Roman"/>
        </w:rPr>
        <w:t>年</w:t>
      </w:r>
      <w:r w:rsidRPr="0098332C">
        <w:rPr>
          <w:rFonts w:ascii="Times New Roman" w:eastAsiaTheme="minorEastAsia" w:hAnsi="Times New Roman"/>
        </w:rPr>
        <w:t>6</w:t>
      </w:r>
      <w:r w:rsidRPr="0098332C">
        <w:rPr>
          <w:rFonts w:ascii="Times New Roman" w:eastAsiaTheme="minorEastAsia" w:hAnsi="Times New Roman"/>
        </w:rPr>
        <w:t>月</w:t>
      </w:r>
      <w:r w:rsidRPr="0098332C">
        <w:rPr>
          <w:rFonts w:ascii="Times New Roman" w:eastAsiaTheme="minorEastAsia" w:hAnsi="Times New Roman"/>
        </w:rPr>
        <w:t>30</w:t>
      </w:r>
      <w:r w:rsidRPr="0098332C">
        <w:rPr>
          <w:rFonts w:ascii="Times New Roman" w:eastAsiaTheme="minorEastAsia" w:hAnsi="Times New Roman"/>
        </w:rPr>
        <w:t>日</w:t>
      </w:r>
      <w:r w:rsidRPr="0098332C">
        <w:rPr>
          <w:rFonts w:ascii="Times New Roman" w:eastAsiaTheme="minorEastAsia" w:hAnsi="Times New Roman"/>
        </w:rPr>
        <w:t>)</w:t>
      </w:r>
    </w:p>
    <w:p w:rsidR="008A5A5D" w:rsidRPr="0098332C" w:rsidRDefault="003C0135" w:rsidP="006D141C">
      <w:pPr>
        <w:spacing w:line="360" w:lineRule="auto"/>
        <w:jc w:val="center"/>
        <w:rPr>
          <w:rFonts w:eastAsiaTheme="minorEastAsia"/>
          <w:color w:val="000000"/>
          <w:szCs w:val="21"/>
        </w:rPr>
      </w:pPr>
      <w:r w:rsidRPr="0098332C">
        <w:rPr>
          <w:rFonts w:eastAsiaTheme="minorEastAsia"/>
          <w:noProof/>
          <w:color w:val="000000"/>
          <w:szCs w:val="21"/>
        </w:rPr>
        <w:drawing>
          <wp:inline distT="0" distB="0" distL="0" distR="0" wp14:anchorId="710716DB" wp14:editId="3804C20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22FB4" w:rsidRDefault="003502B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日，图示时间段为</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本基金建仓期自</w:t>
      </w:r>
      <w:r w:rsidRPr="0098332C">
        <w:rPr>
          <w:rFonts w:eastAsiaTheme="minorEastAsia"/>
          <w:kern w:val="0"/>
          <w:szCs w:val="21"/>
        </w:rPr>
        <w:t>2018</w:t>
      </w:r>
      <w:r w:rsidRPr="0098332C">
        <w:rPr>
          <w:rFonts w:eastAsiaTheme="minorEastAsia"/>
          <w:kern w:val="0"/>
          <w:szCs w:val="21"/>
        </w:rPr>
        <w:t>年</w:t>
      </w:r>
      <w:r w:rsidRPr="0098332C">
        <w:rPr>
          <w:rFonts w:eastAsiaTheme="minorEastAsia"/>
          <w:kern w:val="0"/>
          <w:szCs w:val="21"/>
        </w:rPr>
        <w:t>4</w:t>
      </w:r>
      <w:r w:rsidRPr="0098332C">
        <w:rPr>
          <w:rFonts w:eastAsiaTheme="minorEastAsia"/>
          <w:kern w:val="0"/>
          <w:szCs w:val="21"/>
        </w:rPr>
        <w:t>月</w:t>
      </w:r>
      <w:r w:rsidRPr="0098332C">
        <w:rPr>
          <w:rFonts w:eastAsiaTheme="minorEastAsia"/>
          <w:kern w:val="0"/>
          <w:szCs w:val="21"/>
        </w:rPr>
        <w:t>26</w:t>
      </w:r>
      <w:r w:rsidRPr="0098332C">
        <w:rPr>
          <w:rFonts w:eastAsiaTheme="minorEastAsia"/>
          <w:kern w:val="0"/>
          <w:szCs w:val="21"/>
        </w:rPr>
        <w:t>日至</w:t>
      </w:r>
      <w:r w:rsidRPr="0098332C">
        <w:rPr>
          <w:rFonts w:eastAsiaTheme="minorEastAsia"/>
          <w:kern w:val="0"/>
          <w:szCs w:val="21"/>
        </w:rPr>
        <w:t>2018</w:t>
      </w:r>
      <w:r w:rsidRPr="0098332C">
        <w:rPr>
          <w:rFonts w:eastAsiaTheme="minorEastAsia"/>
          <w:kern w:val="0"/>
          <w:szCs w:val="21"/>
        </w:rPr>
        <w:t>年</w:t>
      </w:r>
      <w:r w:rsidRPr="0098332C">
        <w:rPr>
          <w:rFonts w:eastAsiaTheme="minorEastAsia"/>
          <w:kern w:val="0"/>
          <w:szCs w:val="21"/>
        </w:rPr>
        <w:t>10</w:t>
      </w:r>
      <w:r w:rsidRPr="0098332C">
        <w:rPr>
          <w:rFonts w:eastAsiaTheme="minorEastAsia"/>
          <w:kern w:val="0"/>
          <w:szCs w:val="21"/>
        </w:rPr>
        <w:t>月</w:t>
      </w:r>
      <w:r w:rsidRPr="0098332C">
        <w:rPr>
          <w:rFonts w:eastAsiaTheme="minorEastAsia"/>
          <w:kern w:val="0"/>
          <w:szCs w:val="21"/>
        </w:rPr>
        <w:t>26</w:t>
      </w:r>
      <w:r w:rsidRPr="0098332C">
        <w:rPr>
          <w:rFonts w:eastAsiaTheme="minorEastAsia"/>
          <w:kern w:val="0"/>
          <w:szCs w:val="21"/>
        </w:rPr>
        <w:t>日，建仓期结束时资产配置比例符合本基金基金合同规定。</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4" w:name="_Toc225498254"/>
      <w:bookmarkStart w:id="65" w:name="_Toc352255971"/>
      <w:bookmarkStart w:id="66" w:name="_Toc352256039"/>
      <w:bookmarkStart w:id="67" w:name="_Toc352331217"/>
      <w:bookmarkStart w:id="68" w:name="_Toc390164802"/>
      <w:r w:rsidRPr="0098332C">
        <w:rPr>
          <w:rFonts w:eastAsiaTheme="minorEastAsia"/>
          <w:b/>
          <w:bCs/>
          <w:sz w:val="21"/>
          <w:szCs w:val="21"/>
          <w:lang w:val="en-US"/>
        </w:rPr>
        <w:t>4</w:t>
      </w:r>
      <w:r w:rsidR="00937FC6" w:rsidRPr="0098332C">
        <w:rPr>
          <w:rFonts w:eastAsiaTheme="minorEastAsia"/>
          <w:b/>
          <w:bCs/>
          <w:sz w:val="21"/>
          <w:szCs w:val="21"/>
          <w:lang w:val="en-US"/>
        </w:rPr>
        <w:t xml:space="preserve">  </w:t>
      </w:r>
      <w:r w:rsidRPr="0098332C">
        <w:rPr>
          <w:rFonts w:eastAsiaTheme="minorEastAsia"/>
          <w:b/>
          <w:bCs/>
          <w:sz w:val="21"/>
          <w:szCs w:val="21"/>
          <w:lang w:val="en-US"/>
        </w:rPr>
        <w:t>管理人报告</w:t>
      </w:r>
      <w:bookmarkEnd w:id="64"/>
      <w:bookmarkEnd w:id="65"/>
      <w:bookmarkEnd w:id="66"/>
      <w:bookmarkEnd w:id="67"/>
      <w:bookmarkEnd w:id="68"/>
    </w:p>
    <w:p w:rsidR="00FC5407" w:rsidRPr="0098332C" w:rsidRDefault="00FC5407" w:rsidP="00FC5407">
      <w:pPr>
        <w:pStyle w:val="20"/>
        <w:spacing w:before="0" w:after="0"/>
        <w:rPr>
          <w:rFonts w:ascii="Times New Roman" w:eastAsiaTheme="minorEastAsia" w:hAnsi="Times New Roman"/>
          <w:color w:val="000000" w:themeColor="text1"/>
          <w:kern w:val="0"/>
          <w:sz w:val="21"/>
          <w:szCs w:val="21"/>
        </w:rPr>
      </w:pPr>
      <w:bookmarkStart w:id="69" w:name="_Toc352255972"/>
      <w:bookmarkStart w:id="70" w:name="_Toc352256040"/>
      <w:bookmarkStart w:id="71" w:name="_Toc352331218"/>
      <w:bookmarkStart w:id="72" w:name="_Toc362423996"/>
      <w:bookmarkStart w:id="73" w:name="_Toc374459258"/>
      <w:r w:rsidRPr="0098332C">
        <w:rPr>
          <w:rFonts w:ascii="Times New Roman" w:eastAsiaTheme="minorEastAsia" w:hAnsi="Times New Roman"/>
          <w:color w:val="000000" w:themeColor="text1"/>
          <w:kern w:val="0"/>
          <w:sz w:val="21"/>
          <w:szCs w:val="21"/>
        </w:rPr>
        <w:t xml:space="preserve">4.1 </w:t>
      </w:r>
      <w:r w:rsidRPr="0098332C">
        <w:rPr>
          <w:rFonts w:ascii="Times New Roman" w:eastAsiaTheme="minorEastAsia" w:hAnsi="Times New Roman"/>
          <w:color w:val="000000" w:themeColor="text1"/>
          <w:kern w:val="0"/>
          <w:sz w:val="21"/>
          <w:szCs w:val="21"/>
        </w:rPr>
        <w:t>基金管理人及基金经理情况</w:t>
      </w:r>
      <w:bookmarkEnd w:id="69"/>
      <w:bookmarkEnd w:id="70"/>
      <w:bookmarkEnd w:id="71"/>
      <w:bookmarkEnd w:id="72"/>
      <w:bookmarkEnd w:id="73"/>
    </w:p>
    <w:p w:rsidR="00FC5407" w:rsidRPr="0098332C" w:rsidRDefault="00FC5407" w:rsidP="00FC5407">
      <w:pPr>
        <w:autoSpaceDE w:val="0"/>
        <w:autoSpaceDN w:val="0"/>
        <w:adjustRightInd w:val="0"/>
        <w:spacing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4.1.1 </w:t>
      </w:r>
      <w:r w:rsidRPr="0098332C">
        <w:rPr>
          <w:rFonts w:eastAsiaTheme="minorEastAsia"/>
          <w:b/>
          <w:color w:val="000000" w:themeColor="text1"/>
          <w:kern w:val="0"/>
          <w:szCs w:val="21"/>
        </w:rPr>
        <w:t>基金管理人及其管理基金的经验</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上投摩根基金管理有限公司经中国证券监督管理委员会批准，于</w:t>
      </w:r>
      <w:r w:rsidRPr="0098332C">
        <w:rPr>
          <w:rFonts w:eastAsiaTheme="minorEastAsia"/>
          <w:color w:val="000000" w:themeColor="text1"/>
          <w:szCs w:val="21"/>
        </w:rPr>
        <w:t>2004</w:t>
      </w:r>
      <w:r w:rsidRPr="0098332C">
        <w:rPr>
          <w:rFonts w:eastAsiaTheme="minorEastAsia"/>
          <w:color w:val="000000" w:themeColor="text1"/>
          <w:szCs w:val="21"/>
        </w:rPr>
        <w:t>年</w:t>
      </w:r>
      <w:r w:rsidRPr="0098332C">
        <w:rPr>
          <w:rFonts w:eastAsiaTheme="minorEastAsia"/>
          <w:color w:val="000000" w:themeColor="text1"/>
          <w:szCs w:val="21"/>
        </w:rPr>
        <w:t>5</w:t>
      </w:r>
      <w:r w:rsidRPr="0098332C">
        <w:rPr>
          <w:rFonts w:eastAsiaTheme="minorEastAsia"/>
          <w:color w:val="000000" w:themeColor="text1"/>
          <w:szCs w:val="21"/>
        </w:rPr>
        <w:t>月</w:t>
      </w:r>
      <w:r w:rsidRPr="0098332C">
        <w:rPr>
          <w:rFonts w:eastAsiaTheme="minorEastAsia"/>
          <w:color w:val="000000" w:themeColor="text1"/>
          <w:szCs w:val="21"/>
        </w:rPr>
        <w:t>12</w:t>
      </w:r>
      <w:r w:rsidRPr="0098332C">
        <w:rPr>
          <w:rFonts w:eastAsiaTheme="minorEastAsia"/>
          <w:color w:val="000000" w:themeColor="text1"/>
          <w:szCs w:val="21"/>
        </w:rPr>
        <w:t>日正式成立。公司由上海国际信托投资有限公司（</w:t>
      </w:r>
      <w:r w:rsidRPr="0098332C">
        <w:rPr>
          <w:rFonts w:eastAsiaTheme="minorEastAsia"/>
          <w:color w:val="000000" w:themeColor="text1"/>
          <w:szCs w:val="21"/>
        </w:rPr>
        <w:t>2007</w:t>
      </w:r>
      <w:r w:rsidRPr="0098332C">
        <w:rPr>
          <w:rFonts w:eastAsiaTheme="minorEastAsia"/>
          <w:color w:val="000000" w:themeColor="text1"/>
          <w:szCs w:val="21"/>
        </w:rPr>
        <w:t>年</w:t>
      </w:r>
      <w:r w:rsidRPr="0098332C">
        <w:rPr>
          <w:rFonts w:eastAsiaTheme="minorEastAsia"/>
          <w:color w:val="000000" w:themeColor="text1"/>
          <w:szCs w:val="21"/>
        </w:rPr>
        <w:t>10</w:t>
      </w:r>
      <w:r w:rsidRPr="0098332C">
        <w:rPr>
          <w:rFonts w:eastAsiaTheme="minorEastAsia"/>
          <w:color w:val="000000" w:themeColor="text1"/>
          <w:szCs w:val="21"/>
        </w:rPr>
        <w:t>月</w:t>
      </w:r>
      <w:r w:rsidRPr="0098332C">
        <w:rPr>
          <w:rFonts w:eastAsiaTheme="minorEastAsia"/>
          <w:color w:val="000000" w:themeColor="text1"/>
          <w:szCs w:val="21"/>
        </w:rPr>
        <w:t>8</w:t>
      </w:r>
      <w:r w:rsidRPr="0098332C">
        <w:rPr>
          <w:rFonts w:eastAsiaTheme="minorEastAsia"/>
          <w:color w:val="000000" w:themeColor="text1"/>
          <w:szCs w:val="21"/>
        </w:rPr>
        <w:t>日更名为</w:t>
      </w:r>
      <w:r w:rsidRPr="0098332C">
        <w:rPr>
          <w:rFonts w:eastAsiaTheme="minorEastAsia"/>
          <w:color w:val="000000" w:themeColor="text1"/>
          <w:szCs w:val="21"/>
        </w:rPr>
        <w:t>“</w:t>
      </w:r>
      <w:r w:rsidRPr="0098332C">
        <w:rPr>
          <w:rFonts w:eastAsiaTheme="minorEastAsia"/>
          <w:color w:val="000000" w:themeColor="text1"/>
          <w:szCs w:val="21"/>
        </w:rPr>
        <w:t>上海国际信托有限公司</w:t>
      </w:r>
      <w:r w:rsidRPr="0098332C">
        <w:rPr>
          <w:rFonts w:eastAsiaTheme="minorEastAsia"/>
          <w:color w:val="000000" w:themeColor="text1"/>
          <w:szCs w:val="21"/>
        </w:rPr>
        <w:t>”</w:t>
      </w:r>
      <w:r w:rsidRPr="0098332C">
        <w:rPr>
          <w:rFonts w:eastAsiaTheme="minorEastAsia"/>
          <w:color w:val="000000" w:themeColor="text1"/>
          <w:szCs w:val="21"/>
        </w:rPr>
        <w:t>）与摩根资产管理（英国）有限公司合资设立，注册资本为</w:t>
      </w:r>
      <w:r w:rsidRPr="0098332C">
        <w:rPr>
          <w:rFonts w:eastAsiaTheme="minorEastAsia"/>
          <w:color w:val="000000" w:themeColor="text1"/>
          <w:szCs w:val="21"/>
        </w:rPr>
        <w:t>2.5</w:t>
      </w:r>
      <w:r w:rsidRPr="0098332C">
        <w:rPr>
          <w:rFonts w:eastAsiaTheme="minorEastAsia"/>
          <w:color w:val="000000" w:themeColor="text1"/>
          <w:szCs w:val="21"/>
        </w:rPr>
        <w:t>亿元人民币，注册地上海。截至</w:t>
      </w:r>
      <w:r w:rsidRPr="0098332C">
        <w:rPr>
          <w:rFonts w:eastAsiaTheme="minorEastAsia"/>
          <w:color w:val="000000" w:themeColor="text1"/>
          <w:szCs w:val="21"/>
        </w:rPr>
        <w:t>2019</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98332C">
        <w:rPr>
          <w:rFonts w:eastAsiaTheme="minorEastAsia"/>
          <w:color w:val="000000" w:themeColor="text1"/>
          <w:szCs w:val="21"/>
        </w:rPr>
        <w:t>30</w:t>
      </w:r>
      <w:r w:rsidRPr="0098332C">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、上投摩根全球多元配置证券投资基金</w:t>
      </w:r>
      <w:r w:rsidRPr="0098332C">
        <w:rPr>
          <w:rFonts w:eastAsiaTheme="minorEastAsia"/>
          <w:color w:val="000000" w:themeColor="text1"/>
          <w:szCs w:val="21"/>
        </w:rPr>
        <w:t>(QDII)</w:t>
      </w:r>
      <w:r w:rsidRPr="0098332C">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）、上投摩根香港精选港股通混合型证券投资基金、上投摩根尚睿混合型基金中基金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、上投摩根安裕回报混合型证券投资基金、上投摩根欧洲动力策略股票型证券投资基金（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）、上投摩根核心精选股票型证券投资基金、上投摩根动力精选混合型证券投资基金、上投摩根领先优选混合型证券投资基金。</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4.1.2 </w:t>
      </w:r>
      <w:r w:rsidRPr="0098332C">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98332C" w:rsidTr="00EB3BA0">
        <w:tc>
          <w:tcPr>
            <w:tcW w:w="653"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8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职务</w:t>
            </w:r>
          </w:p>
        </w:tc>
        <w:tc>
          <w:tcPr>
            <w:tcW w:w="1409" w:type="pct"/>
            <w:gridSpan w:val="2"/>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任本基金的基金经理（助理）期限</w:t>
            </w:r>
          </w:p>
        </w:tc>
        <w:tc>
          <w:tcPr>
            <w:tcW w:w="6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1431"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FC5407" w:rsidRPr="0098332C" w:rsidTr="00EB3BA0">
        <w:tc>
          <w:tcPr>
            <w:tcW w:w="653"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8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任职日期</w:t>
            </w: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离任日期</w:t>
            </w:r>
          </w:p>
        </w:tc>
        <w:tc>
          <w:tcPr>
            <w:tcW w:w="6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1431"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r>
      <w:tr w:rsidR="00122FB4">
        <w:tc>
          <w:tcPr>
            <w:tcW w:w="0" w:type="auto"/>
            <w:vAlign w:val="center"/>
          </w:tcPr>
          <w:p w:rsidR="00122FB4" w:rsidRDefault="003502BE">
            <w:pPr>
              <w:jc w:val="center"/>
            </w:pPr>
            <w:r>
              <w:rPr>
                <w:rFonts w:eastAsiaTheme="minorEastAsia"/>
                <w:color w:val="000000" w:themeColor="text1"/>
                <w:szCs w:val="21"/>
              </w:rPr>
              <w:t>施虓文</w:t>
            </w:r>
          </w:p>
        </w:tc>
        <w:tc>
          <w:tcPr>
            <w:tcW w:w="0" w:type="auto"/>
            <w:vAlign w:val="center"/>
          </w:tcPr>
          <w:p w:rsidR="00122FB4" w:rsidRDefault="003502BE">
            <w:pPr>
              <w:jc w:val="center"/>
            </w:pPr>
            <w:r>
              <w:rPr>
                <w:rFonts w:eastAsiaTheme="minorEastAsia"/>
                <w:color w:val="000000" w:themeColor="text1"/>
                <w:szCs w:val="21"/>
              </w:rPr>
              <w:t>本基金基金经理</w:t>
            </w:r>
          </w:p>
        </w:tc>
        <w:tc>
          <w:tcPr>
            <w:tcW w:w="0" w:type="auto"/>
            <w:vAlign w:val="center"/>
          </w:tcPr>
          <w:p w:rsidR="00122FB4" w:rsidRDefault="003502BE">
            <w:pPr>
              <w:jc w:val="center"/>
            </w:pPr>
            <w:r>
              <w:rPr>
                <w:rFonts w:eastAsiaTheme="minorEastAsia"/>
                <w:color w:val="000000" w:themeColor="text1"/>
                <w:szCs w:val="21"/>
              </w:rPr>
              <w:t>2018-04-26</w:t>
            </w:r>
          </w:p>
        </w:tc>
        <w:tc>
          <w:tcPr>
            <w:tcW w:w="0" w:type="auto"/>
            <w:vAlign w:val="center"/>
          </w:tcPr>
          <w:p w:rsidR="00122FB4" w:rsidRDefault="003502BE">
            <w:pPr>
              <w:jc w:val="center"/>
            </w:pPr>
            <w:r>
              <w:rPr>
                <w:rFonts w:eastAsiaTheme="minorEastAsia"/>
                <w:color w:val="000000" w:themeColor="text1"/>
                <w:szCs w:val="21"/>
              </w:rPr>
              <w:t>-</w:t>
            </w:r>
          </w:p>
        </w:tc>
        <w:tc>
          <w:tcPr>
            <w:tcW w:w="0" w:type="auto"/>
            <w:vAlign w:val="center"/>
          </w:tcPr>
          <w:p w:rsidR="00122FB4" w:rsidRDefault="003502BE">
            <w:pPr>
              <w:jc w:val="center"/>
            </w:pPr>
            <w:r>
              <w:rPr>
                <w:rFonts w:eastAsiaTheme="minorEastAsia"/>
                <w:color w:val="000000" w:themeColor="text1"/>
                <w:szCs w:val="21"/>
              </w:rPr>
              <w:t>7</w:t>
            </w:r>
            <w:r>
              <w:rPr>
                <w:rFonts w:eastAsiaTheme="minorEastAsia"/>
                <w:color w:val="000000" w:themeColor="text1"/>
                <w:szCs w:val="21"/>
              </w:rPr>
              <w:t>年</w:t>
            </w:r>
          </w:p>
        </w:tc>
        <w:tc>
          <w:tcPr>
            <w:tcW w:w="0" w:type="auto"/>
            <w:vAlign w:val="center"/>
          </w:tcPr>
          <w:p w:rsidR="00122FB4" w:rsidRDefault="003502BE">
            <w:pPr>
              <w:jc w:val="left"/>
            </w:pPr>
            <w:r>
              <w:rPr>
                <w:rFonts w:eastAsiaTheme="minorEastAsia"/>
                <w:color w:val="000000" w:themeColor="text1"/>
                <w:szCs w:val="21"/>
              </w:rPr>
              <w:t>基金经理施虓文先生，北京大学经济学硕士，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月起加入上投摩根基金管理有限公司，先后担任助理研究员、研究员</w:t>
            </w:r>
            <w:r>
              <w:rPr>
                <w:rFonts w:eastAsiaTheme="minorEastAsia"/>
                <w:color w:val="000000" w:themeColor="text1"/>
                <w:szCs w:val="21"/>
              </w:rPr>
              <w:t>/</w:t>
            </w:r>
            <w:r>
              <w:rPr>
                <w:rFonts w:eastAsiaTheme="minorEastAsia"/>
                <w:color w:val="000000" w:themeColor="text1"/>
                <w:szCs w:val="21"/>
              </w:rPr>
              <w:t>基金经理助理、基金经理，主要承担量化支持方面的工作。自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9</w:t>
            </w:r>
            <w:r>
              <w:rPr>
                <w:rFonts w:eastAsiaTheme="minorEastAsia"/>
                <w:color w:val="000000" w:themeColor="text1"/>
                <w:szCs w:val="21"/>
              </w:rPr>
              <w:t>月担任上投摩根安腾回报混合型证券投资基金基金经理，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w:t>
            </w:r>
          </w:p>
        </w:tc>
      </w:tr>
    </w:tbl>
    <w:p w:rsidR="00122FB4" w:rsidRDefault="003502BE">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22FB4" w:rsidRDefault="003502BE">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施虓文先生为本基金首任基金经理，其任职日期指本基金基金合同生效之日。</w:t>
      </w:r>
    </w:p>
    <w:p w:rsidR="00FC5407" w:rsidRPr="0098332C" w:rsidRDefault="00FC5407" w:rsidP="00FC5407">
      <w:pPr>
        <w:tabs>
          <w:tab w:val="left" w:pos="426"/>
        </w:tabs>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 xml:space="preserve">3. </w:t>
      </w:r>
      <w:r w:rsidRPr="0098332C">
        <w:rPr>
          <w:rFonts w:eastAsiaTheme="minorEastAsia"/>
          <w:color w:val="000000" w:themeColor="text1"/>
          <w:kern w:val="0"/>
          <w:szCs w:val="21"/>
        </w:rPr>
        <w:t>证券从业的含义遵从行业协会《证券业从业人员资格管理办法》的相关规定。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74" w:name="_Toc225498256"/>
      <w:bookmarkStart w:id="75" w:name="_Toc352255974"/>
      <w:bookmarkStart w:id="76" w:name="_Toc352256042"/>
      <w:bookmarkStart w:id="77" w:name="_Toc352331220"/>
      <w:bookmarkStart w:id="78" w:name="_Toc362423998"/>
      <w:bookmarkStart w:id="79" w:name="_Toc374459260"/>
      <w:r w:rsidRPr="0098332C">
        <w:rPr>
          <w:rFonts w:ascii="Times New Roman" w:eastAsiaTheme="minorEastAsia" w:hAnsi="Times New Roman"/>
          <w:color w:val="000000" w:themeColor="text1"/>
          <w:kern w:val="0"/>
          <w:sz w:val="21"/>
          <w:szCs w:val="21"/>
        </w:rPr>
        <w:t xml:space="preserve">4.2 </w:t>
      </w:r>
      <w:r w:rsidRPr="0098332C">
        <w:rPr>
          <w:rFonts w:ascii="Times New Roman" w:eastAsiaTheme="minorEastAsia" w:hAnsi="Times New Roman"/>
          <w:color w:val="000000" w:themeColor="text1"/>
          <w:kern w:val="0"/>
          <w:sz w:val="21"/>
          <w:szCs w:val="21"/>
        </w:rPr>
        <w:t>管理人对报告期内本基金运作遵规守信情况的说明</w:t>
      </w:r>
      <w:bookmarkEnd w:id="74"/>
      <w:bookmarkEnd w:id="75"/>
      <w:bookmarkEnd w:id="76"/>
      <w:bookmarkEnd w:id="77"/>
      <w:bookmarkEnd w:id="78"/>
      <w:bookmarkEnd w:id="79"/>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指数型证券投资基金（</w:t>
      </w:r>
      <w:r w:rsidRPr="0098332C">
        <w:rPr>
          <w:rFonts w:eastAsiaTheme="minorEastAsia"/>
          <w:color w:val="000000" w:themeColor="text1"/>
          <w:szCs w:val="21"/>
        </w:rPr>
        <w:t>QDII</w:t>
      </w:r>
      <w:r w:rsidRPr="0098332C">
        <w:rPr>
          <w:rFonts w:eastAsiaTheme="minorEastAsia"/>
          <w:color w:val="000000" w:themeColor="text1"/>
          <w:szCs w:val="21"/>
        </w:rPr>
        <w:t>）基金合同》的规定。基金经理对个股和投资组合的比例遵循了投资决策委员会的授权限制，基金投资比例符合基金合同和法律法规的要求。</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80" w:name="_Toc225498257"/>
      <w:bookmarkStart w:id="81" w:name="_Toc352255975"/>
      <w:bookmarkStart w:id="82" w:name="_Toc352256043"/>
      <w:bookmarkStart w:id="83" w:name="_Toc352331221"/>
      <w:bookmarkStart w:id="84" w:name="_Toc362423999"/>
      <w:bookmarkStart w:id="85" w:name="_Toc374459261"/>
      <w:r w:rsidRPr="0098332C">
        <w:rPr>
          <w:rFonts w:ascii="Times New Roman" w:eastAsiaTheme="minorEastAsia" w:hAnsi="Times New Roman"/>
          <w:color w:val="000000" w:themeColor="text1"/>
          <w:kern w:val="0"/>
          <w:sz w:val="21"/>
          <w:szCs w:val="21"/>
        </w:rPr>
        <w:t xml:space="preserve">4.3 </w:t>
      </w:r>
      <w:r w:rsidRPr="0098332C">
        <w:rPr>
          <w:rFonts w:ascii="Times New Roman" w:eastAsiaTheme="minorEastAsia" w:hAnsi="Times New Roman"/>
          <w:color w:val="000000" w:themeColor="text1"/>
          <w:kern w:val="0"/>
          <w:sz w:val="21"/>
          <w:szCs w:val="21"/>
        </w:rPr>
        <w:t>管理人对报告期内公平交易情况的专项说明</w:t>
      </w:r>
      <w:bookmarkEnd w:id="80"/>
      <w:bookmarkEnd w:id="81"/>
      <w:bookmarkEnd w:id="82"/>
      <w:bookmarkEnd w:id="83"/>
      <w:bookmarkEnd w:id="84"/>
      <w:bookmarkEnd w:id="85"/>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4.3.1 </w:t>
      </w:r>
      <w:r w:rsidRPr="0098332C">
        <w:rPr>
          <w:rFonts w:eastAsiaTheme="minorEastAsia"/>
          <w:b/>
          <w:color w:val="000000" w:themeColor="text1"/>
          <w:kern w:val="0"/>
          <w:szCs w:val="21"/>
        </w:rPr>
        <w:t>公平交易制度的执行情况</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4.3.2 </w:t>
      </w:r>
      <w:r w:rsidRPr="0098332C">
        <w:rPr>
          <w:rFonts w:eastAsiaTheme="minorEastAsia"/>
          <w:b/>
          <w:color w:val="000000" w:themeColor="text1"/>
          <w:kern w:val="0"/>
          <w:szCs w:val="21"/>
        </w:rPr>
        <w:t>异常交易行为的专项说明</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报告期内，通过对交易价格、交易时间、交易方向等的抽样分析，未发现存在异常交易行为。</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的情形：报告期内，所有投资组合参与的交易所公开竞价同日反向交易成交较少的单边交易量超过该证券当日成交量的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的次数为一次，发生在量化投资组合与主动管理投资组合之间。</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86" w:name="_Toc225498258"/>
      <w:bookmarkStart w:id="87" w:name="_Toc352255976"/>
      <w:bookmarkStart w:id="88" w:name="_Toc352256044"/>
      <w:bookmarkStart w:id="89" w:name="_Toc352331222"/>
      <w:bookmarkStart w:id="90" w:name="_Toc362424000"/>
      <w:bookmarkStart w:id="91" w:name="_Toc374459262"/>
      <w:r w:rsidRPr="0098332C">
        <w:rPr>
          <w:rFonts w:ascii="Times New Roman" w:eastAsiaTheme="minorEastAsia" w:hAnsi="Times New Roman"/>
          <w:color w:val="000000" w:themeColor="text1"/>
          <w:kern w:val="0"/>
          <w:sz w:val="21"/>
          <w:szCs w:val="21"/>
        </w:rPr>
        <w:t xml:space="preserve">4.4 </w:t>
      </w:r>
      <w:r w:rsidRPr="0098332C">
        <w:rPr>
          <w:rFonts w:ascii="Times New Roman" w:eastAsiaTheme="minorEastAsia" w:hAnsi="Times New Roman"/>
          <w:color w:val="000000" w:themeColor="text1"/>
          <w:kern w:val="0"/>
          <w:sz w:val="21"/>
          <w:szCs w:val="21"/>
        </w:rPr>
        <w:t>管理人对报告期内基金的投资策略和业绩表现的说明</w:t>
      </w:r>
      <w:bookmarkEnd w:id="86"/>
      <w:bookmarkEnd w:id="87"/>
      <w:bookmarkEnd w:id="88"/>
      <w:bookmarkEnd w:id="89"/>
      <w:bookmarkEnd w:id="90"/>
      <w:bookmarkEnd w:id="91"/>
    </w:p>
    <w:p w:rsidR="00FC5407" w:rsidRPr="0098332C" w:rsidRDefault="00FC5407" w:rsidP="00FC5407">
      <w:pPr>
        <w:spacing w:line="360" w:lineRule="auto"/>
        <w:rPr>
          <w:rFonts w:eastAsiaTheme="minorEastAsia"/>
          <w:b/>
          <w:color w:val="000000" w:themeColor="text1"/>
          <w:szCs w:val="21"/>
        </w:rPr>
      </w:pPr>
      <w:r w:rsidRPr="0098332C">
        <w:rPr>
          <w:rFonts w:eastAsiaTheme="minorEastAsia"/>
          <w:b/>
          <w:color w:val="000000" w:themeColor="text1"/>
          <w:szCs w:val="21"/>
        </w:rPr>
        <w:t>4.4.1</w:t>
      </w:r>
      <w:r w:rsidRPr="0098332C">
        <w:rPr>
          <w:rFonts w:eastAsiaTheme="minorEastAsia"/>
          <w:b/>
          <w:color w:val="000000" w:themeColor="text1"/>
          <w:szCs w:val="21"/>
        </w:rPr>
        <w:t>报告期内基金投资策略和运作分析</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上半年全球</w:t>
      </w:r>
      <w:r>
        <w:rPr>
          <w:rFonts w:eastAsiaTheme="minorEastAsia"/>
          <w:color w:val="000000" w:themeColor="text1"/>
          <w:szCs w:val="21"/>
        </w:rPr>
        <w:t>REITs</w:t>
      </w:r>
      <w:r>
        <w:rPr>
          <w:rFonts w:eastAsiaTheme="minorEastAsia"/>
          <w:color w:val="000000" w:themeColor="text1"/>
          <w:szCs w:val="21"/>
        </w:rPr>
        <w:t>资产价格持续上行。随着全球经济增速下降，以及贸易摩擦引发的不确定性上升，美联储降息预期大幅提升，美国国债收益率迅速下行，同时欧洲央行也转向明显宽松。在宽松预期下，美国房屋贷款利率快速回落，带动其房地产信心指数反弹，而美国</w:t>
      </w:r>
      <w:r>
        <w:rPr>
          <w:rFonts w:eastAsiaTheme="minorEastAsia"/>
          <w:color w:val="000000" w:themeColor="text1"/>
          <w:szCs w:val="21"/>
        </w:rPr>
        <w:t>REITs</w:t>
      </w:r>
      <w:r>
        <w:rPr>
          <w:rFonts w:eastAsiaTheme="minorEastAsia"/>
          <w:color w:val="000000" w:themeColor="text1"/>
          <w:szCs w:val="21"/>
        </w:rPr>
        <w:t>盈利也继续温和增长。</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上半年各发达市场</w:t>
      </w:r>
      <w:r>
        <w:rPr>
          <w:rFonts w:eastAsiaTheme="minorEastAsia"/>
          <w:color w:val="000000" w:themeColor="text1"/>
          <w:szCs w:val="21"/>
        </w:rPr>
        <w:t>REITs</w:t>
      </w:r>
      <w:r>
        <w:rPr>
          <w:rFonts w:eastAsiaTheme="minorEastAsia"/>
          <w:color w:val="000000" w:themeColor="text1"/>
          <w:szCs w:val="21"/>
        </w:rPr>
        <w:t>资产表现分化，美国、亚太市场表现较好，而英国等欧洲市场表现落后。截止期末，标的指数的整体分红率约为</w:t>
      </w:r>
      <w:r>
        <w:rPr>
          <w:rFonts w:eastAsiaTheme="minorEastAsia"/>
          <w:color w:val="000000" w:themeColor="text1"/>
          <w:szCs w:val="21"/>
        </w:rPr>
        <w:t>4.0%</w:t>
      </w:r>
      <w:r>
        <w:rPr>
          <w:rFonts w:eastAsiaTheme="minorEastAsia"/>
          <w:color w:val="000000" w:themeColor="text1"/>
          <w:szCs w:val="21"/>
        </w:rPr>
        <w:t>，仍高于美债收益率。</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报告期内，本基金继续采用抽样复制的方法跟踪标的指数，跟踪误差保持在合理范围内。</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szCs w:val="21"/>
        </w:rPr>
      </w:pPr>
      <w:r w:rsidRPr="0098332C">
        <w:rPr>
          <w:rFonts w:eastAsiaTheme="minorEastAsia"/>
          <w:b/>
          <w:color w:val="000000" w:themeColor="text1"/>
          <w:szCs w:val="21"/>
        </w:rPr>
        <w:t xml:space="preserve">4.4.2 </w:t>
      </w:r>
      <w:r w:rsidRPr="0098332C">
        <w:rPr>
          <w:rFonts w:eastAsiaTheme="minorEastAsia"/>
          <w:b/>
          <w:color w:val="000000" w:themeColor="text1"/>
          <w:szCs w:val="21"/>
        </w:rPr>
        <w:t>报告期内基金的业绩表现</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w:t>
      </w:r>
      <w:r w:rsidRPr="0098332C">
        <w:rPr>
          <w:rFonts w:eastAsiaTheme="minorEastAsia"/>
          <w:color w:val="000000" w:themeColor="text1"/>
          <w:szCs w:val="21"/>
        </w:rPr>
        <w:t>QDII</w:t>
      </w:r>
      <w:r w:rsidRPr="0098332C">
        <w:rPr>
          <w:rFonts w:eastAsiaTheme="minorEastAsia"/>
          <w:color w:val="000000" w:themeColor="text1"/>
          <w:szCs w:val="21"/>
        </w:rPr>
        <w:t>）份额净值增长率为</w:t>
      </w:r>
      <w:r w:rsidR="00A929C7">
        <w:rPr>
          <w:rFonts w:eastAsiaTheme="minorEastAsia"/>
          <w:color w:val="000000" w:themeColor="text1"/>
          <w:szCs w:val="21"/>
        </w:rPr>
        <w:t>:14.</w:t>
      </w:r>
      <w:r w:rsidR="00A929C7">
        <w:rPr>
          <w:rFonts w:eastAsiaTheme="minorEastAsia" w:hint="eastAsia"/>
          <w:color w:val="000000" w:themeColor="text1"/>
          <w:szCs w:val="21"/>
        </w:rPr>
        <w:t>52</w:t>
      </w:r>
      <w:r w:rsidRPr="0098332C">
        <w:rPr>
          <w:rFonts w:eastAsiaTheme="minorEastAsia"/>
          <w:color w:val="000000" w:themeColor="text1"/>
          <w:szCs w:val="21"/>
        </w:rPr>
        <w:t>%</w:t>
      </w:r>
      <w:r w:rsidRPr="0098332C">
        <w:rPr>
          <w:rFonts w:eastAsiaTheme="minorEastAsia"/>
          <w:color w:val="000000" w:themeColor="text1"/>
          <w:szCs w:val="21"/>
        </w:rPr>
        <w:t>，同期业绩比较基准收益率为</w:t>
      </w:r>
      <w:r w:rsidRPr="0098332C">
        <w:rPr>
          <w:rFonts w:eastAsiaTheme="minorEastAsia"/>
          <w:color w:val="000000" w:themeColor="text1"/>
          <w:szCs w:val="21"/>
        </w:rPr>
        <w:t>:13.</w:t>
      </w:r>
      <w:r w:rsidR="00A929C7">
        <w:rPr>
          <w:rFonts w:eastAsiaTheme="minorEastAsia" w:hint="eastAsia"/>
          <w:color w:val="000000" w:themeColor="text1"/>
          <w:szCs w:val="21"/>
        </w:rPr>
        <w:t>25</w:t>
      </w:r>
      <w:r w:rsidRPr="0098332C">
        <w:rPr>
          <w:rFonts w:eastAsiaTheme="minorEastAsia"/>
          <w:color w:val="000000" w:themeColor="text1"/>
          <w:szCs w:val="21"/>
        </w:rPr>
        <w:t>%</w:t>
      </w:r>
      <w:r w:rsidRPr="0098332C">
        <w:rPr>
          <w:rFonts w:eastAsiaTheme="minorEastAsia"/>
          <w:color w:val="000000" w:themeColor="text1"/>
          <w:szCs w:val="21"/>
        </w:rPr>
        <w:t>。</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2" w:name="_Toc225498259"/>
      <w:bookmarkStart w:id="93" w:name="_Toc352255977"/>
      <w:bookmarkStart w:id="94" w:name="_Toc352256045"/>
      <w:bookmarkStart w:id="95" w:name="_Toc352331223"/>
      <w:bookmarkStart w:id="96" w:name="_Toc362424001"/>
      <w:bookmarkStart w:id="97" w:name="_Toc374459263"/>
      <w:r w:rsidRPr="0098332C">
        <w:rPr>
          <w:rFonts w:ascii="Times New Roman" w:eastAsiaTheme="minorEastAsia" w:hAnsi="Times New Roman"/>
          <w:color w:val="000000" w:themeColor="text1"/>
          <w:kern w:val="0"/>
          <w:sz w:val="21"/>
          <w:szCs w:val="21"/>
        </w:rPr>
        <w:t xml:space="preserve">4.5 </w:t>
      </w:r>
      <w:r w:rsidRPr="0098332C">
        <w:rPr>
          <w:rFonts w:ascii="Times New Roman" w:eastAsiaTheme="minorEastAsia" w:hAnsi="Times New Roman"/>
          <w:color w:val="000000" w:themeColor="text1"/>
          <w:kern w:val="0"/>
          <w:sz w:val="21"/>
          <w:szCs w:val="21"/>
        </w:rPr>
        <w:t>管理人对宏观经济、证券市场及行业走势的简要展望</w:t>
      </w:r>
      <w:bookmarkEnd w:id="92"/>
      <w:bookmarkEnd w:id="93"/>
      <w:bookmarkEnd w:id="94"/>
      <w:bookmarkEnd w:id="95"/>
      <w:bookmarkEnd w:id="96"/>
      <w:bookmarkEnd w:id="97"/>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先行指标显示，美国经济增长将放缓，而中国经济的下行趋势也尚未见到拐点，二季度全球经济增长预期有所下调。</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当前主要发达市场进入扩张周期的后半段，股市波动性加大。历史经验显示，</w:t>
      </w:r>
      <w:r>
        <w:rPr>
          <w:rFonts w:eastAsiaTheme="minorEastAsia"/>
          <w:color w:val="000000" w:themeColor="text1"/>
          <w:szCs w:val="21"/>
        </w:rPr>
        <w:t>REITs</w:t>
      </w:r>
      <w:r>
        <w:rPr>
          <w:rFonts w:eastAsiaTheme="minorEastAsia"/>
          <w:color w:val="000000" w:themeColor="text1"/>
          <w:szCs w:val="21"/>
        </w:rPr>
        <w:t>资产在晚周期阶段相对于股市有一定的优势，</w:t>
      </w:r>
    </w:p>
    <w:p w:rsidR="00122FB4" w:rsidRDefault="003502BE">
      <w:pPr>
        <w:spacing w:line="360" w:lineRule="auto"/>
        <w:ind w:firstLineChars="200" w:firstLine="420"/>
        <w:rPr>
          <w:rFonts w:eastAsiaTheme="minorEastAsia"/>
          <w:color w:val="000000" w:themeColor="text1"/>
          <w:szCs w:val="21"/>
        </w:rPr>
      </w:pPr>
      <w:r>
        <w:rPr>
          <w:rFonts w:eastAsiaTheme="minorEastAsia"/>
          <w:color w:val="000000" w:themeColor="text1"/>
          <w:szCs w:val="21"/>
        </w:rPr>
        <w:t>REITs</w:t>
      </w:r>
      <w:r>
        <w:rPr>
          <w:rFonts w:eastAsiaTheme="minorEastAsia"/>
          <w:color w:val="000000" w:themeColor="text1"/>
          <w:szCs w:val="21"/>
        </w:rPr>
        <w:t>的租金收入受经济减速影响相对滞后，且其高派息属性使其具有较低的价格波动率。虽然二季度以来</w:t>
      </w:r>
      <w:r>
        <w:rPr>
          <w:rFonts w:eastAsiaTheme="minorEastAsia"/>
          <w:color w:val="000000" w:themeColor="text1"/>
          <w:szCs w:val="21"/>
        </w:rPr>
        <w:t>REITs</w:t>
      </w:r>
      <w:r>
        <w:rPr>
          <w:rFonts w:eastAsiaTheme="minorEastAsia"/>
          <w:color w:val="000000" w:themeColor="text1"/>
          <w:szCs w:val="21"/>
        </w:rPr>
        <w:t>的估值有所抬升，其相对估值仍有吸引力。</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另一方面，作为运营流程较为本土化的品种，</w:t>
      </w:r>
      <w:r w:rsidRPr="0098332C">
        <w:rPr>
          <w:rFonts w:eastAsiaTheme="minorEastAsia"/>
          <w:color w:val="000000" w:themeColor="text1"/>
          <w:szCs w:val="21"/>
        </w:rPr>
        <w:t>REITs</w:t>
      </w:r>
      <w:r w:rsidRPr="0098332C">
        <w:rPr>
          <w:rFonts w:eastAsiaTheme="minorEastAsia"/>
          <w:color w:val="000000" w:themeColor="text1"/>
          <w:szCs w:val="21"/>
        </w:rPr>
        <w:t>对于全球贸易摩擦带来的市场冲击的敏感度较低。分行业来看，我们相对看好需求稳定的住宅租赁及养老、医疗地产。</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8" w:name="_Toc247959457"/>
      <w:bookmarkStart w:id="99" w:name="_Toc225570083"/>
      <w:bookmarkStart w:id="100" w:name="_Toc352255979"/>
      <w:bookmarkStart w:id="101" w:name="_Toc352256047"/>
      <w:bookmarkStart w:id="102" w:name="_Toc352331225"/>
      <w:bookmarkStart w:id="103" w:name="_Toc362424003"/>
      <w:bookmarkStart w:id="104" w:name="_Toc374459265"/>
      <w:r w:rsidRPr="0098332C">
        <w:rPr>
          <w:rFonts w:ascii="Times New Roman" w:eastAsiaTheme="minorEastAsia" w:hAnsi="Times New Roman"/>
          <w:color w:val="000000" w:themeColor="text1"/>
          <w:kern w:val="0"/>
          <w:sz w:val="21"/>
          <w:szCs w:val="21"/>
        </w:rPr>
        <w:t xml:space="preserve">4.6 </w:t>
      </w:r>
      <w:r w:rsidRPr="0098332C">
        <w:rPr>
          <w:rFonts w:ascii="Times New Roman" w:eastAsiaTheme="minorEastAsia" w:hAnsi="Times New Roman"/>
          <w:color w:val="000000" w:themeColor="text1"/>
          <w:kern w:val="0"/>
          <w:sz w:val="21"/>
          <w:szCs w:val="21"/>
        </w:rPr>
        <w:t>管理人对报告期内基金估值程序等事项的说明</w:t>
      </w:r>
      <w:bookmarkEnd w:id="98"/>
      <w:bookmarkEnd w:id="99"/>
      <w:bookmarkEnd w:id="100"/>
      <w:bookmarkEnd w:id="101"/>
      <w:bookmarkEnd w:id="102"/>
      <w:bookmarkEnd w:id="103"/>
      <w:bookmarkEnd w:id="104"/>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05" w:name="_Toc247959458"/>
      <w:bookmarkStart w:id="106" w:name="_Toc225570084"/>
      <w:bookmarkStart w:id="107" w:name="_Toc352255980"/>
      <w:bookmarkStart w:id="108" w:name="_Toc352256048"/>
      <w:bookmarkStart w:id="109" w:name="_Toc352331226"/>
      <w:bookmarkStart w:id="110" w:name="_Toc362424004"/>
      <w:bookmarkStart w:id="111" w:name="_Toc374459266"/>
      <w:r w:rsidRPr="0098332C">
        <w:rPr>
          <w:rFonts w:ascii="Times New Roman" w:eastAsiaTheme="minorEastAsia" w:hAnsi="Times New Roman"/>
          <w:color w:val="000000" w:themeColor="text1"/>
          <w:kern w:val="0"/>
          <w:sz w:val="21"/>
          <w:szCs w:val="21"/>
        </w:rPr>
        <w:t xml:space="preserve">4.7 </w:t>
      </w:r>
      <w:r w:rsidRPr="0098332C">
        <w:rPr>
          <w:rFonts w:ascii="Times New Roman" w:eastAsiaTheme="minorEastAsia" w:hAnsi="Times New Roman"/>
          <w:color w:val="000000" w:themeColor="text1"/>
          <w:kern w:val="0"/>
          <w:sz w:val="21"/>
          <w:szCs w:val="21"/>
        </w:rPr>
        <w:t>管理人对报告期内基金利润分配情况的说明</w:t>
      </w:r>
      <w:bookmarkEnd w:id="105"/>
      <w:bookmarkEnd w:id="106"/>
      <w:bookmarkEnd w:id="107"/>
      <w:bookmarkEnd w:id="108"/>
      <w:bookmarkEnd w:id="109"/>
      <w:bookmarkEnd w:id="110"/>
      <w:bookmarkEnd w:id="111"/>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本报告期本基金未实施利润分配。</w:t>
      </w:r>
    </w:p>
    <w:p w:rsidR="00FC5407" w:rsidRPr="0098332C" w:rsidRDefault="00FC5407" w:rsidP="004F5A80">
      <w:pPr>
        <w:pStyle w:val="20"/>
        <w:spacing w:beforeLines="100" w:before="312" w:after="0"/>
        <w:rPr>
          <w:rFonts w:eastAsiaTheme="minorEastAsia"/>
          <w:color w:val="000000" w:themeColor="text1"/>
          <w:szCs w:val="21"/>
        </w:rPr>
      </w:pPr>
      <w:r w:rsidRPr="0098332C">
        <w:rPr>
          <w:rFonts w:ascii="Times New Roman" w:eastAsiaTheme="minorEastAsia" w:hAnsi="Times New Roman"/>
          <w:color w:val="000000" w:themeColor="text1"/>
          <w:kern w:val="0"/>
          <w:sz w:val="21"/>
          <w:szCs w:val="21"/>
        </w:rPr>
        <w:t>4.8</w:t>
      </w:r>
      <w:r w:rsidRPr="0098332C">
        <w:rPr>
          <w:rFonts w:ascii="Times New Roman" w:eastAsiaTheme="minorEastAsia" w:hAnsi="Times New Roman" w:hint="eastAsia"/>
          <w:color w:val="000000" w:themeColor="text1"/>
          <w:kern w:val="0"/>
          <w:sz w:val="21"/>
          <w:szCs w:val="21"/>
        </w:rPr>
        <w:t xml:space="preserve"> </w:t>
      </w:r>
      <w:r w:rsidRPr="0098332C">
        <w:rPr>
          <w:rFonts w:ascii="Times New Roman" w:eastAsiaTheme="minorEastAsia" w:hAnsi="Times New Roman" w:hint="eastAsia"/>
          <w:color w:val="000000" w:themeColor="text1"/>
          <w:kern w:val="0"/>
          <w:sz w:val="21"/>
          <w:szCs w:val="21"/>
        </w:rPr>
        <w:t>报告期内管理人对本基金持有人数或基金资产净值预警情形的说明</w:t>
      </w:r>
    </w:p>
    <w:p w:rsidR="002D7BFF"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kern w:val="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225498263"/>
      <w:bookmarkStart w:id="113" w:name="_Toc352255982"/>
      <w:bookmarkStart w:id="114" w:name="_Toc352256050"/>
      <w:bookmarkStart w:id="115" w:name="_Toc352331228"/>
      <w:bookmarkStart w:id="116" w:name="_Toc390164811"/>
      <w:r w:rsidRPr="0098332C">
        <w:rPr>
          <w:rFonts w:eastAsiaTheme="minorEastAsia"/>
          <w:b/>
          <w:bCs/>
          <w:sz w:val="21"/>
          <w:szCs w:val="21"/>
          <w:lang w:val="en-US"/>
        </w:rPr>
        <w:t>5</w:t>
      </w:r>
      <w:r w:rsidR="00937FC6" w:rsidRPr="0098332C">
        <w:rPr>
          <w:rFonts w:eastAsiaTheme="minorEastAsia"/>
          <w:b/>
          <w:bCs/>
          <w:sz w:val="21"/>
          <w:szCs w:val="21"/>
          <w:lang w:val="en-US"/>
        </w:rPr>
        <w:t xml:space="preserve">  </w:t>
      </w:r>
      <w:r w:rsidRPr="0098332C">
        <w:rPr>
          <w:rFonts w:eastAsiaTheme="minorEastAsia"/>
          <w:b/>
          <w:bCs/>
          <w:sz w:val="21"/>
          <w:szCs w:val="21"/>
          <w:lang w:val="en-US"/>
        </w:rPr>
        <w:t>托管人报告</w:t>
      </w:r>
      <w:bookmarkEnd w:id="112"/>
      <w:bookmarkEnd w:id="113"/>
      <w:bookmarkEnd w:id="114"/>
      <w:bookmarkEnd w:id="115"/>
      <w:bookmarkEnd w:id="116"/>
    </w:p>
    <w:p w:rsidR="008A5A5D" w:rsidRPr="0098332C" w:rsidRDefault="008A5A5D" w:rsidP="00D1188B">
      <w:pPr>
        <w:pStyle w:val="20"/>
        <w:spacing w:before="0" w:after="0"/>
        <w:rPr>
          <w:rFonts w:ascii="Times New Roman" w:eastAsiaTheme="minorEastAsia" w:hAnsi="Times New Roman"/>
          <w:kern w:val="0"/>
          <w:sz w:val="21"/>
          <w:szCs w:val="21"/>
        </w:rPr>
      </w:pPr>
      <w:bookmarkStart w:id="117" w:name="_Toc225498264"/>
      <w:bookmarkStart w:id="118" w:name="_Toc352255983"/>
      <w:bookmarkStart w:id="119" w:name="_Toc352256051"/>
      <w:bookmarkStart w:id="120" w:name="_Toc352331229"/>
      <w:bookmarkStart w:id="121" w:name="_Toc390164812"/>
      <w:r w:rsidRPr="0098332C">
        <w:rPr>
          <w:rFonts w:ascii="Times New Roman" w:eastAsiaTheme="minorEastAsia" w:hAnsi="Times New Roman"/>
          <w:kern w:val="0"/>
          <w:sz w:val="21"/>
          <w:szCs w:val="21"/>
        </w:rPr>
        <w:t xml:space="preserve">5.1 </w:t>
      </w:r>
      <w:r w:rsidRPr="0098332C">
        <w:rPr>
          <w:rFonts w:ascii="Times New Roman" w:eastAsiaTheme="minorEastAsia" w:hAnsi="Times New Roman"/>
          <w:kern w:val="0"/>
          <w:sz w:val="21"/>
          <w:szCs w:val="21"/>
        </w:rPr>
        <w:t>报告期内本基金托管人遵规守信情况声明</w:t>
      </w:r>
      <w:bookmarkEnd w:id="117"/>
      <w:bookmarkEnd w:id="118"/>
      <w:bookmarkEnd w:id="119"/>
      <w:bookmarkEnd w:id="120"/>
      <w:bookmarkEnd w:id="121"/>
    </w:p>
    <w:p w:rsidR="003502BE" w:rsidRDefault="003502BE" w:rsidP="003502BE">
      <w:pPr>
        <w:tabs>
          <w:tab w:val="left" w:pos="426"/>
        </w:tabs>
        <w:spacing w:line="360" w:lineRule="auto"/>
        <w:ind w:firstLineChars="200" w:firstLine="420"/>
        <w:rPr>
          <w:rFonts w:eastAsiaTheme="minorEastAsia"/>
          <w:kern w:val="0"/>
          <w:szCs w:val="21"/>
        </w:rPr>
      </w:pPr>
      <w:bookmarkStart w:id="122" w:name="_Toc225498265"/>
      <w:bookmarkStart w:id="123" w:name="_Toc352255984"/>
      <w:bookmarkStart w:id="124" w:name="_Toc352256052"/>
      <w:bookmarkStart w:id="125" w:name="_Toc352331230"/>
      <w:bookmarkStart w:id="126" w:name="_Toc390164813"/>
      <w:r>
        <w:rPr>
          <w:rFonts w:eastAsiaTheme="minorEastAsia" w:hint="eastAsia"/>
          <w:kern w:val="0"/>
          <w:szCs w:val="21"/>
        </w:rPr>
        <w:t>托管人声明</w:t>
      </w:r>
      <w:r>
        <w:rPr>
          <w:rFonts w:eastAsiaTheme="minorEastAsia"/>
          <w:kern w:val="0"/>
          <w:szCs w:val="21"/>
        </w:rPr>
        <w:t>:</w:t>
      </w:r>
    </w:p>
    <w:p w:rsidR="003502BE" w:rsidRDefault="003502BE" w:rsidP="003502BE">
      <w:pPr>
        <w:tabs>
          <w:tab w:val="left" w:pos="426"/>
        </w:tabs>
        <w:spacing w:line="360" w:lineRule="auto"/>
        <w:ind w:firstLineChars="200" w:firstLine="420"/>
        <w:rPr>
          <w:rFonts w:eastAsiaTheme="minorEastAsia"/>
          <w:kern w:val="0"/>
          <w:szCs w:val="21"/>
        </w:rPr>
      </w:pPr>
      <w:r>
        <w:rPr>
          <w:rFonts w:eastAsiaTheme="minorEastAsia" w:hint="eastAsia"/>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8A5A5D" w:rsidRPr="0098332C" w:rsidRDefault="008A5A5D" w:rsidP="004F5A80">
      <w:pPr>
        <w:pStyle w:val="20"/>
        <w:spacing w:beforeLines="100" w:before="312" w:after="0"/>
        <w:rPr>
          <w:rFonts w:ascii="Times New Roman" w:eastAsiaTheme="minorEastAsia" w:hAnsi="Times New Roman"/>
          <w:kern w:val="0"/>
          <w:sz w:val="21"/>
          <w:szCs w:val="21"/>
        </w:rPr>
      </w:pPr>
      <w:r w:rsidRPr="0098332C">
        <w:rPr>
          <w:rFonts w:ascii="Times New Roman" w:eastAsiaTheme="minorEastAsia" w:hAnsi="Times New Roman"/>
          <w:kern w:val="0"/>
          <w:sz w:val="21"/>
          <w:szCs w:val="21"/>
        </w:rPr>
        <w:t xml:space="preserve">5.2 </w:t>
      </w:r>
      <w:r w:rsidRPr="0098332C">
        <w:rPr>
          <w:rFonts w:ascii="Times New Roman" w:eastAsiaTheme="minorEastAsia" w:hAnsi="Times New Roman"/>
          <w:kern w:val="0"/>
          <w:sz w:val="21"/>
          <w:szCs w:val="21"/>
        </w:rPr>
        <w:t>托管人对报告期内本基金投资运作遵规守信、净值计算、利润分配等情况的</w:t>
      </w:r>
      <w:bookmarkEnd w:id="122"/>
      <w:r w:rsidRPr="0098332C">
        <w:rPr>
          <w:rFonts w:ascii="Times New Roman" w:eastAsiaTheme="minorEastAsia" w:hAnsi="Times New Roman"/>
          <w:kern w:val="0"/>
          <w:sz w:val="21"/>
          <w:szCs w:val="21"/>
        </w:rPr>
        <w:t>说明</w:t>
      </w:r>
      <w:bookmarkEnd w:id="123"/>
      <w:bookmarkEnd w:id="124"/>
      <w:bookmarkEnd w:id="125"/>
      <w:bookmarkEnd w:id="126"/>
    </w:p>
    <w:p w:rsidR="003502BE" w:rsidRDefault="003502BE" w:rsidP="003502BE">
      <w:pPr>
        <w:tabs>
          <w:tab w:val="left" w:pos="426"/>
        </w:tabs>
        <w:spacing w:line="360" w:lineRule="auto"/>
        <w:ind w:firstLineChars="200" w:firstLine="420"/>
        <w:rPr>
          <w:rFonts w:eastAsiaTheme="minorEastAsia"/>
          <w:kern w:val="0"/>
          <w:szCs w:val="21"/>
        </w:rPr>
      </w:pPr>
      <w:r>
        <w:rPr>
          <w:rFonts w:eastAsiaTheme="minorEastAsia" w:hint="eastAsia"/>
          <w:kern w:val="0"/>
          <w:szCs w:val="21"/>
        </w:rPr>
        <w:t>招商银行根据法律法规、托管协议约定的投资监督条款，对托管产品的投资行为进行监督，并根据监管要求履行报告义务。</w:t>
      </w:r>
    </w:p>
    <w:p w:rsidR="003502BE" w:rsidRDefault="003502BE" w:rsidP="003502BE">
      <w:pPr>
        <w:tabs>
          <w:tab w:val="left" w:pos="426"/>
        </w:tabs>
        <w:spacing w:line="360" w:lineRule="auto"/>
        <w:ind w:firstLineChars="200" w:firstLine="420"/>
        <w:rPr>
          <w:rFonts w:eastAsiaTheme="minorEastAsia"/>
          <w:kern w:val="0"/>
          <w:szCs w:val="21"/>
        </w:rPr>
      </w:pPr>
      <w:r>
        <w:rPr>
          <w:rFonts w:eastAsiaTheme="minorEastAsia" w:hint="eastAsia"/>
          <w:kern w:val="0"/>
          <w:szCs w:val="21"/>
        </w:rPr>
        <w:t>招商银行按照托管协议约定的统一记账方法和会计处理原则，独立地设置、登录和保管本产品的全套账册，进行会计核算和资产估值并与管理人建立对账机制。</w:t>
      </w:r>
    </w:p>
    <w:p w:rsidR="008A5A5D" w:rsidRPr="0098332C" w:rsidRDefault="003502BE" w:rsidP="003502BE">
      <w:pPr>
        <w:tabs>
          <w:tab w:val="left" w:pos="426"/>
        </w:tabs>
        <w:spacing w:line="360" w:lineRule="auto"/>
        <w:ind w:firstLineChars="200" w:firstLine="420"/>
        <w:rPr>
          <w:rFonts w:eastAsiaTheme="minorEastAsia"/>
          <w:kern w:val="0"/>
          <w:szCs w:val="21"/>
        </w:rPr>
      </w:pPr>
      <w:r>
        <w:rPr>
          <w:rFonts w:eastAsiaTheme="minorEastAsia" w:hint="eastAsia"/>
          <w:kern w:val="0"/>
          <w:szCs w:val="21"/>
        </w:rPr>
        <w:t>本半年度报告中利润分配情况真实、准确。</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27" w:name="_Toc225498266"/>
      <w:bookmarkStart w:id="128" w:name="_Toc352255985"/>
      <w:bookmarkStart w:id="129" w:name="_Toc352256053"/>
      <w:bookmarkStart w:id="130" w:name="_Toc352331231"/>
      <w:bookmarkStart w:id="131" w:name="_Toc390164814"/>
      <w:r w:rsidRPr="0098332C">
        <w:rPr>
          <w:rFonts w:ascii="Times New Roman" w:eastAsiaTheme="minorEastAsia" w:hAnsi="Times New Roman"/>
          <w:kern w:val="0"/>
          <w:sz w:val="21"/>
          <w:szCs w:val="21"/>
        </w:rPr>
        <w:t xml:space="preserve">5.3 </w:t>
      </w:r>
      <w:r w:rsidRPr="0098332C">
        <w:rPr>
          <w:rFonts w:ascii="Times New Roman" w:eastAsiaTheme="minorEastAsia" w:hAnsi="Times New Roman"/>
          <w:kern w:val="0"/>
          <w:sz w:val="21"/>
          <w:szCs w:val="21"/>
        </w:rPr>
        <w:t>托管人对本半年度报告中财务信息等内容的真实、准确和完整发表意见</w:t>
      </w:r>
      <w:bookmarkEnd w:id="127"/>
      <w:bookmarkEnd w:id="128"/>
      <w:bookmarkEnd w:id="129"/>
      <w:bookmarkEnd w:id="130"/>
      <w:bookmarkEnd w:id="131"/>
    </w:p>
    <w:p w:rsidR="003502BE" w:rsidRDefault="003502BE" w:rsidP="003502BE">
      <w:pPr>
        <w:tabs>
          <w:tab w:val="left" w:pos="426"/>
        </w:tabs>
        <w:spacing w:line="360" w:lineRule="auto"/>
        <w:ind w:firstLineChars="200" w:firstLine="420"/>
        <w:rPr>
          <w:rFonts w:eastAsiaTheme="minorEastAsia"/>
          <w:kern w:val="0"/>
          <w:szCs w:val="21"/>
        </w:rPr>
      </w:pPr>
      <w:bookmarkStart w:id="132" w:name="_Toc331410096"/>
      <w:bookmarkStart w:id="133" w:name="_Toc390164815"/>
      <w:r>
        <w:rPr>
          <w:rFonts w:eastAsiaTheme="minorEastAsia" w:hint="eastAsia"/>
          <w:kern w:val="0"/>
          <w:szCs w:val="21"/>
        </w:rPr>
        <w:t>本半年度报告中财务指标、净值表现、财务会计报告、投资组合报告内容真实、准确，不存在虚假记载、误导性陈述或者重大遗漏。</w:t>
      </w:r>
    </w:p>
    <w:p w:rsidR="0088203F" w:rsidRPr="0098332C" w:rsidRDefault="0088203F" w:rsidP="0088203F">
      <w:pPr>
        <w:widowControl/>
        <w:jc w:val="left"/>
        <w:rPr>
          <w:rFonts w:eastAsiaTheme="minorEastAsia"/>
          <w:b/>
          <w:bCs/>
          <w:kern w:val="0"/>
          <w:szCs w:val="21"/>
        </w:rPr>
      </w:pPr>
      <w:r w:rsidRPr="0098332C">
        <w:rPr>
          <w:rFonts w:eastAsiaTheme="minorEastAsia"/>
          <w:b/>
          <w:bCs/>
          <w:szCs w:val="21"/>
        </w:rPr>
        <w:br w:type="page"/>
      </w:r>
    </w:p>
    <w:bookmarkEnd w:id="132"/>
    <w:p w:rsidR="008A5A5D" w:rsidRPr="0098332C"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r w:rsidRPr="0098332C">
        <w:rPr>
          <w:rFonts w:eastAsiaTheme="minorEastAsia" w:hint="eastAsia"/>
          <w:b/>
          <w:bCs/>
          <w:sz w:val="21"/>
          <w:szCs w:val="21"/>
          <w:lang w:val="en-US"/>
        </w:rPr>
        <w:t>6</w:t>
      </w:r>
      <w:r w:rsidR="00871A0D" w:rsidRPr="0098332C">
        <w:rPr>
          <w:rFonts w:eastAsiaTheme="minorEastAsia" w:hint="eastAsia"/>
          <w:b/>
          <w:bCs/>
          <w:sz w:val="21"/>
          <w:szCs w:val="21"/>
          <w:lang w:val="en-US"/>
        </w:rPr>
        <w:t xml:space="preserve">  </w:t>
      </w:r>
      <w:r w:rsidR="008A5A5D" w:rsidRPr="0098332C">
        <w:rPr>
          <w:rFonts w:eastAsiaTheme="minorEastAsia"/>
          <w:b/>
          <w:bCs/>
          <w:sz w:val="21"/>
          <w:szCs w:val="21"/>
          <w:lang w:val="en-US"/>
        </w:rPr>
        <w:t>半年度财务会计报告（未经审计）</w:t>
      </w:r>
      <w:bookmarkEnd w:id="133"/>
    </w:p>
    <w:p w:rsidR="008A5A5D" w:rsidRPr="0098332C" w:rsidRDefault="00512AC2" w:rsidP="00316012">
      <w:pPr>
        <w:pStyle w:val="20"/>
        <w:spacing w:before="0" w:after="0"/>
        <w:rPr>
          <w:rFonts w:ascii="Times New Roman" w:eastAsiaTheme="minorEastAsia" w:hAnsi="Times New Roman"/>
          <w:kern w:val="0"/>
          <w:sz w:val="21"/>
          <w:szCs w:val="21"/>
        </w:rPr>
      </w:pPr>
      <w:bookmarkStart w:id="134" w:name="_Toc225498268"/>
      <w:bookmarkStart w:id="135" w:name="_Toc352255991"/>
      <w:bookmarkStart w:id="136" w:name="_Toc352256059"/>
      <w:bookmarkStart w:id="137" w:name="_Toc352331237"/>
      <w:bookmarkStart w:id="138" w:name="_Toc390164816"/>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.1 </w:t>
      </w:r>
      <w:r w:rsidR="008A5A5D" w:rsidRPr="0098332C">
        <w:rPr>
          <w:rFonts w:ascii="Times New Roman" w:eastAsiaTheme="minorEastAsia" w:hAnsi="Times New Roman"/>
          <w:kern w:val="0"/>
          <w:sz w:val="21"/>
          <w:szCs w:val="21"/>
        </w:rPr>
        <w:t>资产负债表</w:t>
      </w:r>
      <w:bookmarkEnd w:id="134"/>
      <w:bookmarkEnd w:id="135"/>
      <w:bookmarkEnd w:id="136"/>
      <w:bookmarkEnd w:id="137"/>
      <w:bookmarkEnd w:id="138"/>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会计主体：上投摩根富时发达市场</w:t>
      </w:r>
      <w:r w:rsidRPr="0098332C">
        <w:rPr>
          <w:rFonts w:eastAsiaTheme="minorEastAsia"/>
          <w:color w:val="000000"/>
          <w:szCs w:val="21"/>
        </w:rPr>
        <w:t>REITs</w:t>
      </w:r>
      <w:r w:rsidRPr="0098332C">
        <w:rPr>
          <w:rFonts w:eastAsiaTheme="minorEastAsia"/>
          <w:color w:val="000000"/>
          <w:szCs w:val="21"/>
        </w:rPr>
        <w:t>指数型证券投资基金（</w:t>
      </w:r>
      <w:r w:rsidRPr="0098332C">
        <w:rPr>
          <w:rFonts w:eastAsiaTheme="minorEastAsia"/>
          <w:color w:val="000000"/>
          <w:szCs w:val="21"/>
        </w:rPr>
        <w:t>QDII</w:t>
      </w:r>
      <w:r w:rsidRPr="0098332C">
        <w:rPr>
          <w:rFonts w:eastAsiaTheme="minorEastAsia"/>
          <w:color w:val="000000"/>
          <w:szCs w:val="21"/>
        </w:rPr>
        <w:t>）</w:t>
      </w:r>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报告截止日：</w:t>
      </w:r>
      <w:r w:rsidR="00AC4A34" w:rsidRPr="0098332C">
        <w:rPr>
          <w:rFonts w:eastAsiaTheme="minorEastAsia"/>
          <w:color w:val="000000"/>
          <w:szCs w:val="21"/>
        </w:rPr>
        <w:t>2019</w:t>
      </w:r>
      <w:r w:rsidR="00AC4A34" w:rsidRPr="0098332C">
        <w:rPr>
          <w:rFonts w:eastAsiaTheme="minorEastAsia"/>
          <w:color w:val="000000"/>
          <w:szCs w:val="21"/>
        </w:rPr>
        <w:t>年</w:t>
      </w:r>
      <w:r w:rsidR="00AC4A34" w:rsidRPr="0098332C">
        <w:rPr>
          <w:rFonts w:eastAsiaTheme="minorEastAsia"/>
          <w:color w:val="000000"/>
          <w:szCs w:val="21"/>
        </w:rPr>
        <w:t>6</w:t>
      </w:r>
      <w:r w:rsidR="00AC4A34" w:rsidRPr="0098332C">
        <w:rPr>
          <w:rFonts w:eastAsiaTheme="minorEastAsia"/>
          <w:color w:val="000000"/>
          <w:szCs w:val="21"/>
        </w:rPr>
        <w:t>月</w:t>
      </w:r>
      <w:r w:rsidR="00AC4A34" w:rsidRPr="0098332C">
        <w:rPr>
          <w:rFonts w:eastAsiaTheme="minorEastAsia"/>
          <w:color w:val="000000"/>
          <w:szCs w:val="21"/>
        </w:rPr>
        <w:t>30</w:t>
      </w:r>
      <w:r w:rsidR="00AC4A34" w:rsidRPr="0098332C">
        <w:rPr>
          <w:rFonts w:eastAsiaTheme="minorEastAsia"/>
          <w:color w:val="00000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98332C" w:rsidTr="006D141C">
        <w:tc>
          <w:tcPr>
            <w:tcW w:w="288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资产</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2019</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银行存款</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r w:rsidRPr="0098332C">
              <w:rPr>
                <w:rFonts w:eastAsiaTheme="minorEastAsia"/>
                <w:color w:val="000000"/>
                <w:szCs w:val="21"/>
              </w:rPr>
              <w:t>6.4.7.1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13,260,095.86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15,793,171.22</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结算备付金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存出保证金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165,931,935.20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178,257,554.85</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其中：股票投资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165,931,935.20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178,257,554.85</w:t>
            </w:r>
          </w:p>
        </w:tc>
      </w:tr>
      <w:tr w:rsidR="00AE103C" w:rsidRPr="0098332C" w:rsidTr="006D141C">
        <w:tc>
          <w:tcPr>
            <w:tcW w:w="2880" w:type="dxa"/>
            <w:vAlign w:val="center"/>
          </w:tcPr>
          <w:p w:rsidR="00AE103C" w:rsidRPr="0098332C" w:rsidRDefault="00AE103C" w:rsidP="00F07EDE">
            <w:pPr>
              <w:pStyle w:val="aff1"/>
              <w:ind w:firstLineChars="300" w:firstLine="630"/>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基金投资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衍生金融资产</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买入返售金融资产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1,211.42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1,941.49</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应收股利</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696,517.51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868,508.96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应收申购款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1,428,078.30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695,908.37</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181,317,838.29</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195,617,084.89</w:t>
            </w:r>
          </w:p>
        </w:tc>
      </w:tr>
      <w:tr w:rsidR="008A5A5D" w:rsidRPr="0098332C" w:rsidTr="006D141C">
        <w:tc>
          <w:tcPr>
            <w:tcW w:w="28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负债和所有者权益</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2019</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短期借款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卖出回购金融资产款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应付赎回款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4,559,158.01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5,569,467.34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应付管理人报酬</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112,903.59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136,388.81</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35,282.35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42,621.48</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应交税费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354,357.26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346,639.12</w:t>
            </w:r>
          </w:p>
        </w:tc>
      </w:tr>
      <w:tr w:rsidR="00AE103C" w:rsidRPr="0098332C" w:rsidTr="006D141C">
        <w:tc>
          <w:tcPr>
            <w:tcW w:w="2880" w:type="dxa"/>
            <w:vAlign w:val="center"/>
          </w:tcPr>
          <w:p w:rsidR="00AE103C" w:rsidRPr="0098332C" w:rsidRDefault="00AE103C">
            <w:pPr>
              <w:pStyle w:val="aff1"/>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负债合计</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5,061,701.21</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6,095,116.75</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实收基金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143,807,874.24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177,091,479.68</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未分配利润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32,448,262.84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12,430,488.46</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所有者权益合计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176,256,137.08</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189,521,968.14</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负债和所有者权益总计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181,317,838.29</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195,617,084.89</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1.</w:t>
      </w:r>
      <w:r w:rsidRPr="0098332C">
        <w:rPr>
          <w:rFonts w:eastAsiaTheme="minorEastAsia"/>
          <w:kern w:val="0"/>
          <w:szCs w:val="21"/>
        </w:rPr>
        <w:t>报告截止日</w:t>
      </w:r>
      <w:r w:rsidRPr="0098332C">
        <w:rPr>
          <w:rFonts w:eastAsiaTheme="minorEastAsia"/>
          <w:kern w:val="0"/>
          <w:szCs w:val="21"/>
        </w:rPr>
        <w:t>2019</w:t>
      </w:r>
      <w:r w:rsidRPr="0098332C">
        <w:rPr>
          <w:rFonts w:eastAsiaTheme="minorEastAsia"/>
          <w:kern w:val="0"/>
          <w:szCs w:val="21"/>
        </w:rPr>
        <w:t>年</w:t>
      </w:r>
      <w:r w:rsidRPr="0098332C">
        <w:rPr>
          <w:rFonts w:eastAsiaTheme="minorEastAsia"/>
          <w:kern w:val="0"/>
          <w:szCs w:val="21"/>
        </w:rPr>
        <w:t>06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日，基金份额净值</w:t>
      </w:r>
      <w:r w:rsidRPr="0098332C">
        <w:rPr>
          <w:rFonts w:eastAsiaTheme="minorEastAsia"/>
          <w:kern w:val="0"/>
          <w:szCs w:val="21"/>
        </w:rPr>
        <w:t>1.2256</w:t>
      </w:r>
      <w:r w:rsidRPr="0098332C">
        <w:rPr>
          <w:rFonts w:eastAsiaTheme="minorEastAsia"/>
          <w:kern w:val="0"/>
          <w:szCs w:val="21"/>
        </w:rPr>
        <w:t>元，基金份额总额</w:t>
      </w:r>
      <w:r w:rsidRPr="0098332C">
        <w:rPr>
          <w:rFonts w:eastAsiaTheme="minorEastAsia"/>
          <w:kern w:val="0"/>
          <w:szCs w:val="21"/>
        </w:rPr>
        <w:t>143,807,874.24</w:t>
      </w:r>
      <w:r w:rsidRPr="0098332C">
        <w:rPr>
          <w:rFonts w:eastAsiaTheme="minorEastAsia"/>
          <w:kern w:val="0"/>
          <w:szCs w:val="21"/>
        </w:rPr>
        <w:t>份。</w:t>
      </w:r>
    </w:p>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39" w:name="_Toc225498269"/>
      <w:bookmarkStart w:id="140" w:name="_Toc352255992"/>
      <w:bookmarkStart w:id="141" w:name="_Toc352256060"/>
      <w:bookmarkStart w:id="142" w:name="_Toc352331238"/>
      <w:bookmarkStart w:id="143" w:name="_Toc390164817"/>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.2 </w:t>
      </w:r>
      <w:r w:rsidR="008A5A5D" w:rsidRPr="0098332C">
        <w:rPr>
          <w:rFonts w:ascii="Times New Roman" w:eastAsiaTheme="minorEastAsia" w:hAnsi="Times New Roman"/>
          <w:kern w:val="0"/>
          <w:sz w:val="21"/>
          <w:szCs w:val="21"/>
        </w:rPr>
        <w:t>利润表</w:t>
      </w:r>
      <w:bookmarkEnd w:id="139"/>
      <w:bookmarkEnd w:id="140"/>
      <w:bookmarkEnd w:id="141"/>
      <w:bookmarkEnd w:id="142"/>
      <w:bookmarkEnd w:id="143"/>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上投摩根富时发达市场</w:t>
      </w:r>
      <w:r w:rsidRPr="0098332C">
        <w:rPr>
          <w:rFonts w:eastAsiaTheme="minorEastAsia"/>
          <w:kern w:val="0"/>
          <w:szCs w:val="21"/>
        </w:rPr>
        <w:t>REITs</w:t>
      </w:r>
      <w:r w:rsidRPr="0098332C">
        <w:rPr>
          <w:rFonts w:eastAsiaTheme="minorEastAsia"/>
          <w:kern w:val="0"/>
          <w:szCs w:val="21"/>
        </w:rPr>
        <w:t>指数型证券投资基金（</w:t>
      </w:r>
      <w:r w:rsidRPr="0098332C">
        <w:rPr>
          <w:rFonts w:eastAsiaTheme="minorEastAsia"/>
          <w:kern w:val="0"/>
          <w:szCs w:val="21"/>
        </w:rPr>
        <w:t>QDII</w:t>
      </w:r>
      <w:r w:rsidRPr="0098332C">
        <w:rPr>
          <w:rFonts w:eastAsiaTheme="minorEastAsia"/>
          <w:kern w:val="0"/>
          <w:szCs w:val="21"/>
        </w:rPr>
        <w:t>）</w:t>
      </w:r>
    </w:p>
    <w:p w:rsidR="008A5A5D" w:rsidRPr="0098332C" w:rsidRDefault="008A5A5D" w:rsidP="00316012">
      <w:pPr>
        <w:spacing w:line="360" w:lineRule="auto"/>
        <w:rPr>
          <w:rFonts w:eastAsiaTheme="minorEastAsia"/>
          <w:color w:val="000000"/>
          <w:kern w:val="0"/>
          <w:szCs w:val="21"/>
        </w:rPr>
      </w:pPr>
      <w:r w:rsidRPr="0098332C">
        <w:rPr>
          <w:rFonts w:eastAsiaTheme="minorEastAsia"/>
          <w:color w:val="000000"/>
          <w:szCs w:val="21"/>
        </w:rPr>
        <w:t>本报告期：</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98332C" w:rsidTr="00B72BA9">
        <w:tc>
          <w:tcPr>
            <w:tcW w:w="342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项目</w:t>
            </w:r>
          </w:p>
        </w:tc>
        <w:tc>
          <w:tcPr>
            <w:tcW w:w="108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w:t>
            </w:r>
          </w:p>
          <w:p w:rsidR="008A5A5D" w:rsidRPr="0098332C" w:rsidRDefault="00AC4A34"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上年度可比期间</w:t>
            </w:r>
          </w:p>
          <w:p w:rsidR="008A5A5D" w:rsidRPr="0098332C" w:rsidRDefault="00BD0707"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4</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26</w:t>
            </w:r>
            <w:r w:rsidRPr="0098332C">
              <w:rPr>
                <w:rFonts w:ascii="Times New Roman" w:eastAsiaTheme="minorEastAsia" w:hAnsi="Times New Roman"/>
                <w:b/>
                <w:color w:val="000000"/>
                <w:sz w:val="21"/>
                <w:szCs w:val="21"/>
              </w:rPr>
              <w:t>日（基金合同生效日）至</w:t>
            </w: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一、收入</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25,488,166.63</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14,117,817.05</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46,771.02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75,528.55</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其中：存款利息收入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46,771.02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64,770.18</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债券利息收入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资产支持证券利息收入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买入返售金融资产收入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10,758.37</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其他利息收入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投资收益（损失以</w:t>
            </w:r>
            <w:r w:rsidRPr="0098332C">
              <w:rPr>
                <w:rFonts w:eastAsiaTheme="minorEastAsia"/>
                <w:color w:val="000000"/>
                <w:szCs w:val="21"/>
              </w:rPr>
              <w:t>“-”</w:t>
            </w:r>
            <w:r w:rsidRPr="0098332C">
              <w:rPr>
                <w:rFonts w:eastAsiaTheme="minorEastAsia"/>
                <w:color w:val="000000"/>
                <w:szCs w:val="21"/>
              </w:rPr>
              <w:t>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7,812,722.40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1,519,858.53</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其中：股票投资收益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4,856,789.20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320,583.76</w:t>
            </w:r>
          </w:p>
        </w:tc>
      </w:tr>
      <w:tr w:rsidR="00AE103C" w:rsidRPr="0098332C" w:rsidTr="00B72BA9">
        <w:tc>
          <w:tcPr>
            <w:tcW w:w="3420" w:type="dxa"/>
            <w:vAlign w:val="center"/>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基金投资收益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衍生工具收益</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股利收益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6.4.7.17</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2,955,933.20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1,199,274.77</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公允价值变动收益（损失以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6.4.7.18</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17,534,830.57</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11,364,892.11</w:t>
            </w:r>
          </w:p>
        </w:tc>
      </w:tr>
      <w:tr w:rsidR="00AE103C" w:rsidRPr="0098332C" w:rsidTr="00B72BA9">
        <w:tc>
          <w:tcPr>
            <w:tcW w:w="3420" w:type="dxa"/>
            <w:vAlign w:val="center"/>
          </w:tcPr>
          <w:p w:rsidR="00AE103C" w:rsidRPr="0098332C" w:rsidRDefault="00AE103C">
            <w:pPr>
              <w:pStyle w:val="aff1"/>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4.</w:t>
            </w:r>
            <w:r w:rsidRPr="0098332C">
              <w:rPr>
                <w:rFonts w:ascii="Times New Roman" w:eastAsiaTheme="minorEastAsia" w:hAnsi="Times New Roman"/>
                <w:color w:val="000000"/>
                <w:sz w:val="21"/>
                <w:szCs w:val="21"/>
              </w:rPr>
              <w:t>汇兑收益（损失以</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-63,237.75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817,698.02</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其他收入（损失以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157,080.39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339,839.84</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减：二、费用</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1,159,020.03</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630,050.99</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．管理人报酬</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683,059.63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252,595.20</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213,456.09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78,935.99</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4</w:t>
            </w:r>
            <w:r w:rsidRPr="0098332C">
              <w:rPr>
                <w:rFonts w:eastAsiaTheme="minorEastAsia"/>
                <w:color w:val="000000"/>
                <w:szCs w:val="21"/>
              </w:rPr>
              <w:t>．交易费用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79,342.39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191,556.41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．利息支出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其中：卖出回购金融资产支出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6.</w:t>
            </w:r>
            <w:r w:rsidRPr="0098332C">
              <w:rPr>
                <w:rFonts w:eastAsiaTheme="minorEastAsia" w:hint="eastAsia"/>
                <w:color w:val="000000"/>
                <w:szCs w:val="21"/>
              </w:rPr>
              <w:t>税金及附加</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7</w:t>
            </w:r>
            <w:r w:rsidRPr="0098332C">
              <w:rPr>
                <w:rFonts w:eastAsiaTheme="minorEastAsia"/>
                <w:color w:val="000000"/>
                <w:szCs w:val="21"/>
              </w:rPr>
              <w:t>．其他费用</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6.4.7.21</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183,161.92</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106,963.39</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三、利润总额（亏损总额以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24,329,146.60</w:t>
            </w: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13,487,766.06</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szCs w:val="21"/>
              </w:rPr>
              <w:t>减：所得税费用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四、净利润（净亏损以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24,329,146.60</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13,487,766.06</w:t>
            </w:r>
          </w:p>
        </w:tc>
      </w:tr>
    </w:tbl>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44" w:name="_Toc225498270"/>
      <w:bookmarkStart w:id="145" w:name="_Toc352255993"/>
      <w:bookmarkStart w:id="146" w:name="_Toc352256061"/>
      <w:bookmarkStart w:id="147" w:name="_Toc352331239"/>
      <w:bookmarkStart w:id="148" w:name="_Toc390164818"/>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.3 </w:t>
      </w:r>
      <w:r w:rsidR="008A5A5D" w:rsidRPr="0098332C">
        <w:rPr>
          <w:rFonts w:ascii="Times New Roman" w:eastAsiaTheme="minorEastAsia" w:hAnsi="Times New Roman"/>
          <w:kern w:val="0"/>
          <w:sz w:val="21"/>
          <w:szCs w:val="21"/>
        </w:rPr>
        <w:t>所有者权益（基金净值）变动表</w:t>
      </w:r>
      <w:bookmarkEnd w:id="144"/>
      <w:bookmarkEnd w:id="145"/>
      <w:bookmarkEnd w:id="146"/>
      <w:bookmarkEnd w:id="147"/>
      <w:bookmarkEnd w:id="148"/>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上投摩根富时发达市场</w:t>
      </w:r>
      <w:r w:rsidRPr="0098332C">
        <w:rPr>
          <w:rFonts w:eastAsiaTheme="minorEastAsia"/>
          <w:kern w:val="0"/>
          <w:szCs w:val="21"/>
        </w:rPr>
        <w:t>REITs</w:t>
      </w:r>
      <w:r w:rsidRPr="0098332C">
        <w:rPr>
          <w:rFonts w:eastAsiaTheme="minorEastAsia"/>
          <w:kern w:val="0"/>
          <w:szCs w:val="21"/>
        </w:rPr>
        <w:t>指数型证券投资基金（</w:t>
      </w:r>
      <w:r w:rsidRPr="0098332C">
        <w:rPr>
          <w:rFonts w:eastAsiaTheme="minorEastAsia"/>
          <w:kern w:val="0"/>
          <w:szCs w:val="21"/>
        </w:rPr>
        <w:t>QDII</w:t>
      </w:r>
      <w:r w:rsidRPr="0098332C">
        <w:rPr>
          <w:rFonts w:eastAsiaTheme="minorEastAsia"/>
          <w:kern w:val="0"/>
          <w:szCs w:val="21"/>
        </w:rPr>
        <w:t>）</w:t>
      </w:r>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本报告期：</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2019</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98332C" w:rsidTr="006D141C">
        <w:tc>
          <w:tcPr>
            <w:tcW w:w="2835" w:type="dxa"/>
            <w:vMerge w:val="restart"/>
            <w:vAlign w:val="center"/>
          </w:tcPr>
          <w:p w:rsidR="008A5A5D" w:rsidRPr="0098332C" w:rsidRDefault="008A5A5D" w:rsidP="00C96D24">
            <w:pPr>
              <w:jc w:val="center"/>
              <w:rPr>
                <w:rFonts w:eastAsiaTheme="minorEastAsia"/>
                <w:b/>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本期</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2019</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r>
      <w:tr w:rsidR="008A5A5D" w:rsidRPr="0098332C" w:rsidTr="006D141C">
        <w:tc>
          <w:tcPr>
            <w:tcW w:w="2835" w:type="dxa"/>
            <w:vMerge/>
            <w:vAlign w:val="center"/>
          </w:tcPr>
          <w:p w:rsidR="008A5A5D" w:rsidRPr="0098332C" w:rsidRDefault="008A5A5D">
            <w:pPr>
              <w:widowControl/>
              <w:jc w:val="left"/>
              <w:rPr>
                <w:rFonts w:eastAsiaTheme="minorEastAsia"/>
                <w:b/>
                <w:color w:val="000000"/>
                <w:szCs w:val="21"/>
              </w:rPr>
            </w:pPr>
          </w:p>
        </w:tc>
        <w:tc>
          <w:tcPr>
            <w:tcW w:w="2127"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177,091,479.68</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12,430,488.46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189,521,968.14</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24,329,146.60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24,329,146.60</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-33,283,605.44</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-4,311,372.22</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-37,594,977.66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43,452,406.29</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8,563,462.82</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52,015,869.11</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-76,736,011.73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-12,874,835.04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-89,610,846.77</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143,807,874.24</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32,448,262.84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176,256,137.08</w:t>
            </w:r>
          </w:p>
        </w:tc>
      </w:tr>
      <w:tr w:rsidR="008A5A5D" w:rsidRPr="0098332C" w:rsidTr="006D141C">
        <w:tc>
          <w:tcPr>
            <w:tcW w:w="2835" w:type="dxa"/>
            <w:vMerge w:val="restart"/>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上年度可比期间</w:t>
            </w:r>
          </w:p>
          <w:p w:rsidR="008A5A5D" w:rsidRPr="0098332C" w:rsidRDefault="00BD0707">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4</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26</w:t>
            </w:r>
            <w:r w:rsidRPr="0098332C">
              <w:rPr>
                <w:rFonts w:ascii="Times New Roman" w:eastAsiaTheme="minorEastAsia" w:hAnsi="Times New Roman"/>
                <w:b/>
                <w:color w:val="000000"/>
                <w:sz w:val="21"/>
                <w:szCs w:val="21"/>
              </w:rPr>
              <w:t>日（基金合同生效日）至</w:t>
            </w:r>
            <w:r w:rsidRPr="0098332C">
              <w:rPr>
                <w:rFonts w:ascii="Times New Roman" w:eastAsiaTheme="minorEastAsia" w:hAnsi="Times New Roman"/>
                <w:b/>
                <w:color w:val="000000"/>
                <w:sz w:val="21"/>
                <w:szCs w:val="21"/>
              </w:rPr>
              <w:t>2018</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8A5A5D" w:rsidRPr="0098332C" w:rsidTr="008964A8">
        <w:tc>
          <w:tcPr>
            <w:tcW w:w="2835" w:type="dxa"/>
            <w:vMerge/>
            <w:vAlign w:val="center"/>
          </w:tcPr>
          <w:p w:rsidR="008A5A5D" w:rsidRPr="0098332C" w:rsidRDefault="008A5A5D">
            <w:pPr>
              <w:widowControl/>
              <w:jc w:val="left"/>
              <w:rPr>
                <w:rFonts w:eastAsiaTheme="minorEastAsia"/>
                <w:color w:val="000000"/>
                <w:szCs w:val="21"/>
              </w:rPr>
            </w:pPr>
          </w:p>
        </w:tc>
        <w:tc>
          <w:tcPr>
            <w:tcW w:w="2127" w:type="dxa"/>
            <w:vAlign w:val="center"/>
          </w:tcPr>
          <w:p w:rsidR="008A5A5D" w:rsidRPr="0098332C" w:rsidRDefault="008A5A5D" w:rsidP="00E069E3">
            <w:pPr>
              <w:jc w:val="center"/>
              <w:rPr>
                <w:rFonts w:eastAsiaTheme="minorEastAsia"/>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rsidP="008964A8">
            <w:pPr>
              <w:jc w:val="center"/>
              <w:rPr>
                <w:rFonts w:eastAsiaTheme="minorEastAsia"/>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rsidP="008964A8">
            <w:pPr>
              <w:jc w:val="center"/>
              <w:rPr>
                <w:rFonts w:eastAsiaTheme="minorEastAsia"/>
                <w:b/>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217,433,561.84</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661,178.94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218,094,740.78</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13,487,766.06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13,487,766.06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-57,461,720.66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-449,895.70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-57,911,616.36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16,689,669.86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520,780.03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17,210,449.89</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-74,151,390.52</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-970,675.73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-75,122,066.25</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159,971,841.18</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13,699,049.30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173,670,890.48</w:t>
            </w:r>
          </w:p>
        </w:tc>
      </w:tr>
    </w:tbl>
    <w:p w:rsidR="0035753E" w:rsidRPr="0098332C" w:rsidRDefault="0035753E" w:rsidP="004F5A80">
      <w:pPr>
        <w:spacing w:beforeLines="100" w:before="312" w:line="360" w:lineRule="auto"/>
        <w:rPr>
          <w:rFonts w:eastAsiaTheme="minorEastAsia"/>
          <w:szCs w:val="21"/>
        </w:rPr>
      </w:pPr>
      <w:r w:rsidRPr="0098332C">
        <w:rPr>
          <w:rFonts w:eastAsiaTheme="minorEastAsia"/>
          <w:szCs w:val="21"/>
        </w:rPr>
        <w:t>报表附注为财务报表的组成部分。</w:t>
      </w:r>
    </w:p>
    <w:p w:rsidR="0035753E" w:rsidRPr="0098332C" w:rsidRDefault="0035753E" w:rsidP="00316012">
      <w:pPr>
        <w:spacing w:line="360" w:lineRule="auto"/>
        <w:rPr>
          <w:rFonts w:eastAsiaTheme="minorEastAsia"/>
          <w:szCs w:val="21"/>
        </w:rPr>
      </w:pPr>
      <w:r w:rsidRPr="0098332C">
        <w:rPr>
          <w:rFonts w:eastAsiaTheme="minorEastAsia"/>
          <w:szCs w:val="21"/>
        </w:rPr>
        <w:t>本报告</w:t>
      </w:r>
      <w:r w:rsidRPr="0098332C">
        <w:rPr>
          <w:rFonts w:eastAsiaTheme="minorEastAsia"/>
          <w:szCs w:val="21"/>
        </w:rPr>
        <w:t>6.1</w:t>
      </w:r>
      <w:r w:rsidRPr="0098332C">
        <w:rPr>
          <w:rFonts w:eastAsiaTheme="minorEastAsia"/>
          <w:szCs w:val="21"/>
        </w:rPr>
        <w:t>至</w:t>
      </w:r>
      <w:r w:rsidRPr="0098332C">
        <w:rPr>
          <w:rFonts w:eastAsiaTheme="minorEastAsia"/>
          <w:szCs w:val="21"/>
        </w:rPr>
        <w:t>6.4</w:t>
      </w:r>
      <w:r w:rsidRPr="0098332C">
        <w:rPr>
          <w:rFonts w:eastAsiaTheme="minorEastAsia"/>
          <w:szCs w:val="21"/>
        </w:rPr>
        <w:t>，财务报表由下列负责人签署：</w:t>
      </w:r>
    </w:p>
    <w:p w:rsidR="008A5A5D" w:rsidRPr="0098332C" w:rsidRDefault="00787FF8" w:rsidP="00862636">
      <w:pPr>
        <w:spacing w:line="360" w:lineRule="auto"/>
        <w:rPr>
          <w:rFonts w:eastAsiaTheme="minorEastAsia"/>
          <w:szCs w:val="21"/>
        </w:rPr>
      </w:pPr>
      <w:r w:rsidRPr="0098332C">
        <w:rPr>
          <w:rFonts w:eastAsiaTheme="minorEastAsia"/>
          <w:szCs w:val="21"/>
        </w:rPr>
        <w:t>基金管理人</w:t>
      </w:r>
      <w:r w:rsidR="0035753E" w:rsidRPr="0098332C">
        <w:rPr>
          <w:rFonts w:eastAsiaTheme="minorEastAsia"/>
          <w:szCs w:val="21"/>
        </w:rPr>
        <w:t>负责人：王大智，主管会计工作负责人：杨怡，会计机构负责人：张璐</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49" w:name="_Toc225498271"/>
      <w:bookmarkStart w:id="150" w:name="_Toc352255994"/>
      <w:bookmarkStart w:id="151" w:name="_Toc352256062"/>
      <w:bookmarkStart w:id="152" w:name="_Toc352331240"/>
      <w:bookmarkStart w:id="153" w:name="_Toc390164819"/>
      <w:r w:rsidRPr="0098332C">
        <w:rPr>
          <w:rFonts w:ascii="Times New Roman" w:eastAsiaTheme="minorEastAsia" w:hAnsi="Times New Roman"/>
          <w:kern w:val="0"/>
          <w:sz w:val="21"/>
          <w:szCs w:val="21"/>
        </w:rPr>
        <w:t xml:space="preserve">6.4 </w:t>
      </w:r>
      <w:r w:rsidRPr="0098332C">
        <w:rPr>
          <w:rFonts w:ascii="Times New Roman" w:eastAsiaTheme="minorEastAsia" w:hAnsi="Times New Roman"/>
          <w:kern w:val="0"/>
          <w:sz w:val="21"/>
          <w:szCs w:val="21"/>
        </w:rPr>
        <w:t>报表附注</w:t>
      </w:r>
      <w:bookmarkEnd w:id="149"/>
      <w:bookmarkEnd w:id="150"/>
      <w:bookmarkEnd w:id="151"/>
      <w:bookmarkEnd w:id="152"/>
      <w:bookmarkEnd w:id="153"/>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w:t>
      </w:r>
      <w:r w:rsidR="004F3E31" w:rsidRPr="0098332C">
        <w:rPr>
          <w:rFonts w:eastAsiaTheme="minorEastAsia"/>
          <w:b/>
          <w:bCs/>
          <w:color w:val="000000"/>
          <w:kern w:val="0"/>
          <w:szCs w:val="21"/>
        </w:rPr>
        <w:t xml:space="preserve"> </w:t>
      </w:r>
      <w:r w:rsidRPr="0098332C">
        <w:rPr>
          <w:rFonts w:eastAsiaTheme="minorEastAsia"/>
          <w:b/>
          <w:color w:val="000000"/>
          <w:kern w:val="0"/>
          <w:szCs w:val="21"/>
        </w:rPr>
        <w:t>基金基本情况</w:t>
      </w: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[2018]</w:t>
      </w:r>
      <w:r>
        <w:rPr>
          <w:rFonts w:eastAsiaTheme="minorEastAsia"/>
          <w:kern w:val="0"/>
          <w:szCs w:val="21"/>
        </w:rPr>
        <w:t>第</w:t>
      </w:r>
      <w:r>
        <w:rPr>
          <w:rFonts w:eastAsiaTheme="minorEastAsia"/>
          <w:kern w:val="0"/>
          <w:szCs w:val="21"/>
        </w:rPr>
        <w:t>64</w:t>
      </w:r>
      <w:r>
        <w:rPr>
          <w:rFonts w:eastAsiaTheme="minorEastAsia"/>
          <w:kern w:val="0"/>
          <w:szCs w:val="21"/>
        </w:rPr>
        <w:t>号《关于准予上投摩根富时发达市场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注册的批复》核准，由上投摩根基金管理有限公司依照《中华人民共和国证券投资基金法》和《上投摩根富时发达市场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基金合同》负责公开募集。本基金为契约型开放式，存续期限不定，首次设立募集不包括认购资金利息共募集人民币</w:t>
      </w:r>
      <w:r>
        <w:rPr>
          <w:rFonts w:eastAsiaTheme="minorEastAsia"/>
          <w:kern w:val="0"/>
          <w:szCs w:val="21"/>
        </w:rPr>
        <w:t>110,593,367.08</w:t>
      </w:r>
      <w:r>
        <w:rPr>
          <w:rFonts w:eastAsiaTheme="minorEastAsia"/>
          <w:kern w:val="0"/>
          <w:szCs w:val="21"/>
        </w:rPr>
        <w:t>元和美元</w:t>
      </w:r>
      <w:r>
        <w:rPr>
          <w:rFonts w:eastAsiaTheme="minorEastAsia"/>
          <w:kern w:val="0"/>
          <w:szCs w:val="21"/>
        </w:rPr>
        <w:t>16,978,012.59</w:t>
      </w:r>
      <w:r>
        <w:rPr>
          <w:rFonts w:eastAsiaTheme="minorEastAsia"/>
          <w:kern w:val="0"/>
          <w:szCs w:val="21"/>
        </w:rPr>
        <w:t>元，美元按照募集期最后一日</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20</w:t>
      </w:r>
      <w:r>
        <w:rPr>
          <w:rFonts w:eastAsiaTheme="minorEastAsia"/>
          <w:kern w:val="0"/>
          <w:szCs w:val="21"/>
        </w:rPr>
        <w:t>日</w:t>
      </w:r>
      <w:r>
        <w:rPr>
          <w:rFonts w:eastAsiaTheme="minorEastAsia"/>
          <w:kern w:val="0"/>
          <w:szCs w:val="21"/>
        </w:rPr>
        <w:t>)</w:t>
      </w:r>
      <w:r>
        <w:rPr>
          <w:rFonts w:eastAsiaTheme="minorEastAsia"/>
          <w:kern w:val="0"/>
          <w:szCs w:val="21"/>
        </w:rPr>
        <w:t>中国人民银行最新公布的人民币对美元汇率中间价折算后募集资本合计为人民币</w:t>
      </w:r>
      <w:r>
        <w:rPr>
          <w:rFonts w:eastAsiaTheme="minorEastAsia"/>
          <w:kern w:val="0"/>
          <w:szCs w:val="21"/>
        </w:rPr>
        <w:t>217,379,976.49</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(2018)</w:t>
      </w:r>
      <w:r>
        <w:rPr>
          <w:rFonts w:eastAsiaTheme="minorEastAsia"/>
          <w:kern w:val="0"/>
          <w:szCs w:val="21"/>
        </w:rPr>
        <w:t>第</w:t>
      </w:r>
      <w:r>
        <w:rPr>
          <w:rFonts w:eastAsiaTheme="minorEastAsia"/>
          <w:kern w:val="0"/>
          <w:szCs w:val="21"/>
        </w:rPr>
        <w:t>0269</w:t>
      </w:r>
      <w:r>
        <w:rPr>
          <w:rFonts w:eastAsiaTheme="minorEastAsia"/>
          <w:kern w:val="0"/>
          <w:szCs w:val="21"/>
        </w:rPr>
        <w:t>号验资报告予以验证。经向中国证监会备案，《上投摩根富时发达市场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日正式生效，基金合同生效日的基金份额总额为</w:t>
      </w:r>
      <w:r>
        <w:rPr>
          <w:rFonts w:eastAsiaTheme="minorEastAsia"/>
          <w:kern w:val="0"/>
          <w:szCs w:val="21"/>
        </w:rPr>
        <w:t>217,433,561.84</w:t>
      </w:r>
      <w:r>
        <w:rPr>
          <w:rFonts w:eastAsiaTheme="minorEastAsia"/>
          <w:kern w:val="0"/>
          <w:szCs w:val="21"/>
        </w:rPr>
        <w:t>份基金份额，其中认购资金利息折合</w:t>
      </w:r>
      <w:r>
        <w:rPr>
          <w:rFonts w:eastAsiaTheme="minorEastAsia"/>
          <w:kern w:val="0"/>
          <w:szCs w:val="21"/>
        </w:rPr>
        <w:t>53,585.35</w:t>
      </w:r>
      <w:r>
        <w:rPr>
          <w:rFonts w:eastAsiaTheme="minorEastAsia"/>
          <w:kern w:val="0"/>
          <w:szCs w:val="21"/>
        </w:rPr>
        <w:t>份基金份额。本基金的基金管理人为上投摩根基金管理有限公司，基金托管人为招商银行股份有限公司，境外资产托管人为香港上海汇丰银行有限公司。</w:t>
      </w:r>
    </w:p>
    <w:p w:rsidR="00122FB4" w:rsidRDefault="00122FB4">
      <w:pPr>
        <w:tabs>
          <w:tab w:val="left" w:pos="426"/>
        </w:tabs>
        <w:spacing w:line="360" w:lineRule="auto"/>
        <w:ind w:firstLineChars="200" w:firstLine="420"/>
        <w:rPr>
          <w:rFonts w:eastAsiaTheme="minorEastAsia"/>
          <w:kern w:val="0"/>
          <w:szCs w:val="21"/>
        </w:rPr>
      </w:pP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根据《上投摩根富时发达市场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基金合同》和《上投摩根富时发达市场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招募说明书》的有关规定，本基金根据认购</w:t>
      </w:r>
      <w:r>
        <w:rPr>
          <w:rFonts w:eastAsiaTheme="minorEastAsia"/>
          <w:kern w:val="0"/>
          <w:szCs w:val="21"/>
        </w:rPr>
        <w:t>/</w:t>
      </w:r>
      <w:r>
        <w:rPr>
          <w:rFonts w:eastAsiaTheme="minorEastAsia"/>
          <w:kern w:val="0"/>
          <w:szCs w:val="21"/>
        </w:rPr>
        <w:t>申购、赎回使用货币的不同，将基金份额分为不同的类别。以人民币计价并进行认购</w:t>
      </w:r>
      <w:r>
        <w:rPr>
          <w:rFonts w:eastAsiaTheme="minorEastAsia"/>
          <w:kern w:val="0"/>
          <w:szCs w:val="21"/>
        </w:rPr>
        <w:t>/</w:t>
      </w:r>
      <w:r>
        <w:rPr>
          <w:rFonts w:eastAsiaTheme="minorEastAsia"/>
          <w:kern w:val="0"/>
          <w:szCs w:val="21"/>
        </w:rPr>
        <w:t>申购、赎回的份额类别称为人民币份额；以美元计价并进行认购</w:t>
      </w:r>
      <w:r>
        <w:rPr>
          <w:rFonts w:eastAsiaTheme="minorEastAsia"/>
          <w:kern w:val="0"/>
          <w:szCs w:val="21"/>
        </w:rPr>
        <w:t>/</w:t>
      </w:r>
      <w:r>
        <w:rPr>
          <w:rFonts w:eastAsiaTheme="minorEastAsia"/>
          <w:kern w:val="0"/>
          <w:szCs w:val="21"/>
        </w:rPr>
        <w:t>申购、赎回的份额类别称为美元份额，美元份额又分为美元现钞份额和美元现汇份额。人民币份额、美元现钞份额和美元现汇份额分别设置代码，分别公布基金份额净值，不同基金份额类别之间不得互相转换。</w:t>
      </w:r>
    </w:p>
    <w:p w:rsidR="00122FB4" w:rsidRDefault="00122FB4">
      <w:pPr>
        <w:tabs>
          <w:tab w:val="left" w:pos="426"/>
        </w:tabs>
        <w:spacing w:line="360" w:lineRule="auto"/>
        <w:ind w:firstLineChars="200" w:firstLine="420"/>
        <w:rPr>
          <w:rFonts w:eastAsiaTheme="minorEastAsia"/>
          <w:kern w:val="0"/>
          <w:szCs w:val="21"/>
        </w:rPr>
      </w:pP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基金合同》的有关规定，本基金的境外投资范围为富时发达市场</w:t>
      </w:r>
      <w:r>
        <w:rPr>
          <w:rFonts w:eastAsiaTheme="minorEastAsia"/>
          <w:kern w:val="0"/>
          <w:szCs w:val="21"/>
        </w:rPr>
        <w:t>REITs</w:t>
      </w:r>
      <w:r>
        <w:rPr>
          <w:rFonts w:eastAsiaTheme="minorEastAsia"/>
          <w:kern w:val="0"/>
          <w:szCs w:val="21"/>
        </w:rPr>
        <w:t>指数</w:t>
      </w:r>
      <w:r>
        <w:rPr>
          <w:rFonts w:eastAsiaTheme="minorEastAsia"/>
          <w:kern w:val="0"/>
          <w:szCs w:val="21"/>
        </w:rPr>
        <w:t>(FTSE EPRA/NAREIT Developed REITs Index)</w:t>
      </w:r>
      <w:r>
        <w:rPr>
          <w:rFonts w:eastAsiaTheme="minorEastAsia"/>
          <w:kern w:val="0"/>
          <w:szCs w:val="21"/>
        </w:rPr>
        <w:t>成分券、备选成分券及以富时发达市场</w:t>
      </w:r>
      <w:r>
        <w:rPr>
          <w:rFonts w:eastAsiaTheme="minorEastAsia"/>
          <w:kern w:val="0"/>
          <w:szCs w:val="21"/>
        </w:rPr>
        <w:t>REITs</w:t>
      </w:r>
      <w:r>
        <w:rPr>
          <w:rFonts w:eastAsiaTheme="minorEastAsia"/>
          <w:kern w:val="0"/>
          <w:szCs w:val="21"/>
        </w:rPr>
        <w:t>指数为投资标的的指数基金</w:t>
      </w:r>
      <w:r>
        <w:rPr>
          <w:rFonts w:eastAsiaTheme="minorEastAsia"/>
          <w:kern w:val="0"/>
          <w:szCs w:val="21"/>
        </w:rPr>
        <w:t>(</w:t>
      </w:r>
      <w:r>
        <w:rPr>
          <w:rFonts w:eastAsiaTheme="minorEastAsia"/>
          <w:kern w:val="0"/>
          <w:szCs w:val="21"/>
        </w:rPr>
        <w:t>包括</w:t>
      </w:r>
      <w:r>
        <w:rPr>
          <w:rFonts w:eastAsiaTheme="minorEastAsia"/>
          <w:kern w:val="0"/>
          <w:szCs w:val="21"/>
        </w:rPr>
        <w:t>ETF)</w:t>
      </w:r>
      <w:r>
        <w:rPr>
          <w:rFonts w:eastAsiaTheme="minorEastAsia"/>
          <w:kern w:val="0"/>
          <w:szCs w:val="21"/>
        </w:rPr>
        <w:t>等，以及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的境内投资范围为具有良好流动性的金融工具，具体包括国债、央行票据、金融债、企业债、公司债、证券公司短期公司债、地方政府债、次级债、短期融资券、中期票据、中小企业私募债、可分离交易可转债的纯债部分、资产支持证券、债券回购、同业存单、银行存款等，及法律法规或中国证监会允许投资的其他金融工具</w:t>
      </w:r>
      <w:r>
        <w:rPr>
          <w:rFonts w:eastAsiaTheme="minorEastAsia"/>
          <w:kern w:val="0"/>
          <w:szCs w:val="21"/>
        </w:rPr>
        <w:t>(</w:t>
      </w:r>
      <w:r>
        <w:rPr>
          <w:rFonts w:eastAsiaTheme="minorEastAsia"/>
          <w:kern w:val="0"/>
          <w:szCs w:val="21"/>
        </w:rPr>
        <w:t>但须符合中国证监会的相关规定</w:t>
      </w:r>
      <w:r>
        <w:rPr>
          <w:rFonts w:eastAsiaTheme="minorEastAsia"/>
          <w:kern w:val="0"/>
          <w:szCs w:val="21"/>
        </w:rPr>
        <w:t>)</w:t>
      </w:r>
      <w:r>
        <w:rPr>
          <w:rFonts w:eastAsiaTheme="minorEastAsia"/>
          <w:kern w:val="0"/>
          <w:szCs w:val="21"/>
        </w:rPr>
        <w:t>。本基金的投资组合比例为：投资于</w:t>
      </w:r>
      <w:r>
        <w:rPr>
          <w:rFonts w:eastAsiaTheme="minorEastAsia"/>
          <w:kern w:val="0"/>
          <w:szCs w:val="21"/>
        </w:rPr>
        <w:t>REITs</w:t>
      </w:r>
      <w:r>
        <w:rPr>
          <w:rFonts w:eastAsiaTheme="minorEastAsia"/>
          <w:kern w:val="0"/>
          <w:szCs w:val="21"/>
        </w:rPr>
        <w:t>的资产不低于基金资产的</w:t>
      </w:r>
      <w:r>
        <w:rPr>
          <w:rFonts w:eastAsiaTheme="minorEastAsia"/>
          <w:kern w:val="0"/>
          <w:szCs w:val="21"/>
        </w:rPr>
        <w:t>90%</w:t>
      </w:r>
      <w:r>
        <w:rPr>
          <w:rFonts w:eastAsiaTheme="minorEastAsia"/>
          <w:kern w:val="0"/>
          <w:szCs w:val="21"/>
        </w:rPr>
        <w:t>，投资于富时发达市场</w:t>
      </w:r>
      <w:r>
        <w:rPr>
          <w:rFonts w:eastAsiaTheme="minorEastAsia"/>
          <w:kern w:val="0"/>
          <w:szCs w:val="21"/>
        </w:rPr>
        <w:t>REITs</w:t>
      </w:r>
      <w:r>
        <w:rPr>
          <w:rFonts w:eastAsiaTheme="minorEastAsia"/>
          <w:kern w:val="0"/>
          <w:szCs w:val="21"/>
        </w:rPr>
        <w:t>指数成分券、备选成分券及以富时发达市场</w:t>
      </w:r>
      <w:r>
        <w:rPr>
          <w:rFonts w:eastAsiaTheme="minorEastAsia"/>
          <w:kern w:val="0"/>
          <w:szCs w:val="21"/>
        </w:rPr>
        <w:t>REITs</w:t>
      </w:r>
      <w:r>
        <w:rPr>
          <w:rFonts w:eastAsiaTheme="minorEastAsia"/>
          <w:kern w:val="0"/>
          <w:szCs w:val="21"/>
        </w:rPr>
        <w:t>指数为投资标的的指数基金</w:t>
      </w:r>
      <w:r>
        <w:rPr>
          <w:rFonts w:eastAsiaTheme="minorEastAsia"/>
          <w:kern w:val="0"/>
          <w:szCs w:val="21"/>
        </w:rPr>
        <w:t>(</w:t>
      </w:r>
      <w:r>
        <w:rPr>
          <w:rFonts w:eastAsiaTheme="minorEastAsia"/>
          <w:kern w:val="0"/>
          <w:szCs w:val="21"/>
        </w:rPr>
        <w:t>包括</w:t>
      </w:r>
      <w:r>
        <w:rPr>
          <w:rFonts w:eastAsiaTheme="minorEastAsia"/>
          <w:kern w:val="0"/>
          <w:szCs w:val="21"/>
        </w:rPr>
        <w:t>ETF)</w:t>
      </w:r>
      <w:r>
        <w:rPr>
          <w:rFonts w:eastAsiaTheme="minorEastAsia"/>
          <w:kern w:val="0"/>
          <w:szCs w:val="21"/>
        </w:rPr>
        <w:t>的投资比例不低于非现金基金资产的</w:t>
      </w:r>
      <w:r>
        <w:rPr>
          <w:rFonts w:eastAsiaTheme="minorEastAsia"/>
          <w:kern w:val="0"/>
          <w:szCs w:val="21"/>
        </w:rPr>
        <w:t>90%</w:t>
      </w:r>
      <w:r>
        <w:rPr>
          <w:rFonts w:eastAsiaTheme="minorEastAsia"/>
          <w:kern w:val="0"/>
          <w:szCs w:val="21"/>
        </w:rPr>
        <w:t>，现金或到期日在一年以内的政府债券不低于基金资产净值的</w:t>
      </w:r>
      <w:r>
        <w:rPr>
          <w:rFonts w:eastAsiaTheme="minorEastAsia"/>
          <w:kern w:val="0"/>
          <w:szCs w:val="21"/>
        </w:rPr>
        <w:t>5%</w:t>
      </w:r>
      <w:r>
        <w:rPr>
          <w:rFonts w:eastAsiaTheme="minorEastAsia"/>
          <w:kern w:val="0"/>
          <w:szCs w:val="21"/>
        </w:rPr>
        <w:t>，其中现金不包括结算备付金、存出保证金、应收申购款等。本基金的业绩比较基准为：</w:t>
      </w:r>
      <w:r>
        <w:rPr>
          <w:rFonts w:eastAsiaTheme="minorEastAsia"/>
          <w:kern w:val="0"/>
          <w:szCs w:val="21"/>
        </w:rPr>
        <w:t>95%×</w:t>
      </w:r>
      <w:r>
        <w:rPr>
          <w:rFonts w:eastAsiaTheme="minorEastAsia"/>
          <w:kern w:val="0"/>
          <w:szCs w:val="21"/>
        </w:rPr>
        <w:t>富时发达市场</w:t>
      </w:r>
      <w:r>
        <w:rPr>
          <w:rFonts w:eastAsiaTheme="minorEastAsia"/>
          <w:kern w:val="0"/>
          <w:szCs w:val="21"/>
        </w:rPr>
        <w:t>REITs</w:t>
      </w:r>
      <w:r>
        <w:rPr>
          <w:rFonts w:eastAsiaTheme="minorEastAsia"/>
          <w:kern w:val="0"/>
          <w:szCs w:val="21"/>
        </w:rPr>
        <w:t>指数收益率</w:t>
      </w:r>
      <w:r>
        <w:rPr>
          <w:rFonts w:eastAsiaTheme="minorEastAsia"/>
          <w:kern w:val="0"/>
          <w:szCs w:val="21"/>
        </w:rPr>
        <w:t>+5%×</w:t>
      </w:r>
      <w:r>
        <w:rPr>
          <w:rFonts w:eastAsiaTheme="minorEastAsia"/>
          <w:kern w:val="0"/>
          <w:szCs w:val="21"/>
        </w:rPr>
        <w:t>税后银行活期存款收益率。</w:t>
      </w:r>
    </w:p>
    <w:p w:rsidR="00122FB4" w:rsidRDefault="00122FB4">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本财务报表由本基金的基金管理人上投摩根基金管理有限公司于</w:t>
      </w:r>
      <w:r w:rsidRPr="0098332C">
        <w:rPr>
          <w:rFonts w:eastAsiaTheme="minorEastAsia"/>
          <w:kern w:val="0"/>
          <w:szCs w:val="21"/>
        </w:rPr>
        <w:t xml:space="preserve"> 2019 </w:t>
      </w:r>
      <w:r w:rsidRPr="0098332C">
        <w:rPr>
          <w:rFonts w:eastAsiaTheme="minorEastAsia"/>
          <w:kern w:val="0"/>
          <w:szCs w:val="21"/>
        </w:rPr>
        <w:t>年</w:t>
      </w:r>
      <w:r w:rsidRPr="0098332C">
        <w:rPr>
          <w:rFonts w:eastAsiaTheme="minorEastAsia"/>
          <w:kern w:val="0"/>
          <w:szCs w:val="21"/>
        </w:rPr>
        <w:t xml:space="preserve"> 8 </w:t>
      </w:r>
      <w:r w:rsidRPr="0098332C">
        <w:rPr>
          <w:rFonts w:eastAsiaTheme="minorEastAsia"/>
          <w:kern w:val="0"/>
          <w:szCs w:val="21"/>
        </w:rPr>
        <w:t>月</w:t>
      </w:r>
      <w:r w:rsidRPr="0098332C">
        <w:rPr>
          <w:rFonts w:eastAsiaTheme="minorEastAsia"/>
          <w:kern w:val="0"/>
          <w:szCs w:val="21"/>
        </w:rPr>
        <w:t xml:space="preserve">23 </w:t>
      </w:r>
      <w:r w:rsidRPr="0098332C">
        <w:rPr>
          <w:rFonts w:eastAsiaTheme="minorEastAsia"/>
          <w:kern w:val="0"/>
          <w:szCs w:val="21"/>
        </w:rPr>
        <w:t>日批准报出。</w:t>
      </w:r>
      <w:r w:rsidRPr="0098332C">
        <w:rPr>
          <w:rFonts w:eastAsiaTheme="minorEastAsia"/>
          <w:kern w:val="0"/>
          <w:szCs w:val="21"/>
        </w:rPr>
        <w:t xml:space="preserve"> </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6.4.2</w:t>
      </w:r>
      <w:r w:rsidR="004F3E31" w:rsidRPr="0098332C">
        <w:rPr>
          <w:rFonts w:eastAsiaTheme="minorEastAsia"/>
          <w:b/>
          <w:bCs/>
          <w:color w:val="000000"/>
          <w:kern w:val="0"/>
          <w:szCs w:val="21"/>
        </w:rPr>
        <w:t xml:space="preserve"> </w:t>
      </w:r>
      <w:r w:rsidRPr="0098332C">
        <w:rPr>
          <w:rFonts w:eastAsiaTheme="minorEastAsia"/>
          <w:b/>
          <w:color w:val="000000"/>
          <w:kern w:val="0"/>
          <w:szCs w:val="21"/>
        </w:rPr>
        <w:t>会计报表的编制基础</w:t>
      </w: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年度报告和半年度报告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122FB4" w:rsidRDefault="00122FB4">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本财务报表以持续经营为基础编制。</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6.4.3</w:t>
      </w:r>
      <w:r w:rsidR="004F3E31" w:rsidRPr="0098332C">
        <w:rPr>
          <w:rFonts w:eastAsiaTheme="minorEastAsia"/>
          <w:b/>
          <w:bCs/>
          <w:color w:val="000000"/>
          <w:kern w:val="0"/>
          <w:szCs w:val="21"/>
        </w:rPr>
        <w:t xml:space="preserve"> </w:t>
      </w:r>
      <w:r w:rsidRPr="0098332C">
        <w:rPr>
          <w:rFonts w:eastAsiaTheme="minorEastAsia"/>
          <w:b/>
          <w:color w:val="000000"/>
          <w:kern w:val="0"/>
          <w:szCs w:val="21"/>
        </w:rPr>
        <w:t>遵循企业会计准则及其他有关规定的声明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w:t>
      </w:r>
      <w:r w:rsidRPr="0098332C">
        <w:rPr>
          <w:rFonts w:eastAsiaTheme="minorEastAsia"/>
          <w:kern w:val="0"/>
          <w:szCs w:val="21"/>
        </w:rPr>
        <w:t>2019</w:t>
      </w:r>
      <w:r w:rsidRPr="0098332C">
        <w:rPr>
          <w:rFonts w:eastAsiaTheme="minorEastAsia"/>
          <w:kern w:val="0"/>
          <w:szCs w:val="21"/>
        </w:rPr>
        <w:t>年上半年度财务报表符合企业会计准则的要求，真实、完整地反映了本基金</w:t>
      </w:r>
      <w:r w:rsidRPr="0098332C">
        <w:rPr>
          <w:rFonts w:eastAsiaTheme="minorEastAsia"/>
          <w:kern w:val="0"/>
          <w:szCs w:val="21"/>
        </w:rPr>
        <w:t>2019</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日的财务状况以及</w:t>
      </w:r>
      <w:r w:rsidRPr="0098332C">
        <w:rPr>
          <w:rFonts w:eastAsiaTheme="minorEastAsia"/>
          <w:kern w:val="0"/>
          <w:szCs w:val="21"/>
        </w:rPr>
        <w:t>2019</w:t>
      </w:r>
      <w:r w:rsidRPr="0098332C">
        <w:rPr>
          <w:rFonts w:eastAsiaTheme="minorEastAsia"/>
          <w:kern w:val="0"/>
          <w:szCs w:val="21"/>
        </w:rPr>
        <w:t>上半年度的经营成果和基金净值变动情况等有关信息。</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6.4.4</w:t>
      </w:r>
      <w:r w:rsidR="004F3E31" w:rsidRPr="0098332C">
        <w:rPr>
          <w:rFonts w:eastAsiaTheme="minorEastAsia"/>
          <w:b/>
          <w:bCs/>
          <w:color w:val="000000"/>
          <w:kern w:val="0"/>
          <w:szCs w:val="21"/>
        </w:rPr>
        <w:t xml:space="preserve"> </w:t>
      </w:r>
      <w:r w:rsidR="004F3E31" w:rsidRPr="0098332C">
        <w:rPr>
          <w:rFonts w:eastAsiaTheme="minorEastAsia"/>
          <w:b/>
          <w:kern w:val="0"/>
          <w:szCs w:val="21"/>
        </w:rPr>
        <w:t>本报告期所采用的会计政策、会计估计与最近一期年度报告相一致的说明</w:t>
      </w:r>
    </w:p>
    <w:p w:rsidR="006E59EA"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本基金本报告期会计报表所采用的会计政策、会计估计与最近一期年度会计报告相一致。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w:t>
      </w:r>
      <w:r w:rsidRPr="0098332C">
        <w:rPr>
          <w:rFonts w:eastAsiaTheme="minorEastAsia"/>
          <w:b/>
          <w:color w:val="000000"/>
          <w:kern w:val="0"/>
          <w:szCs w:val="21"/>
        </w:rPr>
        <w:t>会计政策和会计估计变更以及差错更正的说明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6.4.5.1</w:t>
      </w:r>
      <w:r w:rsidRPr="0098332C">
        <w:rPr>
          <w:rFonts w:eastAsiaTheme="minorEastAsia"/>
          <w:b/>
          <w:color w:val="000000"/>
          <w:kern w:val="0"/>
          <w:szCs w:val="21"/>
        </w:rPr>
        <w:t xml:space="preserve"> </w:t>
      </w:r>
      <w:r w:rsidRPr="0098332C">
        <w:rPr>
          <w:rFonts w:eastAsiaTheme="minorEastAsia"/>
          <w:b/>
          <w:color w:val="000000"/>
          <w:kern w:val="0"/>
          <w:szCs w:val="21"/>
        </w:rPr>
        <w:t>会计政策变更的说明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本基金本报告期未发生会计政策变更。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6.4.5.2</w:t>
      </w:r>
      <w:r w:rsidRPr="0098332C">
        <w:rPr>
          <w:rFonts w:eastAsiaTheme="minorEastAsia"/>
          <w:b/>
          <w:color w:val="000000"/>
          <w:kern w:val="0"/>
          <w:szCs w:val="21"/>
        </w:rPr>
        <w:t xml:space="preserve"> </w:t>
      </w:r>
      <w:r w:rsidRPr="0098332C">
        <w:rPr>
          <w:rFonts w:eastAsiaTheme="minorEastAsia"/>
          <w:b/>
          <w:color w:val="000000"/>
          <w:kern w:val="0"/>
          <w:szCs w:val="21"/>
        </w:rPr>
        <w:t>会计估计变更的说明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本基金本报告期未发生会计估计变更。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6.4.5.3</w:t>
      </w:r>
      <w:r w:rsidRPr="0098332C">
        <w:rPr>
          <w:rFonts w:eastAsiaTheme="minorEastAsia"/>
          <w:b/>
          <w:color w:val="000000"/>
          <w:kern w:val="0"/>
          <w:szCs w:val="21"/>
        </w:rPr>
        <w:t xml:space="preserve"> </w:t>
      </w:r>
      <w:r w:rsidRPr="0098332C">
        <w:rPr>
          <w:rFonts w:eastAsiaTheme="minorEastAsia"/>
          <w:b/>
          <w:color w:val="000000"/>
          <w:kern w:val="0"/>
          <w:szCs w:val="21"/>
        </w:rPr>
        <w:t>差错更正的说明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本基金在本报告期间无须说明的会计差错更正。</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6.4.6</w:t>
      </w:r>
      <w:r w:rsidRPr="0098332C">
        <w:rPr>
          <w:rFonts w:eastAsiaTheme="minorEastAsia"/>
          <w:b/>
          <w:color w:val="000000"/>
          <w:kern w:val="0"/>
          <w:szCs w:val="21"/>
        </w:rPr>
        <w:t>税项</w:t>
      </w: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122FB4" w:rsidRDefault="00122FB4">
      <w:pPr>
        <w:tabs>
          <w:tab w:val="left" w:pos="426"/>
        </w:tabs>
        <w:spacing w:line="360" w:lineRule="auto"/>
        <w:ind w:firstLineChars="200" w:firstLine="420"/>
        <w:rPr>
          <w:rFonts w:eastAsiaTheme="minorEastAsia"/>
          <w:kern w:val="0"/>
          <w:szCs w:val="21"/>
        </w:rPr>
      </w:pP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122FB4" w:rsidRDefault="00122FB4">
      <w:pPr>
        <w:tabs>
          <w:tab w:val="left" w:pos="426"/>
        </w:tabs>
        <w:spacing w:line="360" w:lineRule="auto"/>
        <w:ind w:firstLineChars="200" w:firstLine="420"/>
        <w:rPr>
          <w:rFonts w:eastAsiaTheme="minorEastAsia"/>
          <w:kern w:val="0"/>
          <w:szCs w:val="21"/>
        </w:rPr>
      </w:pP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日起产生的利息及利息性质的收入为销售额。资管产品管理人运营资管产品转让</w:t>
      </w:r>
      <w:r>
        <w:rPr>
          <w:rFonts w:eastAsiaTheme="minorEastAsia"/>
          <w:kern w:val="0"/>
          <w:szCs w:val="21"/>
        </w:rPr>
        <w:t>2017</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日前取得的基金、非货物期货，可以选择按照实际买入价计算销售额，或者以</w:t>
      </w:r>
      <w:r>
        <w:rPr>
          <w:rFonts w:eastAsiaTheme="minorEastAsia"/>
          <w:kern w:val="0"/>
          <w:szCs w:val="21"/>
        </w:rPr>
        <w:t>2017</w:t>
      </w:r>
      <w:r>
        <w:rPr>
          <w:rFonts w:eastAsiaTheme="minorEastAsia"/>
          <w:kern w:val="0"/>
          <w:szCs w:val="21"/>
        </w:rPr>
        <w:t>年最后一个交易日的基金份额净值、非货物期货结算价格作为买入价计算销售额。</w:t>
      </w:r>
    </w:p>
    <w:p w:rsidR="00122FB4" w:rsidRDefault="00122FB4">
      <w:pPr>
        <w:tabs>
          <w:tab w:val="left" w:pos="426"/>
        </w:tabs>
        <w:spacing w:line="360" w:lineRule="auto"/>
        <w:ind w:firstLineChars="200" w:firstLine="420"/>
        <w:rPr>
          <w:rFonts w:eastAsiaTheme="minorEastAsia"/>
          <w:kern w:val="0"/>
          <w:szCs w:val="21"/>
        </w:rPr>
      </w:pP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122FB4" w:rsidRDefault="00122FB4">
      <w:pPr>
        <w:tabs>
          <w:tab w:val="left" w:pos="426"/>
        </w:tabs>
        <w:spacing w:line="360" w:lineRule="auto"/>
        <w:ind w:firstLineChars="200" w:firstLine="420"/>
        <w:rPr>
          <w:rFonts w:eastAsiaTheme="minorEastAsia"/>
          <w:kern w:val="0"/>
          <w:szCs w:val="21"/>
        </w:rPr>
      </w:pPr>
    </w:p>
    <w:p w:rsidR="00122FB4" w:rsidRDefault="003502BE">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122FB4" w:rsidRDefault="00122FB4">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 xml:space="preserve">(4) </w:t>
      </w:r>
      <w:r w:rsidRPr="0098332C">
        <w:rPr>
          <w:rFonts w:eastAsiaTheme="minorEastAsia"/>
          <w:kern w:val="0"/>
          <w:szCs w:val="21"/>
        </w:rPr>
        <w:t>本基金的城市维护建设税、教育费附加和地方教育费附加等税费按照实际缴纳增值税额的适用比例计算缴纳。</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7</w:t>
      </w:r>
      <w:r w:rsidRPr="0098332C">
        <w:rPr>
          <w:rFonts w:eastAsiaTheme="minorEastAsia"/>
          <w:b/>
          <w:color w:val="000000"/>
          <w:kern w:val="0"/>
          <w:szCs w:val="21"/>
        </w:rPr>
        <w:t>关联方关系</w:t>
      </w:r>
    </w:p>
    <w:p w:rsidR="008A5A5D" w:rsidRPr="0098332C" w:rsidRDefault="008A5A5D" w:rsidP="009967D7">
      <w:pPr>
        <w:spacing w:line="360" w:lineRule="auto"/>
        <w:rPr>
          <w:rFonts w:eastAsiaTheme="minorEastAsia"/>
          <w:b/>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7</w:t>
      </w:r>
      <w:r w:rsidRPr="0098332C">
        <w:rPr>
          <w:rFonts w:eastAsiaTheme="minorEastAsia"/>
          <w:b/>
          <w:bCs/>
          <w:color w:val="000000"/>
          <w:kern w:val="0"/>
          <w:szCs w:val="21"/>
        </w:rPr>
        <w:t>.1</w:t>
      </w:r>
      <w:r w:rsidRPr="0098332C">
        <w:rPr>
          <w:rFonts w:eastAsiaTheme="minorEastAsia"/>
          <w:b/>
          <w:kern w:val="0"/>
          <w:szCs w:val="21"/>
        </w:rPr>
        <w:t xml:space="preserve"> </w:t>
      </w:r>
      <w:r w:rsidRPr="0098332C">
        <w:rPr>
          <w:rFonts w:eastAsiaTheme="minorEastAsia"/>
          <w:b/>
          <w:kern w:val="0"/>
          <w:szCs w:val="21"/>
        </w:rPr>
        <w:t>本报告期存在控制关系或其他重大利害关系的关联方发生变化的情况</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7</w:t>
      </w:r>
      <w:r w:rsidRPr="0098332C">
        <w:rPr>
          <w:rFonts w:eastAsiaTheme="minorEastAsia"/>
          <w:b/>
          <w:bCs/>
          <w:color w:val="000000"/>
          <w:kern w:val="0"/>
          <w:szCs w:val="21"/>
        </w:rPr>
        <w:t>.2</w:t>
      </w:r>
      <w:r w:rsidRPr="0098332C">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98332C" w:rsidTr="004A4847">
        <w:tc>
          <w:tcPr>
            <w:tcW w:w="522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关联方名称</w:t>
            </w:r>
          </w:p>
        </w:tc>
        <w:tc>
          <w:tcPr>
            <w:tcW w:w="378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与本基金的关系</w:t>
            </w:r>
          </w:p>
        </w:tc>
      </w:tr>
      <w:tr w:rsidR="00122FB4">
        <w:tc>
          <w:tcPr>
            <w:tcW w:w="5220" w:type="dxa"/>
            <w:vAlign w:val="center"/>
          </w:tcPr>
          <w:p w:rsidR="00122FB4" w:rsidRDefault="003502BE">
            <w:pPr>
              <w:jc w:val="left"/>
            </w:pPr>
            <w:r>
              <w:rPr>
                <w:rFonts w:eastAsiaTheme="minorEastAsia"/>
                <w:color w:val="000000"/>
                <w:szCs w:val="21"/>
              </w:rPr>
              <w:t>上投摩根基金管理有限公司</w:t>
            </w:r>
          </w:p>
        </w:tc>
        <w:tc>
          <w:tcPr>
            <w:tcW w:w="3780" w:type="dxa"/>
            <w:vAlign w:val="center"/>
          </w:tcPr>
          <w:p w:rsidR="00122FB4" w:rsidRDefault="003502BE">
            <w:pPr>
              <w:jc w:val="left"/>
            </w:pPr>
            <w:r>
              <w:rPr>
                <w:rFonts w:eastAsiaTheme="minorEastAsia"/>
                <w:color w:val="000000"/>
                <w:szCs w:val="21"/>
              </w:rPr>
              <w:t>基金管理人、注册登记机构、基金销售机构</w:t>
            </w:r>
          </w:p>
        </w:tc>
      </w:tr>
      <w:tr w:rsidR="00122FB4">
        <w:tc>
          <w:tcPr>
            <w:tcW w:w="5220" w:type="dxa"/>
            <w:vAlign w:val="center"/>
          </w:tcPr>
          <w:p w:rsidR="00122FB4" w:rsidRDefault="003502BE">
            <w:pPr>
              <w:jc w:val="left"/>
            </w:pPr>
            <w:r>
              <w:rPr>
                <w:rFonts w:eastAsiaTheme="minorEastAsia"/>
                <w:color w:val="000000"/>
                <w:szCs w:val="21"/>
              </w:rPr>
              <w:t>招商银行股份有限公司</w:t>
            </w:r>
            <w:r>
              <w:rPr>
                <w:rFonts w:eastAsiaTheme="minorEastAsia"/>
                <w:color w:val="000000"/>
                <w:szCs w:val="21"/>
              </w:rPr>
              <w:t>("</w:t>
            </w:r>
            <w:r>
              <w:rPr>
                <w:rFonts w:eastAsiaTheme="minorEastAsia"/>
                <w:color w:val="000000"/>
                <w:szCs w:val="21"/>
              </w:rPr>
              <w:t>招商银行</w:t>
            </w:r>
            <w:r>
              <w:rPr>
                <w:rFonts w:eastAsiaTheme="minorEastAsia"/>
                <w:color w:val="000000"/>
                <w:szCs w:val="21"/>
              </w:rPr>
              <w:t>")</w:t>
            </w:r>
          </w:p>
        </w:tc>
        <w:tc>
          <w:tcPr>
            <w:tcW w:w="3780" w:type="dxa"/>
            <w:vAlign w:val="center"/>
          </w:tcPr>
          <w:p w:rsidR="00122FB4" w:rsidRDefault="003502BE">
            <w:pPr>
              <w:jc w:val="left"/>
            </w:pPr>
            <w:r>
              <w:rPr>
                <w:rFonts w:eastAsiaTheme="minorEastAsia"/>
                <w:color w:val="000000"/>
                <w:szCs w:val="21"/>
              </w:rPr>
              <w:t>基金托管人、基金代销机构</w:t>
            </w:r>
          </w:p>
        </w:tc>
      </w:tr>
      <w:tr w:rsidR="00122FB4">
        <w:tc>
          <w:tcPr>
            <w:tcW w:w="5220" w:type="dxa"/>
            <w:vAlign w:val="center"/>
          </w:tcPr>
          <w:p w:rsidR="00122FB4" w:rsidRDefault="003502BE">
            <w:pPr>
              <w:jc w:val="left"/>
            </w:pPr>
            <w:r>
              <w:rPr>
                <w:rFonts w:eastAsiaTheme="minorEastAsia"/>
                <w:color w:val="000000"/>
                <w:szCs w:val="21"/>
              </w:rPr>
              <w:t>香港上海汇丰银行有限公司</w:t>
            </w:r>
            <w:r>
              <w:rPr>
                <w:rFonts w:eastAsiaTheme="minorEastAsia"/>
                <w:color w:val="000000"/>
                <w:szCs w:val="21"/>
              </w:rPr>
              <w:t xml:space="preserve"> (“</w:t>
            </w:r>
            <w:r>
              <w:rPr>
                <w:rFonts w:eastAsiaTheme="minorEastAsia"/>
                <w:color w:val="000000"/>
                <w:szCs w:val="21"/>
              </w:rPr>
              <w:t>汇丰银行</w:t>
            </w:r>
            <w:r>
              <w:rPr>
                <w:rFonts w:eastAsiaTheme="minorEastAsia"/>
                <w:color w:val="000000"/>
                <w:szCs w:val="21"/>
              </w:rPr>
              <w:t>”)</w:t>
            </w:r>
          </w:p>
        </w:tc>
        <w:tc>
          <w:tcPr>
            <w:tcW w:w="3780" w:type="dxa"/>
            <w:vAlign w:val="center"/>
          </w:tcPr>
          <w:p w:rsidR="00122FB4" w:rsidRDefault="003502BE">
            <w:pPr>
              <w:jc w:val="left"/>
            </w:pPr>
            <w:r>
              <w:rPr>
                <w:rFonts w:eastAsiaTheme="minorEastAsia"/>
                <w:color w:val="000000"/>
                <w:szCs w:val="21"/>
              </w:rPr>
              <w:t>境外资产托管人</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注：注：下述关联交易均在正常业务范围内按一般商业条款订立。</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 xml:space="preserve"> </w:t>
      </w:r>
      <w:r w:rsidRPr="0098332C">
        <w:rPr>
          <w:rFonts w:eastAsiaTheme="minorEastAsia"/>
          <w:b/>
          <w:color w:val="000000"/>
          <w:kern w:val="0"/>
          <w:szCs w:val="21"/>
        </w:rPr>
        <w:t>本报告期及上年度可比期间的关联方交易</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.1</w:t>
      </w:r>
      <w:r w:rsidRPr="0098332C">
        <w:rPr>
          <w:rFonts w:eastAsiaTheme="minorEastAsia"/>
          <w:b/>
          <w:color w:val="000000"/>
          <w:kern w:val="0"/>
          <w:szCs w:val="21"/>
        </w:rPr>
        <w:t xml:space="preserve"> </w:t>
      </w:r>
      <w:r w:rsidRPr="0098332C">
        <w:rPr>
          <w:rFonts w:eastAsiaTheme="minorEastAsia"/>
          <w:b/>
          <w:color w:val="000000"/>
          <w:kern w:val="0"/>
          <w:szCs w:val="21"/>
        </w:rPr>
        <w:t>通过关联方交易单元进行的交易</w:t>
      </w:r>
    </w:p>
    <w:p w:rsidR="008A5A5D" w:rsidRPr="0098332C" w:rsidRDefault="008A5A5D" w:rsidP="009967D7">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.2</w:t>
      </w:r>
      <w:r w:rsidRPr="0098332C">
        <w:rPr>
          <w:rFonts w:eastAsiaTheme="minorEastAsia"/>
          <w:b/>
          <w:color w:val="000000"/>
          <w:kern w:val="0"/>
          <w:szCs w:val="21"/>
        </w:rPr>
        <w:t>关联方报酬</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.2.1</w:t>
      </w:r>
      <w:r w:rsidRPr="0098332C">
        <w:rPr>
          <w:rFonts w:eastAsiaTheme="minorEastAsia"/>
          <w:b/>
          <w:color w:val="000000"/>
          <w:kern w:val="0"/>
          <w:szCs w:val="21"/>
        </w:rPr>
        <w:t>基金管理费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2019</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2019</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4</w:t>
            </w:r>
            <w:r w:rsidRPr="0098332C">
              <w:rPr>
                <w:rFonts w:eastAsiaTheme="minorEastAsia"/>
                <w:color w:val="000000"/>
                <w:szCs w:val="21"/>
              </w:rPr>
              <w:t>月</w:t>
            </w:r>
            <w:r w:rsidRPr="0098332C">
              <w:rPr>
                <w:rFonts w:eastAsiaTheme="minorEastAsia"/>
                <w:color w:val="000000"/>
                <w:szCs w:val="21"/>
              </w:rPr>
              <w:t>26</w:t>
            </w:r>
            <w:r w:rsidRPr="0098332C">
              <w:rPr>
                <w:rFonts w:eastAsiaTheme="minorEastAsia"/>
                <w:color w:val="000000"/>
                <w:szCs w:val="21"/>
              </w:rPr>
              <w:t>日（基金合同生效日）至</w:t>
            </w: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当期发生的基金应支付的管理费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683,059.63</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252,595.20</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其中：支付销售机构的客户维护费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314,569.86</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102,917.74</w:t>
            </w:r>
          </w:p>
        </w:tc>
      </w:tr>
    </w:tbl>
    <w:p w:rsidR="00122FB4" w:rsidRDefault="003502BE">
      <w:pPr>
        <w:spacing w:line="288" w:lineRule="auto"/>
        <w:ind w:firstLineChars="200" w:firstLine="420"/>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0.8%</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日管理人报酬＝前一日基金资产净值</w:t>
      </w:r>
      <w:r w:rsidRPr="0098332C">
        <w:rPr>
          <w:rFonts w:eastAsiaTheme="minorEastAsia"/>
          <w:kern w:val="0"/>
          <w:szCs w:val="21"/>
        </w:rPr>
        <w:t xml:space="preserve"> X 0.8% / </w:t>
      </w:r>
      <w:r w:rsidRPr="0098332C">
        <w:rPr>
          <w:rFonts w:eastAsiaTheme="minorEastAsia"/>
          <w:kern w:val="0"/>
          <w:szCs w:val="21"/>
        </w:rPr>
        <w:t>当年天数。</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.2.2</w:t>
      </w:r>
      <w:r w:rsidRPr="0098332C">
        <w:rPr>
          <w:rFonts w:eastAsiaTheme="minorEastAsia"/>
          <w:b/>
          <w:color w:val="000000"/>
          <w:kern w:val="0"/>
          <w:szCs w:val="21"/>
        </w:rPr>
        <w:t>基金托管费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2019</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2019</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4</w:t>
            </w:r>
            <w:r w:rsidRPr="0098332C">
              <w:rPr>
                <w:rFonts w:eastAsiaTheme="minorEastAsia"/>
                <w:color w:val="000000"/>
                <w:szCs w:val="21"/>
              </w:rPr>
              <w:t>月</w:t>
            </w:r>
            <w:r w:rsidRPr="0098332C">
              <w:rPr>
                <w:rFonts w:eastAsiaTheme="minorEastAsia"/>
                <w:color w:val="000000"/>
                <w:szCs w:val="21"/>
              </w:rPr>
              <w:t>26</w:t>
            </w:r>
            <w:r w:rsidRPr="0098332C">
              <w:rPr>
                <w:rFonts w:eastAsiaTheme="minorEastAsia"/>
                <w:color w:val="000000"/>
                <w:szCs w:val="21"/>
              </w:rPr>
              <w:t>日（基金合同生效日）至</w:t>
            </w: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当期发生的基金应支付的托管费</w:t>
            </w:r>
          </w:p>
        </w:tc>
        <w:tc>
          <w:tcPr>
            <w:tcW w:w="2657" w:type="dxa"/>
            <w:vAlign w:val="center"/>
          </w:tcPr>
          <w:p w:rsidR="00A97A4E" w:rsidRPr="0098332C" w:rsidRDefault="00A97A4E" w:rsidP="00A97A4E">
            <w:pPr>
              <w:jc w:val="right"/>
              <w:rPr>
                <w:rFonts w:eastAsiaTheme="minorEastAsia"/>
                <w:color w:val="000000"/>
                <w:kern w:val="0"/>
                <w:szCs w:val="21"/>
              </w:rPr>
            </w:pPr>
            <w:r w:rsidRPr="0098332C">
              <w:rPr>
                <w:rFonts w:eastAsiaTheme="minorEastAsia"/>
                <w:szCs w:val="21"/>
              </w:rPr>
              <w:t>213,456.09</w:t>
            </w:r>
          </w:p>
        </w:tc>
        <w:tc>
          <w:tcPr>
            <w:tcW w:w="2588" w:type="dxa"/>
            <w:vAlign w:val="center"/>
          </w:tcPr>
          <w:p w:rsidR="00A97A4E" w:rsidRPr="0098332C" w:rsidRDefault="00A97A4E" w:rsidP="00A97A4E">
            <w:pPr>
              <w:jc w:val="right"/>
              <w:rPr>
                <w:rFonts w:eastAsiaTheme="minorEastAsia"/>
                <w:color w:val="000000"/>
                <w:szCs w:val="21"/>
              </w:rPr>
            </w:pPr>
            <w:r w:rsidRPr="0098332C">
              <w:rPr>
                <w:rFonts w:eastAsiaTheme="minorEastAsia"/>
                <w:szCs w:val="21"/>
              </w:rPr>
              <w:t>78,935.99</w:t>
            </w:r>
          </w:p>
        </w:tc>
      </w:tr>
    </w:tbl>
    <w:p w:rsidR="00122FB4" w:rsidRDefault="003502BE">
      <w:pPr>
        <w:spacing w:line="288" w:lineRule="auto"/>
        <w:ind w:firstLineChars="200" w:firstLine="420"/>
        <w:rPr>
          <w:rFonts w:eastAsiaTheme="minorEastAsia"/>
          <w:kern w:val="0"/>
          <w:szCs w:val="21"/>
        </w:rPr>
      </w:pPr>
      <w:r>
        <w:rPr>
          <w:rFonts w:eastAsiaTheme="minorEastAsia"/>
          <w:kern w:val="0"/>
          <w:szCs w:val="21"/>
        </w:rPr>
        <w:t>注：支付基金托管人招商银行的托管费按前一日基金资产净值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日托管费＝前一日基金资产净值</w:t>
      </w:r>
      <w:r w:rsidRPr="0098332C">
        <w:rPr>
          <w:rFonts w:eastAsiaTheme="minorEastAsia"/>
          <w:kern w:val="0"/>
          <w:szCs w:val="21"/>
        </w:rPr>
        <w:t xml:space="preserve"> X 0.25% / </w:t>
      </w:r>
      <w:r w:rsidRPr="0098332C">
        <w:rPr>
          <w:rFonts w:eastAsiaTheme="minorEastAsia"/>
          <w:kern w:val="0"/>
          <w:szCs w:val="21"/>
        </w:rPr>
        <w:t>当年天数。</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.3</w:t>
      </w:r>
      <w:r w:rsidRPr="0098332C">
        <w:rPr>
          <w:rFonts w:eastAsiaTheme="minorEastAsia"/>
          <w:b/>
          <w:bCs/>
          <w:color w:val="000000"/>
          <w:szCs w:val="21"/>
        </w:rPr>
        <w:t>与关联方进行银行间同业市场的债券</w:t>
      </w:r>
      <w:r w:rsidRPr="0098332C">
        <w:rPr>
          <w:rFonts w:eastAsiaTheme="minorEastAsia"/>
          <w:b/>
          <w:bCs/>
          <w:color w:val="000000"/>
          <w:szCs w:val="21"/>
        </w:rPr>
        <w:t>(</w:t>
      </w:r>
      <w:r w:rsidRPr="0098332C">
        <w:rPr>
          <w:rFonts w:eastAsiaTheme="minorEastAsia"/>
          <w:b/>
          <w:bCs/>
          <w:color w:val="000000"/>
          <w:szCs w:val="21"/>
        </w:rPr>
        <w:t>含回购</w:t>
      </w:r>
      <w:r w:rsidRPr="0098332C">
        <w:rPr>
          <w:rFonts w:eastAsiaTheme="minorEastAsia"/>
          <w:b/>
          <w:bCs/>
          <w:color w:val="000000"/>
          <w:szCs w:val="21"/>
        </w:rPr>
        <w:t>)</w:t>
      </w:r>
      <w:r w:rsidRPr="0098332C">
        <w:rPr>
          <w:rFonts w:eastAsiaTheme="minorEastAsia"/>
          <w:b/>
          <w:bCs/>
          <w:color w:val="000000"/>
          <w:szCs w:val="21"/>
        </w:rPr>
        <w:t>交易</w:t>
      </w:r>
    </w:p>
    <w:p w:rsidR="0096290F" w:rsidRPr="0098332C" w:rsidRDefault="0096290F"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EC68BF">
      <w:pPr>
        <w:spacing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.4</w:t>
      </w:r>
      <w:r w:rsidRPr="0098332C">
        <w:rPr>
          <w:rFonts w:eastAsiaTheme="minorEastAsia"/>
          <w:b/>
          <w:bCs/>
          <w:color w:val="000000"/>
          <w:szCs w:val="21"/>
        </w:rPr>
        <w:t>各关联方投资本基金的情况</w:t>
      </w:r>
    </w:p>
    <w:p w:rsidR="008A5A5D" w:rsidRPr="0098332C" w:rsidRDefault="008A5A5D" w:rsidP="00EC68BF">
      <w:pPr>
        <w:adjustRightInd w:val="0"/>
        <w:snapToGrid w:val="0"/>
        <w:spacing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.4.1</w:t>
      </w:r>
      <w:r w:rsidRPr="0098332C">
        <w:rPr>
          <w:rFonts w:eastAsiaTheme="minorEastAsia"/>
          <w:b/>
          <w:bCs/>
          <w:color w:val="000000"/>
          <w:szCs w:val="21"/>
        </w:rPr>
        <w:t>报告期内基金管理人运用固有资金投资本基金的情况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.4.2</w:t>
      </w:r>
      <w:r w:rsidRPr="0098332C">
        <w:rPr>
          <w:rFonts w:eastAsiaTheme="minorEastAsia"/>
          <w:b/>
          <w:bCs/>
          <w:color w:val="000000"/>
          <w:szCs w:val="21"/>
        </w:rPr>
        <w:t>报告期末除基金管理人之外的其他关联方投资本基金的情况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.5</w:t>
      </w:r>
      <w:r w:rsidRPr="0098332C">
        <w:rPr>
          <w:rFonts w:eastAsiaTheme="minorEastAsia"/>
          <w:b/>
          <w:bCs/>
          <w:color w:val="000000"/>
          <w:szCs w:val="21"/>
        </w:rPr>
        <w:t>由关联方保管的银行存款余额及当期产生的利息收入</w:t>
      </w:r>
    </w:p>
    <w:p w:rsidR="008A5A5D" w:rsidRPr="0098332C" w:rsidRDefault="008A5A5D" w:rsidP="002116B9">
      <w:pPr>
        <w:autoSpaceDE w:val="0"/>
        <w:autoSpaceDN w:val="0"/>
        <w:adjustRightInd w:val="0"/>
        <w:spacing w:before="29" w:line="288" w:lineRule="auto"/>
        <w:ind w:left="15" w:right="210"/>
        <w:jc w:val="right"/>
        <w:rPr>
          <w:rFonts w:eastAsiaTheme="minorEastAsia"/>
          <w:bCs/>
          <w:color w:val="000000"/>
          <w:szCs w:val="21"/>
        </w:rPr>
      </w:pPr>
      <w:r w:rsidRPr="0098332C">
        <w:rPr>
          <w:rFonts w:eastAsiaTheme="minorEastAsia"/>
          <w:bCs/>
          <w:color w:val="000000"/>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98332C" w:rsidTr="004C02E0">
        <w:tc>
          <w:tcPr>
            <w:tcW w:w="1526" w:type="dxa"/>
            <w:vMerge w:val="restart"/>
            <w:vAlign w:val="center"/>
          </w:tcPr>
          <w:p w:rsidR="00B01102" w:rsidRPr="0098332C" w:rsidRDefault="00B01102" w:rsidP="00145CAE">
            <w:pPr>
              <w:jc w:val="center"/>
              <w:rPr>
                <w:rFonts w:eastAsiaTheme="minorEastAsia"/>
                <w:kern w:val="0"/>
                <w:szCs w:val="21"/>
              </w:rPr>
            </w:pPr>
            <w:r w:rsidRPr="0098332C">
              <w:rPr>
                <w:rFonts w:eastAsiaTheme="minorEastAsia"/>
                <w:color w:val="000000"/>
                <w:szCs w:val="21"/>
              </w:rPr>
              <w:t>关联方名称</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本期</w:t>
            </w:r>
          </w:p>
          <w:p w:rsidR="00B01102" w:rsidRPr="0098332C" w:rsidRDefault="00B01102" w:rsidP="00B01102">
            <w:pPr>
              <w:jc w:val="left"/>
              <w:rPr>
                <w:rFonts w:eastAsiaTheme="minorEastAsia"/>
                <w:kern w:val="0"/>
                <w:szCs w:val="21"/>
              </w:rPr>
            </w:pPr>
            <w:r w:rsidRPr="0098332C">
              <w:rPr>
                <w:rFonts w:eastAsiaTheme="minorEastAsia"/>
                <w:color w:val="000000"/>
                <w:szCs w:val="21"/>
              </w:rPr>
              <w:t>2019</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szCs w:val="21"/>
              </w:rPr>
              <w:t>2019</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上年度可比期间</w:t>
            </w:r>
          </w:p>
          <w:p w:rsidR="00B01102" w:rsidRPr="0098332C" w:rsidRDefault="00B01102" w:rsidP="000E28C9">
            <w:pPr>
              <w:jc w:val="left"/>
              <w:rPr>
                <w:rFonts w:eastAsiaTheme="minorEastAsia"/>
                <w:kern w:val="0"/>
                <w:szCs w:val="21"/>
              </w:rPr>
            </w:pP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4</w:t>
            </w:r>
            <w:r w:rsidRPr="0098332C">
              <w:rPr>
                <w:rFonts w:eastAsiaTheme="minorEastAsia"/>
                <w:color w:val="000000"/>
                <w:szCs w:val="21"/>
              </w:rPr>
              <w:t>月</w:t>
            </w:r>
            <w:r w:rsidRPr="0098332C">
              <w:rPr>
                <w:rFonts w:eastAsiaTheme="minorEastAsia"/>
                <w:color w:val="000000"/>
                <w:szCs w:val="21"/>
              </w:rPr>
              <w:t>26</w:t>
            </w:r>
            <w:r w:rsidRPr="0098332C">
              <w:rPr>
                <w:rFonts w:eastAsiaTheme="minorEastAsia"/>
                <w:color w:val="000000"/>
                <w:szCs w:val="21"/>
              </w:rPr>
              <w:t>日（基金合同生效日）至</w:t>
            </w:r>
            <w:r w:rsidRPr="0098332C">
              <w:rPr>
                <w:rFonts w:eastAsiaTheme="minorEastAsia"/>
                <w:color w:val="000000"/>
                <w:szCs w:val="21"/>
              </w:rPr>
              <w:t>2018</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B01102" w:rsidRPr="0098332C" w:rsidTr="004C02E0">
        <w:tc>
          <w:tcPr>
            <w:tcW w:w="1526" w:type="dxa"/>
            <w:vMerge/>
          </w:tcPr>
          <w:p w:rsidR="00B01102" w:rsidRPr="0098332C" w:rsidRDefault="00B01102" w:rsidP="002116B9">
            <w:pPr>
              <w:jc w:val="left"/>
              <w:rPr>
                <w:rFonts w:eastAsiaTheme="minorEastAsia"/>
                <w:kern w:val="0"/>
                <w:szCs w:val="21"/>
              </w:rPr>
            </w:pP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r>
      <w:tr w:rsidR="00122FB4">
        <w:tc>
          <w:tcPr>
            <w:tcW w:w="1526" w:type="dxa"/>
            <w:vAlign w:val="center"/>
          </w:tcPr>
          <w:p w:rsidR="00122FB4" w:rsidRDefault="003502BE">
            <w:pPr>
              <w:jc w:val="left"/>
            </w:pPr>
            <w:r>
              <w:rPr>
                <w:rFonts w:eastAsiaTheme="minorEastAsia"/>
                <w:szCs w:val="21"/>
              </w:rPr>
              <w:t>招商银行</w:t>
            </w:r>
          </w:p>
        </w:tc>
        <w:tc>
          <w:tcPr>
            <w:tcW w:w="1851" w:type="dxa"/>
            <w:vAlign w:val="center"/>
          </w:tcPr>
          <w:p w:rsidR="00122FB4" w:rsidRDefault="003502BE">
            <w:pPr>
              <w:jc w:val="right"/>
            </w:pPr>
            <w:r>
              <w:rPr>
                <w:rFonts w:eastAsiaTheme="minorEastAsia"/>
                <w:szCs w:val="21"/>
              </w:rPr>
              <w:t>8,041,752.67</w:t>
            </w:r>
          </w:p>
        </w:tc>
        <w:tc>
          <w:tcPr>
            <w:tcW w:w="1851" w:type="dxa"/>
            <w:vAlign w:val="center"/>
          </w:tcPr>
          <w:p w:rsidR="00122FB4" w:rsidRDefault="003502BE">
            <w:pPr>
              <w:jc w:val="right"/>
            </w:pPr>
            <w:r>
              <w:rPr>
                <w:rFonts w:eastAsiaTheme="minorEastAsia"/>
                <w:szCs w:val="21"/>
              </w:rPr>
              <w:t>21,729.46</w:t>
            </w:r>
          </w:p>
        </w:tc>
        <w:tc>
          <w:tcPr>
            <w:tcW w:w="1851" w:type="dxa"/>
            <w:vAlign w:val="center"/>
          </w:tcPr>
          <w:p w:rsidR="00122FB4" w:rsidRDefault="003502BE">
            <w:pPr>
              <w:jc w:val="right"/>
            </w:pPr>
            <w:r>
              <w:rPr>
                <w:rFonts w:eastAsiaTheme="minorEastAsia"/>
                <w:szCs w:val="21"/>
              </w:rPr>
              <w:t>7,788,064.46</w:t>
            </w:r>
          </w:p>
        </w:tc>
        <w:tc>
          <w:tcPr>
            <w:tcW w:w="1851" w:type="dxa"/>
            <w:vAlign w:val="center"/>
          </w:tcPr>
          <w:p w:rsidR="00122FB4" w:rsidRDefault="003502BE">
            <w:pPr>
              <w:jc w:val="right"/>
            </w:pPr>
            <w:r>
              <w:rPr>
                <w:rFonts w:eastAsiaTheme="minorEastAsia"/>
                <w:szCs w:val="21"/>
              </w:rPr>
              <w:t>43,283.01</w:t>
            </w:r>
          </w:p>
        </w:tc>
      </w:tr>
      <w:tr w:rsidR="00122FB4">
        <w:tc>
          <w:tcPr>
            <w:tcW w:w="1526" w:type="dxa"/>
            <w:vAlign w:val="center"/>
          </w:tcPr>
          <w:p w:rsidR="00122FB4" w:rsidRDefault="003502BE">
            <w:pPr>
              <w:jc w:val="left"/>
            </w:pPr>
            <w:r>
              <w:rPr>
                <w:rFonts w:eastAsiaTheme="minorEastAsia"/>
                <w:szCs w:val="21"/>
              </w:rPr>
              <w:t>汇丰银行</w:t>
            </w:r>
          </w:p>
        </w:tc>
        <w:tc>
          <w:tcPr>
            <w:tcW w:w="1851" w:type="dxa"/>
            <w:vAlign w:val="center"/>
          </w:tcPr>
          <w:p w:rsidR="00122FB4" w:rsidRDefault="003502BE">
            <w:pPr>
              <w:jc w:val="right"/>
            </w:pPr>
            <w:r>
              <w:rPr>
                <w:rFonts w:eastAsiaTheme="minorEastAsia"/>
                <w:szCs w:val="21"/>
              </w:rPr>
              <w:t>5,218,343.19</w:t>
            </w:r>
          </w:p>
        </w:tc>
        <w:tc>
          <w:tcPr>
            <w:tcW w:w="1851" w:type="dxa"/>
            <w:vAlign w:val="center"/>
          </w:tcPr>
          <w:p w:rsidR="00122FB4" w:rsidRDefault="003502BE">
            <w:pPr>
              <w:jc w:val="right"/>
            </w:pPr>
            <w:r>
              <w:rPr>
                <w:rFonts w:eastAsiaTheme="minorEastAsia"/>
                <w:szCs w:val="21"/>
              </w:rPr>
              <w:t>25,041.56</w:t>
            </w:r>
          </w:p>
        </w:tc>
        <w:tc>
          <w:tcPr>
            <w:tcW w:w="1851" w:type="dxa"/>
            <w:vAlign w:val="center"/>
          </w:tcPr>
          <w:p w:rsidR="00122FB4" w:rsidRDefault="003502BE">
            <w:pPr>
              <w:jc w:val="right"/>
            </w:pPr>
            <w:r>
              <w:rPr>
                <w:rFonts w:eastAsiaTheme="minorEastAsia"/>
                <w:szCs w:val="21"/>
              </w:rPr>
              <w:t>4,369,133.85</w:t>
            </w:r>
          </w:p>
        </w:tc>
        <w:tc>
          <w:tcPr>
            <w:tcW w:w="1851" w:type="dxa"/>
            <w:vAlign w:val="center"/>
          </w:tcPr>
          <w:p w:rsidR="00122FB4" w:rsidRDefault="003502BE">
            <w:pPr>
              <w:jc w:val="right"/>
            </w:pPr>
            <w:r>
              <w:rPr>
                <w:rFonts w:eastAsiaTheme="minorEastAsia"/>
                <w:szCs w:val="21"/>
              </w:rPr>
              <w:t>20,326.07</w:t>
            </w:r>
          </w:p>
        </w:tc>
      </w:tr>
    </w:tbl>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注：本基金的银行存款分别由基金托管人招商银行和境外资产托管人汇丰银行保管，按适用利率计息。</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8</w:t>
      </w:r>
      <w:r w:rsidRPr="0098332C">
        <w:rPr>
          <w:rFonts w:eastAsiaTheme="minorEastAsia"/>
          <w:b/>
          <w:bCs/>
          <w:color w:val="000000"/>
          <w:kern w:val="0"/>
          <w:szCs w:val="21"/>
        </w:rPr>
        <w:t>.6</w:t>
      </w:r>
      <w:r w:rsidRPr="0098332C">
        <w:rPr>
          <w:rFonts w:eastAsiaTheme="minorEastAsia"/>
          <w:b/>
          <w:bCs/>
          <w:color w:val="000000"/>
          <w:szCs w:val="21"/>
        </w:rPr>
        <w:t>本基金在承销期内参与关联方承销证券的情况</w:t>
      </w:r>
    </w:p>
    <w:p w:rsidR="008A5A5D" w:rsidRPr="0098332C" w:rsidRDefault="00EF6CFA"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146348" w:rsidRPr="0098332C" w:rsidRDefault="00146348" w:rsidP="004F5A80">
      <w:pPr>
        <w:adjustRightInd w:val="0"/>
        <w:snapToGrid w:val="0"/>
        <w:spacing w:beforeLines="100" w:before="312" w:line="360" w:lineRule="auto"/>
        <w:rPr>
          <w:rFonts w:eastAsiaTheme="minorEastAsia"/>
          <w:b/>
          <w:color w:val="000000" w:themeColor="text1"/>
          <w:szCs w:val="21"/>
        </w:rPr>
      </w:pPr>
      <w:r w:rsidRPr="0098332C">
        <w:rPr>
          <w:rFonts w:eastAsiaTheme="minorEastAsia"/>
          <w:b/>
          <w:bCs/>
          <w:color w:val="000000" w:themeColor="text1"/>
          <w:kern w:val="0"/>
          <w:szCs w:val="21"/>
        </w:rPr>
        <w:t>6.4.</w:t>
      </w:r>
      <w:r w:rsidR="00CF7242">
        <w:rPr>
          <w:rFonts w:eastAsiaTheme="minorEastAsia" w:hint="eastAsia"/>
          <w:b/>
          <w:bCs/>
          <w:color w:val="000000" w:themeColor="text1"/>
          <w:kern w:val="0"/>
          <w:szCs w:val="21"/>
        </w:rPr>
        <w:t>8</w:t>
      </w:r>
      <w:r w:rsidRPr="0098332C">
        <w:rPr>
          <w:rFonts w:eastAsiaTheme="minorEastAsia"/>
          <w:b/>
          <w:bCs/>
          <w:color w:val="000000" w:themeColor="text1"/>
          <w:kern w:val="0"/>
          <w:szCs w:val="21"/>
        </w:rPr>
        <w:t xml:space="preserve">.7 </w:t>
      </w:r>
      <w:r w:rsidRPr="0098332C">
        <w:rPr>
          <w:rFonts w:eastAsiaTheme="minorEastAsia"/>
          <w:b/>
          <w:color w:val="000000" w:themeColor="text1"/>
          <w:szCs w:val="21"/>
        </w:rPr>
        <w:t>其他关联交易事项的说明</w:t>
      </w:r>
    </w:p>
    <w:p w:rsidR="00146348" w:rsidRPr="0098332C" w:rsidRDefault="00146348" w:rsidP="00146348">
      <w:pPr>
        <w:adjustRightInd w:val="0"/>
        <w:snapToGrid w:val="0"/>
        <w:spacing w:line="360" w:lineRule="auto"/>
        <w:rPr>
          <w:rFonts w:eastAsiaTheme="minorEastAsia"/>
          <w:b/>
          <w:color w:val="000000" w:themeColor="text1"/>
          <w:szCs w:val="21"/>
        </w:rPr>
      </w:pPr>
      <w:r w:rsidRPr="0098332C">
        <w:rPr>
          <w:rFonts w:eastAsiaTheme="minorEastAsia"/>
          <w:b/>
          <w:bCs/>
          <w:color w:val="000000" w:themeColor="text1"/>
          <w:kern w:val="0"/>
          <w:szCs w:val="21"/>
        </w:rPr>
        <w:t>6.4.</w:t>
      </w:r>
      <w:r w:rsidR="00CF7242">
        <w:rPr>
          <w:rFonts w:eastAsiaTheme="minorEastAsia" w:hint="eastAsia"/>
          <w:b/>
          <w:bCs/>
          <w:color w:val="000000" w:themeColor="text1"/>
          <w:kern w:val="0"/>
          <w:szCs w:val="21"/>
        </w:rPr>
        <w:t>8</w:t>
      </w:r>
      <w:r w:rsidRPr="0098332C">
        <w:rPr>
          <w:rFonts w:eastAsiaTheme="minorEastAsia"/>
          <w:b/>
          <w:bCs/>
          <w:color w:val="000000" w:themeColor="text1"/>
          <w:kern w:val="0"/>
          <w:szCs w:val="21"/>
        </w:rPr>
        <w:t>.7</w:t>
      </w:r>
      <w:r w:rsidRPr="0098332C">
        <w:rPr>
          <w:rFonts w:eastAsiaTheme="minorEastAsia" w:hint="eastAsia"/>
          <w:b/>
          <w:bCs/>
          <w:color w:val="000000" w:themeColor="text1"/>
          <w:kern w:val="0"/>
          <w:szCs w:val="21"/>
        </w:rPr>
        <w:t xml:space="preserve">.1 </w:t>
      </w:r>
      <w:r w:rsidRPr="0098332C">
        <w:rPr>
          <w:rFonts w:eastAsiaTheme="minorEastAsia"/>
          <w:b/>
          <w:color w:val="000000" w:themeColor="text1"/>
          <w:szCs w:val="21"/>
        </w:rPr>
        <w:t>其他关联交易事项的说明</w:t>
      </w:r>
    </w:p>
    <w:p w:rsidR="00146348" w:rsidRPr="0098332C" w:rsidRDefault="00146348" w:rsidP="00146348">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无。</w:t>
      </w:r>
    </w:p>
    <w:p w:rsidR="00146348" w:rsidRPr="0098332C" w:rsidRDefault="00146348" w:rsidP="004F5A80">
      <w:pPr>
        <w:adjustRightInd w:val="0"/>
        <w:snapToGrid w:val="0"/>
        <w:spacing w:beforeLines="50" w:before="156" w:line="360" w:lineRule="auto"/>
        <w:rPr>
          <w:rFonts w:eastAsiaTheme="minorEastAsia"/>
          <w:b/>
          <w:bCs/>
          <w:color w:val="000000" w:themeColor="text1"/>
          <w:kern w:val="0"/>
          <w:szCs w:val="21"/>
        </w:rPr>
      </w:pPr>
      <w:r w:rsidRPr="0098332C">
        <w:rPr>
          <w:rFonts w:eastAsiaTheme="minorEastAsia"/>
          <w:b/>
          <w:bCs/>
          <w:color w:val="000000" w:themeColor="text1"/>
          <w:kern w:val="0"/>
          <w:szCs w:val="21"/>
        </w:rPr>
        <w:t>6.4.</w:t>
      </w:r>
      <w:r w:rsidR="00CF7242">
        <w:rPr>
          <w:rFonts w:eastAsiaTheme="minorEastAsia" w:hint="eastAsia"/>
          <w:b/>
          <w:bCs/>
          <w:color w:val="000000" w:themeColor="text1"/>
          <w:kern w:val="0"/>
          <w:szCs w:val="21"/>
        </w:rPr>
        <w:t>8</w:t>
      </w:r>
      <w:r w:rsidRPr="0098332C">
        <w:rPr>
          <w:rFonts w:eastAsiaTheme="minorEastAsia"/>
          <w:b/>
          <w:bCs/>
          <w:color w:val="000000" w:themeColor="text1"/>
          <w:kern w:val="0"/>
          <w:szCs w:val="21"/>
        </w:rPr>
        <w:t>.7</w:t>
      </w:r>
      <w:r w:rsidRPr="0098332C">
        <w:rPr>
          <w:rFonts w:eastAsiaTheme="minorEastAsia" w:hint="eastAsia"/>
          <w:b/>
          <w:bCs/>
          <w:color w:val="000000" w:themeColor="text1"/>
          <w:kern w:val="0"/>
          <w:szCs w:val="21"/>
        </w:rPr>
        <w:t xml:space="preserve">.2 </w:t>
      </w:r>
      <w:r w:rsidRPr="0098332C">
        <w:rPr>
          <w:rFonts w:eastAsiaTheme="minorEastAsia" w:hint="eastAsia"/>
          <w:b/>
          <w:bCs/>
          <w:color w:val="000000" w:themeColor="text1"/>
          <w:kern w:val="0"/>
          <w:szCs w:val="21"/>
        </w:rPr>
        <w:t>当期交易及持有基金管理人以及管理人关联方所管理基金产生的费用</w:t>
      </w:r>
    </w:p>
    <w:p w:rsidR="00146348" w:rsidRPr="0098332C" w:rsidRDefault="00146348" w:rsidP="00146348">
      <w:pPr>
        <w:widowControl/>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9</w:t>
      </w:r>
      <w:r w:rsidRPr="0098332C">
        <w:rPr>
          <w:rFonts w:eastAsiaTheme="minorEastAsia"/>
          <w:b/>
          <w:bCs/>
          <w:color w:val="000000"/>
          <w:szCs w:val="21"/>
        </w:rPr>
        <w:t>期末（</w:t>
      </w:r>
      <w:r w:rsidR="00AC4A34" w:rsidRPr="0098332C">
        <w:rPr>
          <w:rFonts w:eastAsiaTheme="minorEastAsia"/>
          <w:b/>
          <w:bCs/>
          <w:color w:val="000000"/>
          <w:szCs w:val="21"/>
        </w:rPr>
        <w:t>2019</w:t>
      </w:r>
      <w:r w:rsidR="00AC4A34" w:rsidRPr="0098332C">
        <w:rPr>
          <w:rFonts w:eastAsiaTheme="minorEastAsia"/>
          <w:b/>
          <w:bCs/>
          <w:color w:val="000000"/>
          <w:szCs w:val="21"/>
        </w:rPr>
        <w:t>年</w:t>
      </w:r>
      <w:r w:rsidR="00AC4A34" w:rsidRPr="0098332C">
        <w:rPr>
          <w:rFonts w:eastAsiaTheme="minorEastAsia"/>
          <w:b/>
          <w:bCs/>
          <w:color w:val="000000"/>
          <w:szCs w:val="21"/>
        </w:rPr>
        <w:t>6</w:t>
      </w:r>
      <w:r w:rsidR="00AC4A34" w:rsidRPr="0098332C">
        <w:rPr>
          <w:rFonts w:eastAsiaTheme="minorEastAsia"/>
          <w:b/>
          <w:bCs/>
          <w:color w:val="000000"/>
          <w:szCs w:val="21"/>
        </w:rPr>
        <w:t>月</w:t>
      </w:r>
      <w:r w:rsidR="00AC4A34" w:rsidRPr="0098332C">
        <w:rPr>
          <w:rFonts w:eastAsiaTheme="minorEastAsia"/>
          <w:b/>
          <w:bCs/>
          <w:color w:val="000000"/>
          <w:szCs w:val="21"/>
        </w:rPr>
        <w:t>30</w:t>
      </w:r>
      <w:r w:rsidR="00AC4A34" w:rsidRPr="0098332C">
        <w:rPr>
          <w:rFonts w:eastAsiaTheme="minorEastAsia"/>
          <w:b/>
          <w:bCs/>
          <w:color w:val="000000"/>
          <w:szCs w:val="21"/>
        </w:rPr>
        <w:t>日</w:t>
      </w:r>
      <w:r w:rsidRPr="0098332C">
        <w:rPr>
          <w:rFonts w:eastAsiaTheme="minorEastAsia"/>
          <w:b/>
          <w:bCs/>
          <w:color w:val="000000"/>
          <w:szCs w:val="21"/>
        </w:rPr>
        <w:t>）本基金持有的流通受限证券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9</w:t>
      </w:r>
      <w:r w:rsidRPr="0098332C">
        <w:rPr>
          <w:rFonts w:eastAsiaTheme="minorEastAsia"/>
          <w:b/>
          <w:bCs/>
          <w:color w:val="000000"/>
          <w:kern w:val="0"/>
          <w:szCs w:val="21"/>
        </w:rPr>
        <w:t>.1</w:t>
      </w:r>
      <w:r w:rsidRPr="0098332C">
        <w:rPr>
          <w:rFonts w:eastAsiaTheme="minorEastAsia"/>
          <w:b/>
          <w:bCs/>
          <w:color w:val="000000"/>
          <w:szCs w:val="21"/>
        </w:rPr>
        <w:t>因认购新发</w:t>
      </w:r>
      <w:r w:rsidRPr="0098332C">
        <w:rPr>
          <w:rFonts w:eastAsiaTheme="minorEastAsia"/>
          <w:b/>
          <w:bCs/>
          <w:color w:val="000000"/>
          <w:szCs w:val="21"/>
        </w:rPr>
        <w:t>/</w:t>
      </w:r>
      <w:r w:rsidRPr="0098332C">
        <w:rPr>
          <w:rFonts w:eastAsiaTheme="minorEastAsia"/>
          <w:b/>
          <w:bCs/>
          <w:color w:val="000000"/>
          <w:szCs w:val="21"/>
        </w:rPr>
        <w:t>增发证券而于期末持有的流通受限证券</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9</w:t>
      </w:r>
      <w:r w:rsidRPr="0098332C">
        <w:rPr>
          <w:rFonts w:eastAsiaTheme="minorEastAsia"/>
          <w:b/>
          <w:bCs/>
          <w:color w:val="000000"/>
          <w:kern w:val="0"/>
          <w:szCs w:val="21"/>
        </w:rPr>
        <w:t>.2</w:t>
      </w:r>
      <w:r w:rsidRPr="0098332C">
        <w:rPr>
          <w:rFonts w:eastAsiaTheme="minorEastAsia"/>
          <w:b/>
          <w:bCs/>
          <w:color w:val="000000"/>
          <w:szCs w:val="21"/>
        </w:rPr>
        <w:t>期末持有的暂时停牌等流通受限股票</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9</w:t>
      </w:r>
      <w:r w:rsidRPr="0098332C">
        <w:rPr>
          <w:rFonts w:eastAsiaTheme="minorEastAsia"/>
          <w:b/>
          <w:bCs/>
          <w:color w:val="000000"/>
          <w:kern w:val="0"/>
          <w:szCs w:val="21"/>
        </w:rPr>
        <w:t>.3</w:t>
      </w:r>
      <w:r w:rsidRPr="0098332C">
        <w:rPr>
          <w:rFonts w:eastAsiaTheme="minorEastAsia"/>
          <w:b/>
          <w:bCs/>
          <w:color w:val="000000"/>
          <w:szCs w:val="21"/>
        </w:rPr>
        <w:t>期末债券正回购交易中作为抵押的债券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9</w:t>
      </w:r>
      <w:r w:rsidRPr="0098332C">
        <w:rPr>
          <w:rFonts w:eastAsiaTheme="minorEastAsia"/>
          <w:b/>
          <w:bCs/>
          <w:color w:val="000000"/>
          <w:kern w:val="0"/>
          <w:szCs w:val="21"/>
        </w:rPr>
        <w:t>.3.1</w:t>
      </w:r>
      <w:r w:rsidRPr="0098332C">
        <w:rPr>
          <w:rFonts w:eastAsiaTheme="minorEastAsia"/>
          <w:b/>
          <w:bCs/>
          <w:color w:val="000000"/>
          <w:szCs w:val="21"/>
        </w:rPr>
        <w:t>银行间市场债券正回购</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w:t>
      </w:r>
      <w:r w:rsidR="00CF7242">
        <w:rPr>
          <w:rFonts w:eastAsiaTheme="minorEastAsia" w:hint="eastAsia"/>
          <w:b/>
          <w:bCs/>
          <w:color w:val="000000"/>
          <w:kern w:val="0"/>
          <w:szCs w:val="21"/>
        </w:rPr>
        <w:t>9</w:t>
      </w:r>
      <w:r w:rsidRPr="0098332C">
        <w:rPr>
          <w:rFonts w:eastAsiaTheme="minorEastAsia"/>
          <w:b/>
          <w:bCs/>
          <w:color w:val="000000"/>
          <w:kern w:val="0"/>
          <w:szCs w:val="21"/>
        </w:rPr>
        <w:t>.3.2</w:t>
      </w:r>
      <w:r w:rsidRPr="0098332C">
        <w:rPr>
          <w:rFonts w:eastAsiaTheme="minorEastAsia"/>
          <w:b/>
          <w:bCs/>
          <w:color w:val="000000"/>
          <w:szCs w:val="21"/>
        </w:rPr>
        <w:t>交易所市场债券正回购</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djustRightInd w:val="0"/>
        <w:snapToGrid w:val="0"/>
        <w:spacing w:beforeLines="100" w:before="312" w:line="360" w:lineRule="auto"/>
        <w:rPr>
          <w:rFonts w:eastAsiaTheme="minorEastAsia"/>
          <w:b/>
          <w:color w:val="000000"/>
          <w:szCs w:val="21"/>
        </w:rPr>
      </w:pPr>
      <w:r w:rsidRPr="0098332C">
        <w:rPr>
          <w:rFonts w:eastAsiaTheme="minorEastAsia"/>
          <w:b/>
          <w:bCs/>
          <w:color w:val="000000"/>
          <w:kern w:val="0"/>
          <w:szCs w:val="21"/>
        </w:rPr>
        <w:t>6.4.1</w:t>
      </w:r>
      <w:r w:rsidR="00CF7242">
        <w:rPr>
          <w:rFonts w:eastAsiaTheme="minorEastAsia" w:hint="eastAsia"/>
          <w:b/>
          <w:bCs/>
          <w:color w:val="000000"/>
          <w:kern w:val="0"/>
          <w:szCs w:val="21"/>
        </w:rPr>
        <w:t>0</w:t>
      </w:r>
      <w:r w:rsidRPr="0098332C">
        <w:rPr>
          <w:rFonts w:eastAsiaTheme="minorEastAsia"/>
          <w:b/>
          <w:color w:val="000000"/>
          <w:szCs w:val="21"/>
        </w:rPr>
        <w:t>有助于理解和分析会计报表需要说明的其他事项</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截至资产负债表日本基金无需要说明的其他重要事项。</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54" w:name="_Toc225498272"/>
      <w:bookmarkStart w:id="155" w:name="_Toc352255995"/>
      <w:bookmarkStart w:id="156" w:name="_Toc352256063"/>
      <w:bookmarkStart w:id="157" w:name="_Toc352331241"/>
      <w:bookmarkStart w:id="158" w:name="_Toc390164820"/>
      <w:r w:rsidRPr="0098332C">
        <w:rPr>
          <w:rFonts w:eastAsiaTheme="minorEastAsia"/>
          <w:b/>
          <w:bCs/>
          <w:sz w:val="21"/>
          <w:szCs w:val="21"/>
          <w:lang w:val="en-US"/>
        </w:rPr>
        <w:t>7</w:t>
      </w:r>
      <w:r w:rsidR="00E909F1">
        <w:rPr>
          <w:rFonts w:eastAsiaTheme="minorEastAsia"/>
          <w:b/>
          <w:bCs/>
          <w:sz w:val="21"/>
          <w:szCs w:val="21"/>
          <w:lang w:val="en-US"/>
        </w:rPr>
        <w:t xml:space="preserve">  </w:t>
      </w:r>
      <w:r w:rsidRPr="0098332C">
        <w:rPr>
          <w:rFonts w:eastAsiaTheme="minorEastAsia"/>
          <w:b/>
          <w:bCs/>
          <w:sz w:val="21"/>
          <w:szCs w:val="21"/>
          <w:lang w:val="en-US"/>
        </w:rPr>
        <w:t>投资组合报告</w:t>
      </w:r>
      <w:bookmarkEnd w:id="154"/>
      <w:bookmarkEnd w:id="155"/>
      <w:bookmarkEnd w:id="156"/>
      <w:bookmarkEnd w:id="157"/>
      <w:bookmarkEnd w:id="158"/>
    </w:p>
    <w:p w:rsidR="007D5C24" w:rsidRPr="0098332C" w:rsidRDefault="007D5C24" w:rsidP="007D5C24">
      <w:pPr>
        <w:pStyle w:val="20"/>
        <w:spacing w:before="0" w:after="0"/>
        <w:rPr>
          <w:rFonts w:ascii="Times New Roman" w:eastAsiaTheme="minorEastAsia" w:hAnsi="Times New Roman"/>
          <w:kern w:val="0"/>
          <w:sz w:val="21"/>
          <w:szCs w:val="21"/>
        </w:rPr>
      </w:pPr>
      <w:bookmarkStart w:id="159" w:name="_Toc225498273"/>
      <w:bookmarkStart w:id="160" w:name="_Toc352255996"/>
      <w:bookmarkStart w:id="161" w:name="_Toc352256064"/>
      <w:bookmarkStart w:id="162" w:name="_Toc352331242"/>
      <w:bookmarkStart w:id="163" w:name="_Toc390164821"/>
      <w:r w:rsidRPr="0098332C">
        <w:rPr>
          <w:rFonts w:ascii="Times New Roman" w:eastAsiaTheme="minorEastAsia" w:hAnsi="Times New Roman"/>
          <w:bCs w:val="0"/>
          <w:color w:val="000000"/>
          <w:kern w:val="0"/>
          <w:sz w:val="21"/>
          <w:szCs w:val="21"/>
        </w:rPr>
        <w:t>7.1</w:t>
      </w:r>
      <w:r w:rsidR="00E74A64">
        <w:rPr>
          <w:rFonts w:ascii="Times New Roman" w:eastAsiaTheme="minorEastAsia" w:hAnsi="Times New Roman" w:hint="eastAsia"/>
          <w:bCs w:val="0"/>
          <w:color w:val="000000"/>
          <w:kern w:val="0"/>
          <w:sz w:val="21"/>
          <w:szCs w:val="21"/>
        </w:rPr>
        <w:t xml:space="preserve"> </w:t>
      </w:r>
      <w:r w:rsidRPr="0098332C">
        <w:rPr>
          <w:rFonts w:ascii="Times New Roman" w:eastAsiaTheme="minorEastAsia" w:hAnsi="Times New Roman"/>
          <w:kern w:val="0"/>
          <w:sz w:val="21"/>
          <w:szCs w:val="21"/>
        </w:rPr>
        <w:t>期末基金资产组合情况</w:t>
      </w:r>
      <w:bookmarkEnd w:id="159"/>
      <w:bookmarkEnd w:id="160"/>
      <w:bookmarkEnd w:id="161"/>
      <w:bookmarkEnd w:id="162"/>
      <w:bookmarkEnd w:id="163"/>
    </w:p>
    <w:p w:rsidR="007D5C24" w:rsidRPr="0098332C" w:rsidRDefault="007D5C24" w:rsidP="007D5C24">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序号</w:t>
            </w:r>
          </w:p>
        </w:tc>
        <w:tc>
          <w:tcPr>
            <w:tcW w:w="34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项目</w:t>
            </w:r>
          </w:p>
        </w:tc>
        <w:tc>
          <w:tcPr>
            <w:tcW w:w="25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金额</w:t>
            </w:r>
          </w:p>
        </w:tc>
        <w:tc>
          <w:tcPr>
            <w:tcW w:w="19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占基金总资产的比例（</w:t>
            </w:r>
            <w:r w:rsidRPr="0098332C">
              <w:rPr>
                <w:rFonts w:eastAsiaTheme="minorEastAsia"/>
                <w:color w:val="000000"/>
                <w:szCs w:val="21"/>
              </w:rPr>
              <w:t>%</w:t>
            </w: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1</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权益投资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165,931,935.20</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91.51</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其中：普通股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firstLineChars="350" w:firstLine="735"/>
              <w:rPr>
                <w:rFonts w:eastAsiaTheme="minorEastAsia"/>
                <w:color w:val="000000"/>
                <w:szCs w:val="21"/>
              </w:rPr>
            </w:pPr>
            <w:r w:rsidRPr="0098332C">
              <w:rPr>
                <w:rFonts w:eastAsiaTheme="minorEastAsia"/>
                <w:szCs w:val="21"/>
              </w:rPr>
              <w:t>存托凭证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优先股</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房地产信托凭证</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165,931,935.20</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91.51</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2</w:t>
            </w:r>
          </w:p>
        </w:tc>
        <w:tc>
          <w:tcPr>
            <w:tcW w:w="3420" w:type="dxa"/>
            <w:vAlign w:val="center"/>
          </w:tcPr>
          <w:p w:rsidR="007D5C24" w:rsidRPr="0098332C" w:rsidRDefault="007D5C24" w:rsidP="00922442">
            <w:pPr>
              <w:ind w:leftChars="49" w:left="103"/>
              <w:rPr>
                <w:rFonts w:eastAsiaTheme="minorEastAsia"/>
                <w:color w:val="000000"/>
                <w:szCs w:val="21"/>
              </w:rPr>
            </w:pPr>
            <w:r w:rsidRPr="0098332C">
              <w:rPr>
                <w:rFonts w:eastAsiaTheme="minorEastAsia"/>
                <w:szCs w:val="21"/>
              </w:rPr>
              <w:t>基金投资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3</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固定收益投资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其中：债券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firstLineChars="300" w:firstLine="630"/>
              <w:rPr>
                <w:rFonts w:eastAsiaTheme="minorEastAsia"/>
                <w:color w:val="000000"/>
                <w:szCs w:val="21"/>
              </w:rPr>
            </w:pPr>
            <w:r w:rsidRPr="0098332C">
              <w:rPr>
                <w:rFonts w:eastAsiaTheme="minorEastAsia"/>
                <w:szCs w:val="21"/>
              </w:rPr>
              <w:t>资产支持证券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4</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金融衍生品投资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其中：远期</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期权</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权证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5</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其中：买断式回购的买入返售金融资产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6</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货币市场工具</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7</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银行存款和结算备付金合计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13,260,095.86</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7.31</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8</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其他各项资产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2,125,807.23</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1.17</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9</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181,317,838.29</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100.00</w:t>
            </w:r>
          </w:p>
        </w:tc>
      </w:tr>
    </w:tbl>
    <w:p w:rsidR="008A5A5D" w:rsidRPr="0098332C" w:rsidRDefault="008A5A5D" w:rsidP="006313B1">
      <w:pPr>
        <w:pStyle w:val="20"/>
        <w:spacing w:before="0" w:after="0"/>
        <w:rPr>
          <w:rFonts w:ascii="Times New Roman" w:eastAsiaTheme="minorEastAsia" w:hAnsi="Times New Roman"/>
          <w:kern w:val="0"/>
          <w:sz w:val="21"/>
          <w:szCs w:val="21"/>
        </w:rPr>
      </w:pPr>
      <w:bookmarkStart w:id="164" w:name="_Toc390164822"/>
      <w:r w:rsidRPr="0098332C">
        <w:rPr>
          <w:rFonts w:ascii="Times New Roman" w:eastAsiaTheme="minorEastAsia" w:hAnsi="Times New Roman"/>
          <w:kern w:val="0"/>
          <w:sz w:val="21"/>
          <w:szCs w:val="21"/>
        </w:rPr>
        <w:t>7.2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期末在各个国家（地区）证券市场的权益投资分布</w:t>
      </w:r>
      <w:bookmarkEnd w:id="164"/>
    </w:p>
    <w:p w:rsidR="00E573EF" w:rsidRPr="0098332C" w:rsidRDefault="00E573EF" w:rsidP="00FF06C4">
      <w:pPr>
        <w:spacing w:line="360" w:lineRule="auto"/>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98332C" w:rsidTr="003746F1">
        <w:tc>
          <w:tcPr>
            <w:tcW w:w="207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国家（地区）</w:t>
            </w:r>
          </w:p>
        </w:tc>
        <w:tc>
          <w:tcPr>
            <w:tcW w:w="3598"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368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122FB4">
        <w:tc>
          <w:tcPr>
            <w:tcW w:w="2074" w:type="dxa"/>
            <w:vAlign w:val="center"/>
          </w:tcPr>
          <w:p w:rsidR="00122FB4" w:rsidRDefault="003502BE">
            <w:pPr>
              <w:jc w:val="left"/>
            </w:pPr>
            <w:r>
              <w:rPr>
                <w:rFonts w:eastAsiaTheme="minorEastAsia"/>
                <w:color w:val="000000"/>
                <w:szCs w:val="21"/>
              </w:rPr>
              <w:t>美国</w:t>
            </w:r>
          </w:p>
        </w:tc>
        <w:tc>
          <w:tcPr>
            <w:tcW w:w="3598" w:type="dxa"/>
            <w:vAlign w:val="center"/>
          </w:tcPr>
          <w:p w:rsidR="00122FB4" w:rsidRDefault="003502BE">
            <w:pPr>
              <w:jc w:val="right"/>
            </w:pPr>
            <w:r>
              <w:rPr>
                <w:rFonts w:eastAsiaTheme="minorEastAsia"/>
                <w:color w:val="000000"/>
                <w:szCs w:val="21"/>
              </w:rPr>
              <w:t>119,152,487.95</w:t>
            </w:r>
          </w:p>
        </w:tc>
        <w:tc>
          <w:tcPr>
            <w:tcW w:w="3684" w:type="dxa"/>
            <w:vAlign w:val="center"/>
          </w:tcPr>
          <w:p w:rsidR="00122FB4" w:rsidRDefault="003502BE">
            <w:pPr>
              <w:jc w:val="right"/>
            </w:pPr>
            <w:r>
              <w:rPr>
                <w:rFonts w:eastAsiaTheme="minorEastAsia"/>
                <w:color w:val="000000"/>
                <w:szCs w:val="21"/>
              </w:rPr>
              <w:t>67.60</w:t>
            </w:r>
          </w:p>
        </w:tc>
      </w:tr>
      <w:tr w:rsidR="00122FB4">
        <w:tc>
          <w:tcPr>
            <w:tcW w:w="2074" w:type="dxa"/>
            <w:vAlign w:val="center"/>
          </w:tcPr>
          <w:p w:rsidR="00122FB4" w:rsidRDefault="003502BE">
            <w:pPr>
              <w:jc w:val="left"/>
            </w:pPr>
            <w:r>
              <w:rPr>
                <w:rFonts w:eastAsiaTheme="minorEastAsia"/>
                <w:color w:val="000000"/>
                <w:szCs w:val="21"/>
              </w:rPr>
              <w:t>澳大利亚</w:t>
            </w:r>
          </w:p>
        </w:tc>
        <w:tc>
          <w:tcPr>
            <w:tcW w:w="3598" w:type="dxa"/>
            <w:vAlign w:val="center"/>
          </w:tcPr>
          <w:p w:rsidR="00122FB4" w:rsidRDefault="003502BE">
            <w:pPr>
              <w:jc w:val="right"/>
            </w:pPr>
            <w:r>
              <w:rPr>
                <w:rFonts w:eastAsiaTheme="minorEastAsia"/>
                <w:color w:val="000000"/>
                <w:szCs w:val="21"/>
              </w:rPr>
              <w:t>15,264,520.17</w:t>
            </w:r>
          </w:p>
        </w:tc>
        <w:tc>
          <w:tcPr>
            <w:tcW w:w="3684" w:type="dxa"/>
            <w:vAlign w:val="center"/>
          </w:tcPr>
          <w:p w:rsidR="00122FB4" w:rsidRDefault="003502BE">
            <w:pPr>
              <w:jc w:val="right"/>
            </w:pPr>
            <w:r>
              <w:rPr>
                <w:rFonts w:eastAsiaTheme="minorEastAsia"/>
                <w:color w:val="000000"/>
                <w:szCs w:val="21"/>
              </w:rPr>
              <w:t>8.66</w:t>
            </w:r>
          </w:p>
        </w:tc>
      </w:tr>
      <w:tr w:rsidR="00122FB4">
        <w:tc>
          <w:tcPr>
            <w:tcW w:w="2074" w:type="dxa"/>
            <w:vAlign w:val="center"/>
          </w:tcPr>
          <w:p w:rsidR="00122FB4" w:rsidRDefault="003502BE">
            <w:pPr>
              <w:jc w:val="left"/>
            </w:pPr>
            <w:r>
              <w:rPr>
                <w:rFonts w:eastAsiaTheme="minorEastAsia"/>
                <w:color w:val="000000"/>
                <w:szCs w:val="21"/>
              </w:rPr>
              <w:t>英国</w:t>
            </w:r>
          </w:p>
        </w:tc>
        <w:tc>
          <w:tcPr>
            <w:tcW w:w="3598" w:type="dxa"/>
            <w:vAlign w:val="center"/>
          </w:tcPr>
          <w:p w:rsidR="00122FB4" w:rsidRDefault="003502BE">
            <w:pPr>
              <w:jc w:val="right"/>
            </w:pPr>
            <w:r>
              <w:rPr>
                <w:rFonts w:eastAsiaTheme="minorEastAsia"/>
                <w:color w:val="000000"/>
                <w:szCs w:val="21"/>
              </w:rPr>
              <w:t>8,618,018.26</w:t>
            </w:r>
          </w:p>
        </w:tc>
        <w:tc>
          <w:tcPr>
            <w:tcW w:w="3684" w:type="dxa"/>
            <w:vAlign w:val="center"/>
          </w:tcPr>
          <w:p w:rsidR="00122FB4" w:rsidRDefault="003502BE">
            <w:pPr>
              <w:jc w:val="right"/>
            </w:pPr>
            <w:r>
              <w:rPr>
                <w:rFonts w:eastAsiaTheme="minorEastAsia"/>
                <w:color w:val="000000"/>
                <w:szCs w:val="21"/>
              </w:rPr>
              <w:t>4.89</w:t>
            </w:r>
          </w:p>
        </w:tc>
      </w:tr>
      <w:tr w:rsidR="00122FB4">
        <w:tc>
          <w:tcPr>
            <w:tcW w:w="2074" w:type="dxa"/>
            <w:vAlign w:val="center"/>
          </w:tcPr>
          <w:p w:rsidR="00122FB4" w:rsidRDefault="003502BE">
            <w:pPr>
              <w:jc w:val="left"/>
            </w:pPr>
            <w:r>
              <w:rPr>
                <w:rFonts w:eastAsiaTheme="minorEastAsia"/>
                <w:color w:val="000000"/>
                <w:szCs w:val="21"/>
              </w:rPr>
              <w:t>日本</w:t>
            </w:r>
          </w:p>
        </w:tc>
        <w:tc>
          <w:tcPr>
            <w:tcW w:w="3598" w:type="dxa"/>
            <w:vAlign w:val="center"/>
          </w:tcPr>
          <w:p w:rsidR="00122FB4" w:rsidRDefault="003502BE">
            <w:pPr>
              <w:jc w:val="right"/>
            </w:pPr>
            <w:r>
              <w:rPr>
                <w:rFonts w:eastAsiaTheme="minorEastAsia"/>
                <w:color w:val="000000"/>
                <w:szCs w:val="21"/>
              </w:rPr>
              <w:t>6,601,541.84</w:t>
            </w:r>
          </w:p>
        </w:tc>
        <w:tc>
          <w:tcPr>
            <w:tcW w:w="3684" w:type="dxa"/>
            <w:vAlign w:val="center"/>
          </w:tcPr>
          <w:p w:rsidR="00122FB4" w:rsidRDefault="003502BE">
            <w:pPr>
              <w:jc w:val="right"/>
            </w:pPr>
            <w:r>
              <w:rPr>
                <w:rFonts w:eastAsiaTheme="minorEastAsia"/>
                <w:color w:val="000000"/>
                <w:szCs w:val="21"/>
              </w:rPr>
              <w:t>3.75</w:t>
            </w:r>
          </w:p>
        </w:tc>
      </w:tr>
      <w:tr w:rsidR="00122FB4">
        <w:tc>
          <w:tcPr>
            <w:tcW w:w="2074" w:type="dxa"/>
            <w:vAlign w:val="center"/>
          </w:tcPr>
          <w:p w:rsidR="00122FB4" w:rsidRDefault="003502BE">
            <w:pPr>
              <w:jc w:val="left"/>
            </w:pPr>
            <w:r>
              <w:rPr>
                <w:rFonts w:eastAsiaTheme="minorEastAsia"/>
                <w:color w:val="000000"/>
                <w:szCs w:val="21"/>
              </w:rPr>
              <w:t>中国香港</w:t>
            </w:r>
          </w:p>
        </w:tc>
        <w:tc>
          <w:tcPr>
            <w:tcW w:w="3598" w:type="dxa"/>
            <w:vAlign w:val="center"/>
          </w:tcPr>
          <w:p w:rsidR="00122FB4" w:rsidRDefault="003502BE">
            <w:pPr>
              <w:jc w:val="right"/>
            </w:pPr>
            <w:r>
              <w:rPr>
                <w:rFonts w:eastAsiaTheme="minorEastAsia"/>
                <w:color w:val="000000"/>
                <w:szCs w:val="21"/>
              </w:rPr>
              <w:t>5,531,302.08</w:t>
            </w:r>
          </w:p>
        </w:tc>
        <w:tc>
          <w:tcPr>
            <w:tcW w:w="3684" w:type="dxa"/>
            <w:vAlign w:val="center"/>
          </w:tcPr>
          <w:p w:rsidR="00122FB4" w:rsidRDefault="003502BE">
            <w:pPr>
              <w:jc w:val="right"/>
            </w:pPr>
            <w:r>
              <w:rPr>
                <w:rFonts w:eastAsiaTheme="minorEastAsia"/>
                <w:color w:val="000000"/>
                <w:szCs w:val="21"/>
              </w:rPr>
              <w:t>3.14</w:t>
            </w:r>
          </w:p>
        </w:tc>
      </w:tr>
      <w:tr w:rsidR="00122FB4">
        <w:tc>
          <w:tcPr>
            <w:tcW w:w="2074" w:type="dxa"/>
            <w:vAlign w:val="center"/>
          </w:tcPr>
          <w:p w:rsidR="00122FB4" w:rsidRDefault="003502BE">
            <w:pPr>
              <w:jc w:val="left"/>
            </w:pPr>
            <w:r>
              <w:rPr>
                <w:rFonts w:eastAsiaTheme="minorEastAsia"/>
                <w:color w:val="000000"/>
                <w:szCs w:val="21"/>
              </w:rPr>
              <w:t>荷兰</w:t>
            </w:r>
          </w:p>
        </w:tc>
        <w:tc>
          <w:tcPr>
            <w:tcW w:w="3598" w:type="dxa"/>
            <w:vAlign w:val="center"/>
          </w:tcPr>
          <w:p w:rsidR="00122FB4" w:rsidRDefault="003502BE">
            <w:pPr>
              <w:jc w:val="right"/>
            </w:pPr>
            <w:r>
              <w:rPr>
                <w:rFonts w:eastAsiaTheme="minorEastAsia"/>
                <w:color w:val="000000"/>
                <w:szCs w:val="21"/>
              </w:rPr>
              <w:t>4,521,649.54</w:t>
            </w:r>
          </w:p>
        </w:tc>
        <w:tc>
          <w:tcPr>
            <w:tcW w:w="3684" w:type="dxa"/>
            <w:vAlign w:val="center"/>
          </w:tcPr>
          <w:p w:rsidR="00122FB4" w:rsidRDefault="003502BE">
            <w:pPr>
              <w:jc w:val="right"/>
            </w:pPr>
            <w:r>
              <w:rPr>
                <w:rFonts w:eastAsiaTheme="minorEastAsia"/>
                <w:color w:val="000000"/>
                <w:szCs w:val="21"/>
              </w:rPr>
              <w:t>2.57</w:t>
            </w:r>
          </w:p>
        </w:tc>
      </w:tr>
      <w:tr w:rsidR="00122FB4">
        <w:tc>
          <w:tcPr>
            <w:tcW w:w="2074" w:type="dxa"/>
            <w:vAlign w:val="center"/>
          </w:tcPr>
          <w:p w:rsidR="00122FB4" w:rsidRDefault="003502BE">
            <w:pPr>
              <w:jc w:val="left"/>
            </w:pPr>
            <w:r>
              <w:rPr>
                <w:rFonts w:eastAsiaTheme="minorEastAsia"/>
                <w:color w:val="000000"/>
                <w:szCs w:val="21"/>
              </w:rPr>
              <w:t>法国</w:t>
            </w:r>
          </w:p>
        </w:tc>
        <w:tc>
          <w:tcPr>
            <w:tcW w:w="3598" w:type="dxa"/>
            <w:vAlign w:val="center"/>
          </w:tcPr>
          <w:p w:rsidR="00122FB4" w:rsidRDefault="003502BE">
            <w:pPr>
              <w:jc w:val="right"/>
            </w:pPr>
            <w:r>
              <w:rPr>
                <w:rFonts w:eastAsiaTheme="minorEastAsia"/>
                <w:color w:val="000000"/>
                <w:szCs w:val="21"/>
              </w:rPr>
              <w:t>4,009,830.28</w:t>
            </w:r>
          </w:p>
        </w:tc>
        <w:tc>
          <w:tcPr>
            <w:tcW w:w="3684" w:type="dxa"/>
            <w:vAlign w:val="center"/>
          </w:tcPr>
          <w:p w:rsidR="00122FB4" w:rsidRDefault="003502BE">
            <w:pPr>
              <w:jc w:val="right"/>
            </w:pPr>
            <w:r>
              <w:rPr>
                <w:rFonts w:eastAsiaTheme="minorEastAsia"/>
                <w:color w:val="000000"/>
                <w:szCs w:val="21"/>
              </w:rPr>
              <w:t>2.28</w:t>
            </w:r>
          </w:p>
        </w:tc>
      </w:tr>
      <w:tr w:rsidR="00122FB4">
        <w:tc>
          <w:tcPr>
            <w:tcW w:w="2074" w:type="dxa"/>
            <w:vAlign w:val="center"/>
          </w:tcPr>
          <w:p w:rsidR="00122FB4" w:rsidRDefault="003502BE">
            <w:pPr>
              <w:jc w:val="left"/>
            </w:pPr>
            <w:r>
              <w:rPr>
                <w:rFonts w:eastAsiaTheme="minorEastAsia"/>
                <w:color w:val="000000"/>
                <w:szCs w:val="21"/>
              </w:rPr>
              <w:t>新加坡</w:t>
            </w:r>
          </w:p>
        </w:tc>
        <w:tc>
          <w:tcPr>
            <w:tcW w:w="3598" w:type="dxa"/>
            <w:vAlign w:val="center"/>
          </w:tcPr>
          <w:p w:rsidR="00122FB4" w:rsidRDefault="003502BE">
            <w:pPr>
              <w:jc w:val="right"/>
            </w:pPr>
            <w:r>
              <w:rPr>
                <w:rFonts w:eastAsiaTheme="minorEastAsia"/>
                <w:color w:val="000000"/>
                <w:szCs w:val="21"/>
              </w:rPr>
              <w:t>2,232,585.08</w:t>
            </w:r>
          </w:p>
        </w:tc>
        <w:tc>
          <w:tcPr>
            <w:tcW w:w="3684" w:type="dxa"/>
            <w:vAlign w:val="center"/>
          </w:tcPr>
          <w:p w:rsidR="00122FB4" w:rsidRDefault="003502BE">
            <w:pPr>
              <w:jc w:val="right"/>
            </w:pPr>
            <w:r>
              <w:rPr>
                <w:rFonts w:eastAsiaTheme="minorEastAsia"/>
                <w:color w:val="000000"/>
                <w:szCs w:val="21"/>
              </w:rPr>
              <w:t>1.27</w:t>
            </w:r>
          </w:p>
        </w:tc>
      </w:tr>
      <w:tr w:rsidR="008A5A5D" w:rsidRPr="0098332C" w:rsidTr="003746F1">
        <w:tc>
          <w:tcPr>
            <w:tcW w:w="2074" w:type="dxa"/>
            <w:vAlign w:val="center"/>
          </w:tcPr>
          <w:p w:rsidR="008A5A5D" w:rsidRPr="0098332C" w:rsidRDefault="008A5A5D" w:rsidP="00AB7D15">
            <w:pPr>
              <w:pStyle w:val="af4"/>
              <w:rPr>
                <w:rFonts w:eastAsiaTheme="minorEastAsia"/>
                <w:color w:val="000000"/>
                <w:sz w:val="21"/>
                <w:szCs w:val="21"/>
              </w:rPr>
            </w:pPr>
            <w:r w:rsidRPr="0098332C">
              <w:rPr>
                <w:rFonts w:eastAsiaTheme="minorEastAsia"/>
                <w:sz w:val="21"/>
                <w:szCs w:val="21"/>
              </w:rPr>
              <w:t>合计</w:t>
            </w:r>
          </w:p>
        </w:tc>
        <w:tc>
          <w:tcPr>
            <w:tcW w:w="3598" w:type="dxa"/>
          </w:tcPr>
          <w:p w:rsidR="008A5A5D" w:rsidRPr="0098332C" w:rsidRDefault="008A5A5D" w:rsidP="004A4847">
            <w:pPr>
              <w:jc w:val="right"/>
              <w:rPr>
                <w:rFonts w:eastAsiaTheme="minorEastAsia"/>
                <w:color w:val="000000"/>
                <w:szCs w:val="21"/>
              </w:rPr>
            </w:pPr>
            <w:r w:rsidRPr="0098332C">
              <w:rPr>
                <w:rFonts w:eastAsiaTheme="minorEastAsia"/>
                <w:szCs w:val="21"/>
              </w:rPr>
              <w:t>165,931,935.20</w:t>
            </w:r>
          </w:p>
        </w:tc>
        <w:tc>
          <w:tcPr>
            <w:tcW w:w="3684" w:type="dxa"/>
          </w:tcPr>
          <w:p w:rsidR="008A5A5D" w:rsidRPr="0098332C" w:rsidRDefault="008A5A5D" w:rsidP="004A4847">
            <w:pPr>
              <w:jc w:val="right"/>
              <w:rPr>
                <w:rFonts w:eastAsiaTheme="minorEastAsia"/>
                <w:color w:val="000000"/>
                <w:szCs w:val="21"/>
              </w:rPr>
            </w:pPr>
            <w:r w:rsidRPr="0098332C">
              <w:rPr>
                <w:rFonts w:eastAsiaTheme="minorEastAsia"/>
                <w:szCs w:val="21"/>
              </w:rPr>
              <w:t>94.14</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注：国家（地区）类别根据其所在的证券交易所确定，</w:t>
      </w:r>
      <w:r w:rsidRPr="0098332C">
        <w:rPr>
          <w:rFonts w:eastAsiaTheme="minorEastAsia"/>
          <w:kern w:val="0"/>
          <w:szCs w:val="21"/>
        </w:rPr>
        <w:t>ADR</w:t>
      </w:r>
      <w:r w:rsidRPr="0098332C">
        <w:rPr>
          <w:rFonts w:eastAsiaTheme="minorEastAsia"/>
          <w:kern w:val="0"/>
          <w:szCs w:val="21"/>
        </w:rPr>
        <w:t>、</w:t>
      </w:r>
      <w:r w:rsidRPr="0098332C">
        <w:rPr>
          <w:rFonts w:eastAsiaTheme="minorEastAsia"/>
          <w:kern w:val="0"/>
          <w:szCs w:val="21"/>
        </w:rPr>
        <w:t>GDR</w:t>
      </w:r>
      <w:r w:rsidRPr="0098332C">
        <w:rPr>
          <w:rFonts w:eastAsiaTheme="minorEastAsia"/>
          <w:kern w:val="0"/>
          <w:szCs w:val="21"/>
        </w:rPr>
        <w:t>按照存托凭证本身挂牌的证券交易所确定。</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65" w:name="_Toc224618378"/>
      <w:bookmarkStart w:id="166" w:name="_Toc248233025"/>
      <w:bookmarkStart w:id="167" w:name="_Toc249790557"/>
      <w:bookmarkStart w:id="168" w:name="_Toc286929758"/>
      <w:bookmarkStart w:id="169" w:name="_Toc352255997"/>
      <w:bookmarkStart w:id="170" w:name="_Toc352256065"/>
      <w:bookmarkStart w:id="171" w:name="_Toc352331243"/>
      <w:bookmarkStart w:id="172" w:name="_Toc390164823"/>
      <w:r w:rsidRPr="0098332C">
        <w:rPr>
          <w:rFonts w:ascii="Times New Roman" w:eastAsiaTheme="minorEastAsia" w:hAnsi="Times New Roman"/>
          <w:kern w:val="0"/>
          <w:sz w:val="21"/>
          <w:szCs w:val="21"/>
        </w:rPr>
        <w:t>7.3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期末按行业分类的权益投资组合</w:t>
      </w:r>
      <w:bookmarkEnd w:id="165"/>
      <w:bookmarkEnd w:id="166"/>
      <w:bookmarkEnd w:id="167"/>
      <w:bookmarkEnd w:id="168"/>
      <w:bookmarkEnd w:id="169"/>
      <w:bookmarkEnd w:id="170"/>
      <w:bookmarkEnd w:id="171"/>
      <w:bookmarkEnd w:id="172"/>
    </w:p>
    <w:p w:rsidR="00602B51" w:rsidRPr="0098332C" w:rsidRDefault="00602B51" w:rsidP="00401D95">
      <w:pPr>
        <w:tabs>
          <w:tab w:val="left" w:pos="426"/>
        </w:tabs>
        <w:spacing w:line="360" w:lineRule="auto"/>
        <w:jc w:val="left"/>
        <w:rPr>
          <w:rFonts w:eastAsiaTheme="minorEastAsia"/>
          <w:kern w:val="0"/>
          <w:szCs w:val="21"/>
        </w:rPr>
      </w:pPr>
      <w:r w:rsidRPr="0098332C">
        <w:rPr>
          <w:rFonts w:eastAsiaTheme="minorEastAsia"/>
          <w:b/>
          <w:kern w:val="0"/>
          <w:szCs w:val="21"/>
        </w:rPr>
        <w:t xml:space="preserve">7.3.1 </w:t>
      </w:r>
      <w:r w:rsidRPr="0098332C">
        <w:rPr>
          <w:rFonts w:eastAsiaTheme="minorEastAsia"/>
          <w:b/>
          <w:kern w:val="0"/>
          <w:szCs w:val="21"/>
        </w:rPr>
        <w:t>期末指数投资按行业分类的股票及存托凭证投资组合</w:t>
      </w:r>
    </w:p>
    <w:p w:rsidR="007863A3" w:rsidRPr="0098332C" w:rsidRDefault="007863A3" w:rsidP="007863A3">
      <w:pPr>
        <w:autoSpaceDE w:val="0"/>
        <w:autoSpaceDN w:val="0"/>
        <w:adjustRightInd w:val="0"/>
        <w:spacing w:before="29" w:line="360"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98332C" w:rsidTr="003746F1">
        <w:trPr>
          <w:trHeight w:val="285"/>
        </w:trPr>
        <w:tc>
          <w:tcPr>
            <w:tcW w:w="3703"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行业类别</w:t>
            </w:r>
          </w:p>
        </w:tc>
        <w:tc>
          <w:tcPr>
            <w:tcW w:w="3119"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公允价值</w:t>
            </w:r>
          </w:p>
        </w:tc>
        <w:tc>
          <w:tcPr>
            <w:tcW w:w="2534"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占基金资产净值比例（％）</w:t>
            </w:r>
          </w:p>
        </w:tc>
      </w:tr>
      <w:tr w:rsidR="00122FB4">
        <w:tc>
          <w:tcPr>
            <w:tcW w:w="3703" w:type="dxa"/>
            <w:vAlign w:val="center"/>
          </w:tcPr>
          <w:p w:rsidR="00122FB4" w:rsidRDefault="003502BE">
            <w:pPr>
              <w:jc w:val="left"/>
            </w:pPr>
            <w:r>
              <w:rPr>
                <w:rFonts w:eastAsiaTheme="minorEastAsia"/>
                <w:szCs w:val="21"/>
              </w:rPr>
              <w:t>股权房地产投资信托</w:t>
            </w:r>
            <w:r>
              <w:rPr>
                <w:rFonts w:eastAsiaTheme="minorEastAsia"/>
                <w:szCs w:val="21"/>
              </w:rPr>
              <w:t xml:space="preserve"> </w:t>
            </w:r>
            <w:r>
              <w:rPr>
                <w:rFonts w:eastAsiaTheme="minorEastAsia"/>
                <w:szCs w:val="21"/>
              </w:rPr>
              <w:t>（</w:t>
            </w:r>
            <w:r>
              <w:rPr>
                <w:rFonts w:eastAsiaTheme="minorEastAsia"/>
                <w:szCs w:val="21"/>
              </w:rPr>
              <w:t>REITs</w:t>
            </w:r>
            <w:r>
              <w:rPr>
                <w:rFonts w:eastAsiaTheme="minorEastAsia"/>
                <w:szCs w:val="21"/>
              </w:rPr>
              <w:t>）</w:t>
            </w:r>
          </w:p>
        </w:tc>
        <w:tc>
          <w:tcPr>
            <w:tcW w:w="3119" w:type="dxa"/>
            <w:vAlign w:val="center"/>
          </w:tcPr>
          <w:p w:rsidR="00122FB4" w:rsidRDefault="003502BE">
            <w:pPr>
              <w:jc w:val="right"/>
            </w:pPr>
            <w:r>
              <w:rPr>
                <w:rFonts w:eastAsiaTheme="minorEastAsia"/>
                <w:szCs w:val="21"/>
              </w:rPr>
              <w:t>165,931,935.20</w:t>
            </w:r>
          </w:p>
        </w:tc>
        <w:tc>
          <w:tcPr>
            <w:tcW w:w="2534" w:type="dxa"/>
            <w:vAlign w:val="center"/>
          </w:tcPr>
          <w:p w:rsidR="00122FB4" w:rsidRDefault="003502BE">
            <w:pPr>
              <w:jc w:val="right"/>
            </w:pPr>
            <w:r>
              <w:rPr>
                <w:rFonts w:eastAsiaTheme="minorEastAsia"/>
                <w:szCs w:val="21"/>
              </w:rPr>
              <w:t>94.14</w:t>
            </w:r>
          </w:p>
        </w:tc>
      </w:tr>
      <w:tr w:rsidR="007863A3" w:rsidRPr="0098332C" w:rsidTr="003746F1">
        <w:trPr>
          <w:trHeight w:val="285"/>
        </w:trPr>
        <w:tc>
          <w:tcPr>
            <w:tcW w:w="3703" w:type="dxa"/>
            <w:vAlign w:val="center"/>
          </w:tcPr>
          <w:p w:rsidR="007863A3" w:rsidRPr="0098332C" w:rsidRDefault="007863A3" w:rsidP="00427BFF">
            <w:pPr>
              <w:pStyle w:val="af4"/>
              <w:spacing w:line="360" w:lineRule="auto"/>
              <w:rPr>
                <w:rFonts w:eastAsiaTheme="minorEastAsia"/>
                <w:color w:val="000000"/>
                <w:sz w:val="21"/>
                <w:szCs w:val="21"/>
              </w:rPr>
            </w:pPr>
            <w:r w:rsidRPr="0098332C">
              <w:rPr>
                <w:rFonts w:eastAsiaTheme="minorEastAsia"/>
                <w:sz w:val="21"/>
                <w:szCs w:val="21"/>
              </w:rPr>
              <w:t>合计</w:t>
            </w:r>
          </w:p>
        </w:tc>
        <w:tc>
          <w:tcPr>
            <w:tcW w:w="3119"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165,931,935.20</w:t>
            </w:r>
          </w:p>
        </w:tc>
        <w:tc>
          <w:tcPr>
            <w:tcW w:w="2534"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94.14</w:t>
            </w:r>
          </w:p>
        </w:tc>
      </w:tr>
    </w:tbl>
    <w:p w:rsidR="008A5A5D" w:rsidRPr="0098332C" w:rsidRDefault="007863A3" w:rsidP="003746F1">
      <w:pPr>
        <w:spacing w:line="360" w:lineRule="auto"/>
        <w:ind w:firstLineChars="200" w:firstLine="420"/>
        <w:jc w:val="left"/>
        <w:rPr>
          <w:rFonts w:eastAsiaTheme="minorEastAsia"/>
          <w:szCs w:val="21"/>
        </w:rPr>
      </w:pPr>
      <w:r w:rsidRPr="0098332C">
        <w:rPr>
          <w:rFonts w:eastAsiaTheme="minorEastAsia"/>
          <w:szCs w:val="21"/>
        </w:rPr>
        <w:t>注：行业分类标准：</w:t>
      </w:r>
      <w:r w:rsidRPr="0098332C">
        <w:rPr>
          <w:rFonts w:eastAsiaTheme="minorEastAsia"/>
          <w:szCs w:val="21"/>
        </w:rPr>
        <w:t>MSCI</w:t>
      </w:r>
    </w:p>
    <w:p w:rsidR="00D7604B" w:rsidRPr="0098332C" w:rsidRDefault="00602B51" w:rsidP="004F5A80">
      <w:pPr>
        <w:spacing w:beforeLines="100" w:before="312" w:line="360" w:lineRule="auto"/>
        <w:rPr>
          <w:rFonts w:eastAsiaTheme="minorEastAsia"/>
          <w:b/>
          <w:bCs/>
          <w:kern w:val="0"/>
          <w:szCs w:val="21"/>
        </w:rPr>
      </w:pPr>
      <w:r w:rsidRPr="0098332C">
        <w:rPr>
          <w:rFonts w:eastAsiaTheme="minorEastAsia"/>
          <w:b/>
          <w:kern w:val="0"/>
          <w:szCs w:val="21"/>
        </w:rPr>
        <w:t>7.3.2</w:t>
      </w:r>
      <w:r w:rsidRPr="0098332C">
        <w:rPr>
          <w:rFonts w:eastAsiaTheme="minorEastAsia"/>
          <w:b/>
          <w:kern w:val="0"/>
          <w:szCs w:val="21"/>
        </w:rPr>
        <w:t>期末积极投资按行业分类的股票及存托凭证投资组合</w:t>
      </w:r>
    </w:p>
    <w:p w:rsidR="00EB57EA" w:rsidRPr="0098332C" w:rsidRDefault="00EB57EA"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本基金本报告期末未持有积极投资股票。</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73" w:name="_Toc352255998"/>
      <w:bookmarkStart w:id="174" w:name="_Toc352256066"/>
      <w:bookmarkStart w:id="175" w:name="_Toc352331244"/>
      <w:bookmarkStart w:id="176" w:name="_Toc390164824"/>
      <w:r w:rsidRPr="0098332C">
        <w:rPr>
          <w:rFonts w:ascii="Times New Roman" w:eastAsiaTheme="minorEastAsia" w:hAnsi="Times New Roman"/>
          <w:kern w:val="0"/>
          <w:sz w:val="21"/>
          <w:szCs w:val="21"/>
        </w:rPr>
        <w:t>7.4</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w:t>
      </w:r>
      <w:r w:rsidR="00CF7242">
        <w:rPr>
          <w:rFonts w:ascii="Times New Roman" w:eastAsiaTheme="minorEastAsia" w:hAnsi="Times New Roman" w:hint="eastAsia"/>
          <w:kern w:val="0"/>
          <w:sz w:val="21"/>
          <w:szCs w:val="21"/>
        </w:rPr>
        <w:t>前十名</w:t>
      </w:r>
      <w:r w:rsidRPr="0098332C">
        <w:rPr>
          <w:rFonts w:ascii="Times New Roman" w:eastAsiaTheme="minorEastAsia" w:hAnsi="Times New Roman"/>
          <w:kern w:val="0"/>
          <w:sz w:val="21"/>
          <w:szCs w:val="21"/>
        </w:rPr>
        <w:t>权益投资明细</w:t>
      </w:r>
      <w:bookmarkEnd w:id="173"/>
      <w:bookmarkEnd w:id="174"/>
      <w:bookmarkEnd w:id="175"/>
      <w:bookmarkEnd w:id="176"/>
    </w:p>
    <w:p w:rsidR="00187CB2" w:rsidRPr="0098332C" w:rsidRDefault="00E45C40" w:rsidP="006313B1">
      <w:pPr>
        <w:pStyle w:val="20"/>
        <w:spacing w:before="0" w:after="0"/>
        <w:rPr>
          <w:rFonts w:ascii="Times New Roman" w:eastAsiaTheme="minorEastAsia" w:hAnsi="Times New Roman"/>
          <w:b w:val="0"/>
          <w:sz w:val="21"/>
          <w:szCs w:val="21"/>
        </w:rPr>
      </w:pPr>
      <w:bookmarkStart w:id="177" w:name="_Toc390164825"/>
      <w:r w:rsidRPr="0098332C">
        <w:rPr>
          <w:rFonts w:ascii="Times New Roman" w:eastAsiaTheme="minorEastAsia" w:hAnsi="Times New Roman"/>
          <w:kern w:val="0"/>
          <w:sz w:val="21"/>
          <w:szCs w:val="21"/>
        </w:rPr>
        <w:t>7.</w:t>
      </w:r>
      <w:r w:rsidR="00187CB2" w:rsidRPr="0098332C">
        <w:rPr>
          <w:rFonts w:ascii="Times New Roman" w:eastAsiaTheme="minorEastAsia" w:hAnsi="Times New Roman"/>
          <w:kern w:val="0"/>
          <w:sz w:val="21"/>
          <w:szCs w:val="21"/>
        </w:rPr>
        <w:t>4.1</w:t>
      </w:r>
      <w:r w:rsidR="00E74A64">
        <w:rPr>
          <w:rFonts w:ascii="Times New Roman" w:eastAsiaTheme="minorEastAsia" w:hAnsi="Times New Roman" w:hint="eastAsia"/>
          <w:kern w:val="0"/>
          <w:sz w:val="21"/>
          <w:szCs w:val="21"/>
        </w:rPr>
        <w:t xml:space="preserve"> </w:t>
      </w:r>
      <w:r w:rsidR="00187CB2" w:rsidRPr="0098332C">
        <w:rPr>
          <w:rFonts w:ascii="Times New Roman" w:eastAsiaTheme="minorEastAsia" w:hAnsi="Times New Roman"/>
          <w:kern w:val="0"/>
          <w:sz w:val="21"/>
          <w:szCs w:val="21"/>
        </w:rPr>
        <w:t>期末按公允价值占基金资产净值比例大小排序的</w:t>
      </w:r>
      <w:r w:rsidR="00CF7242">
        <w:rPr>
          <w:rFonts w:ascii="Times New Roman" w:eastAsiaTheme="minorEastAsia" w:hAnsi="Times New Roman" w:hint="eastAsia"/>
          <w:kern w:val="0"/>
          <w:sz w:val="21"/>
          <w:szCs w:val="21"/>
        </w:rPr>
        <w:t>前十名</w:t>
      </w:r>
      <w:r w:rsidR="00187CB2" w:rsidRPr="0098332C">
        <w:rPr>
          <w:rFonts w:ascii="Times New Roman" w:eastAsiaTheme="minorEastAsia" w:hAnsi="Times New Roman"/>
          <w:kern w:val="0"/>
          <w:sz w:val="21"/>
          <w:szCs w:val="21"/>
        </w:rPr>
        <w:t>权益投资明细</w:t>
      </w:r>
      <w:bookmarkEnd w:id="177"/>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98332C" w:rsidTr="00227731">
        <w:trPr>
          <w:trHeight w:val="315"/>
        </w:trPr>
        <w:tc>
          <w:tcPr>
            <w:tcW w:w="6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9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 xml:space="preserve"> (</w:t>
            </w:r>
            <w:r w:rsidRPr="0098332C">
              <w:rPr>
                <w:rFonts w:eastAsiaTheme="minorEastAsia"/>
                <w:color w:val="000000"/>
                <w:szCs w:val="21"/>
              </w:rPr>
              <w:t>英文</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w:t>
            </w:r>
            <w:r w:rsidRPr="0098332C">
              <w:rPr>
                <w:rFonts w:eastAsiaTheme="minorEastAsia"/>
                <w:color w:val="000000"/>
                <w:szCs w:val="21"/>
              </w:rPr>
              <w:t>中文</w:t>
            </w:r>
            <w:r w:rsidRPr="0098332C">
              <w:rPr>
                <w:rFonts w:eastAsiaTheme="minorEastAsia"/>
                <w:color w:val="000000"/>
                <w:szCs w:val="21"/>
              </w:rPr>
              <w:t>)</w:t>
            </w:r>
          </w:p>
        </w:tc>
        <w:tc>
          <w:tcPr>
            <w:tcW w:w="1184"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84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所在证券市场</w:t>
            </w:r>
          </w:p>
        </w:tc>
        <w:tc>
          <w:tcPr>
            <w:tcW w:w="102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所属国家</w:t>
            </w:r>
            <w:r w:rsidRPr="0098332C">
              <w:rPr>
                <w:rFonts w:eastAsiaTheme="minorEastAsia"/>
                <w:color w:val="000000"/>
                <w:szCs w:val="21"/>
              </w:rPr>
              <w:t>(</w:t>
            </w:r>
            <w:r w:rsidRPr="0098332C">
              <w:rPr>
                <w:rFonts w:eastAsiaTheme="minorEastAsia"/>
                <w:color w:val="000000"/>
                <w:szCs w:val="21"/>
              </w:rPr>
              <w:t>地区</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数量（股）</w:t>
            </w:r>
          </w:p>
        </w:tc>
        <w:tc>
          <w:tcPr>
            <w:tcW w:w="169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99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122FB4" w:rsidTr="00227731">
        <w:tc>
          <w:tcPr>
            <w:tcW w:w="678" w:type="dxa"/>
            <w:vAlign w:val="center"/>
          </w:tcPr>
          <w:p w:rsidR="00122FB4" w:rsidRDefault="003502BE">
            <w:pPr>
              <w:jc w:val="center"/>
            </w:pPr>
            <w:r>
              <w:rPr>
                <w:rFonts w:eastAsiaTheme="minorEastAsia"/>
                <w:color w:val="000000"/>
                <w:szCs w:val="21"/>
              </w:rPr>
              <w:t>1</w:t>
            </w:r>
          </w:p>
        </w:tc>
        <w:tc>
          <w:tcPr>
            <w:tcW w:w="905" w:type="dxa"/>
            <w:vAlign w:val="center"/>
          </w:tcPr>
          <w:p w:rsidR="00122FB4" w:rsidRDefault="003502BE">
            <w:pPr>
              <w:jc w:val="center"/>
            </w:pPr>
            <w:r>
              <w:rPr>
                <w:rFonts w:eastAsiaTheme="minorEastAsia"/>
                <w:color w:val="000000"/>
                <w:szCs w:val="21"/>
              </w:rPr>
              <w:t>Prologis Inc</w:t>
            </w:r>
          </w:p>
        </w:tc>
        <w:tc>
          <w:tcPr>
            <w:tcW w:w="1015" w:type="dxa"/>
            <w:vAlign w:val="center"/>
          </w:tcPr>
          <w:p w:rsidR="00122FB4" w:rsidRDefault="003502BE">
            <w:pPr>
              <w:jc w:val="center"/>
            </w:pPr>
            <w:r>
              <w:rPr>
                <w:rFonts w:eastAsiaTheme="minorEastAsia"/>
                <w:color w:val="000000"/>
                <w:szCs w:val="21"/>
              </w:rPr>
              <w:t>普洛斯公司</w:t>
            </w:r>
          </w:p>
        </w:tc>
        <w:tc>
          <w:tcPr>
            <w:tcW w:w="1184" w:type="dxa"/>
            <w:vAlign w:val="center"/>
          </w:tcPr>
          <w:p w:rsidR="00122FB4" w:rsidRDefault="003502BE">
            <w:pPr>
              <w:jc w:val="center"/>
            </w:pPr>
            <w:r>
              <w:rPr>
                <w:rFonts w:eastAsiaTheme="minorEastAsia"/>
                <w:color w:val="000000"/>
                <w:szCs w:val="21"/>
              </w:rPr>
              <w:t>PLD</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19,400.00</w:t>
            </w:r>
          </w:p>
        </w:tc>
        <w:tc>
          <w:tcPr>
            <w:tcW w:w="1690" w:type="dxa"/>
            <w:vAlign w:val="center"/>
          </w:tcPr>
          <w:p w:rsidR="00122FB4" w:rsidRDefault="003502BE">
            <w:pPr>
              <w:jc w:val="right"/>
            </w:pPr>
            <w:r>
              <w:rPr>
                <w:rFonts w:eastAsiaTheme="minorEastAsia"/>
                <w:color w:val="000000"/>
                <w:szCs w:val="21"/>
              </w:rPr>
              <w:t>10,682,871.32</w:t>
            </w:r>
          </w:p>
        </w:tc>
        <w:tc>
          <w:tcPr>
            <w:tcW w:w="997" w:type="dxa"/>
            <w:vAlign w:val="center"/>
          </w:tcPr>
          <w:p w:rsidR="00122FB4" w:rsidRDefault="003502BE">
            <w:pPr>
              <w:jc w:val="right"/>
            </w:pPr>
            <w:r>
              <w:rPr>
                <w:rFonts w:eastAsiaTheme="minorEastAsia"/>
                <w:color w:val="000000"/>
                <w:szCs w:val="21"/>
              </w:rPr>
              <w:t>6.06</w:t>
            </w:r>
          </w:p>
        </w:tc>
      </w:tr>
      <w:tr w:rsidR="00122FB4" w:rsidTr="00227731">
        <w:tc>
          <w:tcPr>
            <w:tcW w:w="678" w:type="dxa"/>
            <w:vAlign w:val="center"/>
          </w:tcPr>
          <w:p w:rsidR="00122FB4" w:rsidRDefault="003502BE">
            <w:pPr>
              <w:jc w:val="center"/>
            </w:pPr>
            <w:r>
              <w:rPr>
                <w:rFonts w:eastAsiaTheme="minorEastAsia"/>
                <w:color w:val="000000"/>
                <w:szCs w:val="21"/>
              </w:rPr>
              <w:t>2</w:t>
            </w:r>
          </w:p>
        </w:tc>
        <w:tc>
          <w:tcPr>
            <w:tcW w:w="905" w:type="dxa"/>
            <w:vAlign w:val="center"/>
          </w:tcPr>
          <w:p w:rsidR="00122FB4" w:rsidRDefault="003502BE">
            <w:pPr>
              <w:jc w:val="center"/>
            </w:pPr>
            <w:r>
              <w:rPr>
                <w:rFonts w:eastAsiaTheme="minorEastAsia"/>
                <w:color w:val="000000"/>
                <w:szCs w:val="21"/>
              </w:rPr>
              <w:t>Simon Property Group Inc</w:t>
            </w:r>
          </w:p>
        </w:tc>
        <w:tc>
          <w:tcPr>
            <w:tcW w:w="1015" w:type="dxa"/>
            <w:vAlign w:val="center"/>
          </w:tcPr>
          <w:p w:rsidR="00122FB4" w:rsidRDefault="003502BE">
            <w:pPr>
              <w:jc w:val="center"/>
            </w:pPr>
            <w:r>
              <w:rPr>
                <w:rFonts w:eastAsiaTheme="minorEastAsia"/>
                <w:color w:val="000000"/>
                <w:szCs w:val="21"/>
              </w:rPr>
              <w:t>西蒙房地产集团公司</w:t>
            </w:r>
          </w:p>
        </w:tc>
        <w:tc>
          <w:tcPr>
            <w:tcW w:w="1184" w:type="dxa"/>
            <w:vAlign w:val="center"/>
          </w:tcPr>
          <w:p w:rsidR="00122FB4" w:rsidRDefault="003502BE">
            <w:pPr>
              <w:jc w:val="center"/>
            </w:pPr>
            <w:r>
              <w:rPr>
                <w:rFonts w:eastAsiaTheme="minorEastAsia"/>
                <w:color w:val="000000"/>
                <w:szCs w:val="21"/>
              </w:rPr>
              <w:t>SPG</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9,500.00</w:t>
            </w:r>
          </w:p>
        </w:tc>
        <w:tc>
          <w:tcPr>
            <w:tcW w:w="1690" w:type="dxa"/>
            <w:vAlign w:val="center"/>
          </w:tcPr>
          <w:p w:rsidR="00122FB4" w:rsidRDefault="003502BE">
            <w:pPr>
              <w:jc w:val="right"/>
            </w:pPr>
            <w:r>
              <w:rPr>
                <w:rFonts w:eastAsiaTheme="minorEastAsia"/>
                <w:color w:val="000000"/>
                <w:szCs w:val="21"/>
              </w:rPr>
              <w:t>10,433,869.68</w:t>
            </w:r>
          </w:p>
        </w:tc>
        <w:tc>
          <w:tcPr>
            <w:tcW w:w="997" w:type="dxa"/>
            <w:vAlign w:val="center"/>
          </w:tcPr>
          <w:p w:rsidR="00122FB4" w:rsidRDefault="003502BE">
            <w:pPr>
              <w:jc w:val="right"/>
            </w:pPr>
            <w:r>
              <w:rPr>
                <w:rFonts w:eastAsiaTheme="minorEastAsia"/>
                <w:color w:val="000000"/>
                <w:szCs w:val="21"/>
              </w:rPr>
              <w:t>5.92</w:t>
            </w:r>
          </w:p>
        </w:tc>
      </w:tr>
      <w:tr w:rsidR="00122FB4" w:rsidTr="00227731">
        <w:tc>
          <w:tcPr>
            <w:tcW w:w="678" w:type="dxa"/>
            <w:vAlign w:val="center"/>
          </w:tcPr>
          <w:p w:rsidR="00122FB4" w:rsidRDefault="003502BE">
            <w:pPr>
              <w:jc w:val="center"/>
            </w:pPr>
            <w:r>
              <w:rPr>
                <w:rFonts w:eastAsiaTheme="minorEastAsia"/>
                <w:color w:val="000000"/>
                <w:szCs w:val="21"/>
              </w:rPr>
              <w:t>3</w:t>
            </w:r>
          </w:p>
        </w:tc>
        <w:tc>
          <w:tcPr>
            <w:tcW w:w="905" w:type="dxa"/>
            <w:vAlign w:val="center"/>
          </w:tcPr>
          <w:p w:rsidR="00122FB4" w:rsidRDefault="003502BE">
            <w:pPr>
              <w:jc w:val="center"/>
            </w:pPr>
            <w:r>
              <w:rPr>
                <w:rFonts w:eastAsiaTheme="minorEastAsia"/>
                <w:color w:val="000000"/>
                <w:szCs w:val="21"/>
              </w:rPr>
              <w:t>Public Storage Inc</w:t>
            </w:r>
          </w:p>
        </w:tc>
        <w:tc>
          <w:tcPr>
            <w:tcW w:w="1015" w:type="dxa"/>
            <w:vAlign w:val="center"/>
          </w:tcPr>
          <w:p w:rsidR="00122FB4" w:rsidRDefault="003502BE">
            <w:pPr>
              <w:jc w:val="center"/>
            </w:pPr>
            <w:r>
              <w:rPr>
                <w:rFonts w:eastAsiaTheme="minorEastAsia"/>
                <w:color w:val="000000"/>
                <w:szCs w:val="21"/>
              </w:rPr>
              <w:t>公共存储公司</w:t>
            </w:r>
          </w:p>
        </w:tc>
        <w:tc>
          <w:tcPr>
            <w:tcW w:w="1184" w:type="dxa"/>
            <w:vAlign w:val="center"/>
          </w:tcPr>
          <w:p w:rsidR="00122FB4" w:rsidRDefault="003502BE">
            <w:pPr>
              <w:jc w:val="center"/>
            </w:pPr>
            <w:r>
              <w:rPr>
                <w:rFonts w:eastAsiaTheme="minorEastAsia"/>
                <w:color w:val="000000"/>
                <w:szCs w:val="21"/>
              </w:rPr>
              <w:t>PSA</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4,600.00</w:t>
            </w:r>
          </w:p>
        </w:tc>
        <w:tc>
          <w:tcPr>
            <w:tcW w:w="1690" w:type="dxa"/>
            <w:vAlign w:val="center"/>
          </w:tcPr>
          <w:p w:rsidR="00122FB4" w:rsidRDefault="003502BE">
            <w:pPr>
              <w:jc w:val="right"/>
            </w:pPr>
            <w:r>
              <w:rPr>
                <w:rFonts w:eastAsiaTheme="minorEastAsia"/>
                <w:color w:val="000000"/>
                <w:szCs w:val="21"/>
              </w:rPr>
              <w:t>7,531,797.58</w:t>
            </w:r>
          </w:p>
        </w:tc>
        <w:tc>
          <w:tcPr>
            <w:tcW w:w="997" w:type="dxa"/>
            <w:vAlign w:val="center"/>
          </w:tcPr>
          <w:p w:rsidR="00122FB4" w:rsidRDefault="003502BE">
            <w:pPr>
              <w:jc w:val="right"/>
            </w:pPr>
            <w:r>
              <w:rPr>
                <w:rFonts w:eastAsiaTheme="minorEastAsia"/>
                <w:color w:val="000000"/>
                <w:szCs w:val="21"/>
              </w:rPr>
              <w:t>4.27</w:t>
            </w:r>
          </w:p>
        </w:tc>
      </w:tr>
      <w:tr w:rsidR="00122FB4" w:rsidTr="00227731">
        <w:tc>
          <w:tcPr>
            <w:tcW w:w="678" w:type="dxa"/>
            <w:vAlign w:val="center"/>
          </w:tcPr>
          <w:p w:rsidR="00122FB4" w:rsidRDefault="003502BE">
            <w:pPr>
              <w:jc w:val="center"/>
            </w:pPr>
            <w:r>
              <w:rPr>
                <w:rFonts w:eastAsiaTheme="minorEastAsia"/>
                <w:color w:val="000000"/>
                <w:szCs w:val="21"/>
              </w:rPr>
              <w:t>4</w:t>
            </w:r>
          </w:p>
        </w:tc>
        <w:tc>
          <w:tcPr>
            <w:tcW w:w="905" w:type="dxa"/>
            <w:vAlign w:val="center"/>
          </w:tcPr>
          <w:p w:rsidR="00122FB4" w:rsidRDefault="003502BE">
            <w:pPr>
              <w:jc w:val="center"/>
            </w:pPr>
            <w:r>
              <w:rPr>
                <w:rFonts w:eastAsiaTheme="minorEastAsia"/>
                <w:color w:val="000000"/>
                <w:szCs w:val="21"/>
              </w:rPr>
              <w:t>Welltower Inc</w:t>
            </w:r>
          </w:p>
        </w:tc>
        <w:tc>
          <w:tcPr>
            <w:tcW w:w="1015" w:type="dxa"/>
            <w:vAlign w:val="center"/>
          </w:tcPr>
          <w:p w:rsidR="00122FB4" w:rsidRDefault="003502BE">
            <w:pPr>
              <w:jc w:val="center"/>
            </w:pPr>
            <w:r>
              <w:rPr>
                <w:rFonts w:eastAsiaTheme="minorEastAsia"/>
                <w:color w:val="000000"/>
                <w:szCs w:val="21"/>
              </w:rPr>
              <w:t>Welltower</w:t>
            </w:r>
            <w:r>
              <w:rPr>
                <w:rFonts w:eastAsiaTheme="minorEastAsia"/>
                <w:color w:val="000000"/>
                <w:szCs w:val="21"/>
              </w:rPr>
              <w:t>股份有限公司</w:t>
            </w:r>
          </w:p>
        </w:tc>
        <w:tc>
          <w:tcPr>
            <w:tcW w:w="1184" w:type="dxa"/>
            <w:vAlign w:val="center"/>
          </w:tcPr>
          <w:p w:rsidR="00122FB4" w:rsidRDefault="003502BE">
            <w:pPr>
              <w:jc w:val="center"/>
            </w:pPr>
            <w:r>
              <w:rPr>
                <w:rFonts w:eastAsiaTheme="minorEastAsia"/>
                <w:color w:val="000000"/>
                <w:szCs w:val="21"/>
              </w:rPr>
              <w:t>WELL</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12,500.00</w:t>
            </w:r>
          </w:p>
        </w:tc>
        <w:tc>
          <w:tcPr>
            <w:tcW w:w="1690" w:type="dxa"/>
            <w:vAlign w:val="center"/>
          </w:tcPr>
          <w:p w:rsidR="00122FB4" w:rsidRDefault="003502BE">
            <w:pPr>
              <w:jc w:val="right"/>
            </w:pPr>
            <w:r>
              <w:rPr>
                <w:rFonts w:eastAsiaTheme="minorEastAsia"/>
                <w:color w:val="000000"/>
                <w:szCs w:val="21"/>
              </w:rPr>
              <w:t>7,006,178.64</w:t>
            </w:r>
          </w:p>
        </w:tc>
        <w:tc>
          <w:tcPr>
            <w:tcW w:w="997" w:type="dxa"/>
            <w:vAlign w:val="center"/>
          </w:tcPr>
          <w:p w:rsidR="00122FB4" w:rsidRDefault="003502BE">
            <w:pPr>
              <w:jc w:val="right"/>
            </w:pPr>
            <w:r>
              <w:rPr>
                <w:rFonts w:eastAsiaTheme="minorEastAsia"/>
                <w:color w:val="000000"/>
                <w:szCs w:val="21"/>
              </w:rPr>
              <w:t>3.97</w:t>
            </w:r>
          </w:p>
        </w:tc>
      </w:tr>
      <w:tr w:rsidR="00122FB4" w:rsidTr="00227731">
        <w:tc>
          <w:tcPr>
            <w:tcW w:w="678" w:type="dxa"/>
            <w:vAlign w:val="center"/>
          </w:tcPr>
          <w:p w:rsidR="00122FB4" w:rsidRDefault="003502BE">
            <w:pPr>
              <w:jc w:val="center"/>
            </w:pPr>
            <w:r>
              <w:rPr>
                <w:rFonts w:eastAsiaTheme="minorEastAsia"/>
                <w:color w:val="000000"/>
                <w:szCs w:val="21"/>
              </w:rPr>
              <w:t>5</w:t>
            </w:r>
          </w:p>
        </w:tc>
        <w:tc>
          <w:tcPr>
            <w:tcW w:w="905" w:type="dxa"/>
            <w:vAlign w:val="center"/>
          </w:tcPr>
          <w:p w:rsidR="00122FB4" w:rsidRDefault="003502BE">
            <w:pPr>
              <w:jc w:val="center"/>
            </w:pPr>
            <w:r>
              <w:rPr>
                <w:rFonts w:eastAsiaTheme="minorEastAsia"/>
                <w:color w:val="000000"/>
                <w:szCs w:val="21"/>
              </w:rPr>
              <w:t>Avalonbay Communities Inc</w:t>
            </w:r>
          </w:p>
        </w:tc>
        <w:tc>
          <w:tcPr>
            <w:tcW w:w="1015" w:type="dxa"/>
            <w:vAlign w:val="center"/>
          </w:tcPr>
          <w:p w:rsidR="00122FB4" w:rsidRDefault="003502BE">
            <w:pPr>
              <w:jc w:val="center"/>
            </w:pPr>
            <w:r>
              <w:rPr>
                <w:rFonts w:eastAsiaTheme="minorEastAsia"/>
                <w:color w:val="000000"/>
                <w:szCs w:val="21"/>
              </w:rPr>
              <w:t>艾芙隆海湾社区股份有限公司</w:t>
            </w:r>
          </w:p>
        </w:tc>
        <w:tc>
          <w:tcPr>
            <w:tcW w:w="1184" w:type="dxa"/>
            <w:vAlign w:val="center"/>
          </w:tcPr>
          <w:p w:rsidR="00122FB4" w:rsidRDefault="003502BE">
            <w:pPr>
              <w:jc w:val="center"/>
            </w:pPr>
            <w:r>
              <w:rPr>
                <w:rFonts w:eastAsiaTheme="minorEastAsia"/>
                <w:color w:val="000000"/>
                <w:szCs w:val="21"/>
              </w:rPr>
              <w:t>AVB</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4,300.00</w:t>
            </w:r>
          </w:p>
        </w:tc>
        <w:tc>
          <w:tcPr>
            <w:tcW w:w="1690" w:type="dxa"/>
            <w:vAlign w:val="center"/>
          </w:tcPr>
          <w:p w:rsidR="00122FB4" w:rsidRDefault="003502BE">
            <w:pPr>
              <w:jc w:val="right"/>
            </w:pPr>
            <w:r>
              <w:rPr>
                <w:rFonts w:eastAsiaTheme="minorEastAsia"/>
                <w:color w:val="000000"/>
                <w:szCs w:val="21"/>
              </w:rPr>
              <w:t>6,006,246.65</w:t>
            </w:r>
          </w:p>
        </w:tc>
        <w:tc>
          <w:tcPr>
            <w:tcW w:w="997" w:type="dxa"/>
            <w:vAlign w:val="center"/>
          </w:tcPr>
          <w:p w:rsidR="00122FB4" w:rsidRDefault="003502BE">
            <w:pPr>
              <w:jc w:val="right"/>
            </w:pPr>
            <w:r>
              <w:rPr>
                <w:rFonts w:eastAsiaTheme="minorEastAsia"/>
                <w:color w:val="000000"/>
                <w:szCs w:val="21"/>
              </w:rPr>
              <w:t>3.41</w:t>
            </w:r>
          </w:p>
        </w:tc>
      </w:tr>
      <w:tr w:rsidR="00122FB4" w:rsidTr="00227731">
        <w:tc>
          <w:tcPr>
            <w:tcW w:w="678" w:type="dxa"/>
            <w:vAlign w:val="center"/>
          </w:tcPr>
          <w:p w:rsidR="00122FB4" w:rsidRDefault="003502BE">
            <w:pPr>
              <w:jc w:val="center"/>
            </w:pPr>
            <w:r>
              <w:rPr>
                <w:rFonts w:eastAsiaTheme="minorEastAsia"/>
                <w:color w:val="000000"/>
                <w:szCs w:val="21"/>
              </w:rPr>
              <w:t>6</w:t>
            </w:r>
          </w:p>
        </w:tc>
        <w:tc>
          <w:tcPr>
            <w:tcW w:w="905" w:type="dxa"/>
            <w:vAlign w:val="center"/>
          </w:tcPr>
          <w:p w:rsidR="00122FB4" w:rsidRDefault="003502BE">
            <w:pPr>
              <w:jc w:val="center"/>
            </w:pPr>
            <w:r>
              <w:rPr>
                <w:rFonts w:eastAsiaTheme="minorEastAsia"/>
                <w:color w:val="000000"/>
                <w:szCs w:val="21"/>
              </w:rPr>
              <w:t>Equity Residential</w:t>
            </w:r>
          </w:p>
        </w:tc>
        <w:tc>
          <w:tcPr>
            <w:tcW w:w="1015" w:type="dxa"/>
            <w:vAlign w:val="center"/>
          </w:tcPr>
          <w:p w:rsidR="00122FB4" w:rsidRDefault="003502BE">
            <w:pPr>
              <w:jc w:val="center"/>
            </w:pPr>
            <w:r>
              <w:rPr>
                <w:rFonts w:eastAsiaTheme="minorEastAsia"/>
                <w:color w:val="000000"/>
                <w:szCs w:val="21"/>
              </w:rPr>
              <w:t>公寓物业权益信托公司</w:t>
            </w:r>
          </w:p>
        </w:tc>
        <w:tc>
          <w:tcPr>
            <w:tcW w:w="1184" w:type="dxa"/>
            <w:vAlign w:val="center"/>
          </w:tcPr>
          <w:p w:rsidR="00122FB4" w:rsidRDefault="003502BE">
            <w:pPr>
              <w:jc w:val="center"/>
            </w:pPr>
            <w:r>
              <w:rPr>
                <w:rFonts w:eastAsiaTheme="minorEastAsia"/>
                <w:color w:val="000000"/>
                <w:szCs w:val="21"/>
              </w:rPr>
              <w:t>EQR</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11,300.00</w:t>
            </w:r>
          </w:p>
        </w:tc>
        <w:tc>
          <w:tcPr>
            <w:tcW w:w="1690" w:type="dxa"/>
            <w:vAlign w:val="center"/>
          </w:tcPr>
          <w:p w:rsidR="00122FB4" w:rsidRDefault="003502BE">
            <w:pPr>
              <w:jc w:val="right"/>
            </w:pPr>
            <w:r>
              <w:rPr>
                <w:rFonts w:eastAsiaTheme="minorEastAsia"/>
                <w:color w:val="000000"/>
                <w:szCs w:val="21"/>
              </w:rPr>
              <w:t>5,897,777.63</w:t>
            </w:r>
          </w:p>
        </w:tc>
        <w:tc>
          <w:tcPr>
            <w:tcW w:w="997" w:type="dxa"/>
            <w:vAlign w:val="center"/>
          </w:tcPr>
          <w:p w:rsidR="00122FB4" w:rsidRDefault="003502BE">
            <w:pPr>
              <w:jc w:val="right"/>
            </w:pPr>
            <w:r>
              <w:rPr>
                <w:rFonts w:eastAsiaTheme="minorEastAsia"/>
                <w:color w:val="000000"/>
                <w:szCs w:val="21"/>
              </w:rPr>
              <w:t>3.35</w:t>
            </w:r>
          </w:p>
        </w:tc>
      </w:tr>
      <w:tr w:rsidR="00122FB4" w:rsidTr="00227731">
        <w:tc>
          <w:tcPr>
            <w:tcW w:w="678" w:type="dxa"/>
            <w:vAlign w:val="center"/>
          </w:tcPr>
          <w:p w:rsidR="00122FB4" w:rsidRDefault="003502BE">
            <w:pPr>
              <w:jc w:val="center"/>
            </w:pPr>
            <w:r>
              <w:rPr>
                <w:rFonts w:eastAsiaTheme="minorEastAsia"/>
                <w:color w:val="000000"/>
                <w:szCs w:val="21"/>
              </w:rPr>
              <w:t>7</w:t>
            </w:r>
          </w:p>
        </w:tc>
        <w:tc>
          <w:tcPr>
            <w:tcW w:w="905" w:type="dxa"/>
            <w:vAlign w:val="center"/>
          </w:tcPr>
          <w:p w:rsidR="00122FB4" w:rsidRDefault="003502BE">
            <w:pPr>
              <w:jc w:val="center"/>
            </w:pPr>
            <w:r>
              <w:rPr>
                <w:rFonts w:eastAsiaTheme="minorEastAsia"/>
                <w:color w:val="000000"/>
                <w:szCs w:val="21"/>
              </w:rPr>
              <w:t>LINK REIT</w:t>
            </w:r>
          </w:p>
        </w:tc>
        <w:tc>
          <w:tcPr>
            <w:tcW w:w="1015" w:type="dxa"/>
            <w:vAlign w:val="center"/>
          </w:tcPr>
          <w:p w:rsidR="00122FB4" w:rsidRDefault="003502BE">
            <w:pPr>
              <w:jc w:val="center"/>
            </w:pPr>
            <w:r>
              <w:rPr>
                <w:rFonts w:eastAsiaTheme="minorEastAsia"/>
                <w:color w:val="000000"/>
                <w:szCs w:val="21"/>
              </w:rPr>
              <w:t>领展房地产投资信托基金</w:t>
            </w:r>
          </w:p>
        </w:tc>
        <w:tc>
          <w:tcPr>
            <w:tcW w:w="1184" w:type="dxa"/>
            <w:vAlign w:val="center"/>
          </w:tcPr>
          <w:p w:rsidR="00122FB4" w:rsidRDefault="003502BE">
            <w:pPr>
              <w:jc w:val="center"/>
            </w:pPr>
            <w:r>
              <w:rPr>
                <w:rFonts w:eastAsiaTheme="minorEastAsia"/>
                <w:color w:val="000000"/>
                <w:szCs w:val="21"/>
              </w:rPr>
              <w:t>823</w:t>
            </w:r>
          </w:p>
        </w:tc>
        <w:tc>
          <w:tcPr>
            <w:tcW w:w="847" w:type="dxa"/>
            <w:vAlign w:val="center"/>
          </w:tcPr>
          <w:p w:rsidR="00122FB4" w:rsidRDefault="003502BE">
            <w:pPr>
              <w:jc w:val="center"/>
            </w:pPr>
            <w:r>
              <w:rPr>
                <w:rFonts w:eastAsiaTheme="minorEastAsia"/>
                <w:color w:val="000000"/>
                <w:szCs w:val="21"/>
              </w:rPr>
              <w:t>香港证券交易所</w:t>
            </w:r>
          </w:p>
        </w:tc>
        <w:tc>
          <w:tcPr>
            <w:tcW w:w="1025" w:type="dxa"/>
            <w:vAlign w:val="center"/>
          </w:tcPr>
          <w:p w:rsidR="00122FB4" w:rsidRDefault="003502BE">
            <w:pPr>
              <w:jc w:val="center"/>
            </w:pPr>
            <w:r>
              <w:rPr>
                <w:rFonts w:eastAsiaTheme="minorEastAsia"/>
                <w:color w:val="000000"/>
                <w:szCs w:val="21"/>
              </w:rPr>
              <w:t>中国香港</w:t>
            </w:r>
          </w:p>
        </w:tc>
        <w:tc>
          <w:tcPr>
            <w:tcW w:w="1015" w:type="dxa"/>
            <w:vAlign w:val="center"/>
          </w:tcPr>
          <w:p w:rsidR="00122FB4" w:rsidRDefault="003502BE">
            <w:pPr>
              <w:jc w:val="right"/>
            </w:pPr>
            <w:r>
              <w:rPr>
                <w:rFonts w:eastAsiaTheme="minorEastAsia"/>
                <w:color w:val="000000"/>
                <w:szCs w:val="21"/>
              </w:rPr>
              <w:t>65,500.00</w:t>
            </w:r>
          </w:p>
        </w:tc>
        <w:tc>
          <w:tcPr>
            <w:tcW w:w="1690" w:type="dxa"/>
            <w:vAlign w:val="center"/>
          </w:tcPr>
          <w:p w:rsidR="00122FB4" w:rsidRDefault="003502BE">
            <w:pPr>
              <w:jc w:val="right"/>
            </w:pPr>
            <w:r>
              <w:rPr>
                <w:rFonts w:eastAsiaTheme="minorEastAsia"/>
                <w:color w:val="000000"/>
                <w:szCs w:val="21"/>
              </w:rPr>
              <w:t>5,531,302.08</w:t>
            </w:r>
          </w:p>
        </w:tc>
        <w:tc>
          <w:tcPr>
            <w:tcW w:w="997" w:type="dxa"/>
            <w:vAlign w:val="center"/>
          </w:tcPr>
          <w:p w:rsidR="00122FB4" w:rsidRDefault="003502BE">
            <w:pPr>
              <w:jc w:val="right"/>
            </w:pPr>
            <w:r>
              <w:rPr>
                <w:rFonts w:eastAsiaTheme="minorEastAsia"/>
                <w:color w:val="000000"/>
                <w:szCs w:val="21"/>
              </w:rPr>
              <w:t>3.14</w:t>
            </w:r>
          </w:p>
        </w:tc>
      </w:tr>
      <w:tr w:rsidR="00122FB4" w:rsidTr="00227731">
        <w:tc>
          <w:tcPr>
            <w:tcW w:w="678" w:type="dxa"/>
            <w:vAlign w:val="center"/>
          </w:tcPr>
          <w:p w:rsidR="00122FB4" w:rsidRDefault="003502BE">
            <w:pPr>
              <w:jc w:val="center"/>
            </w:pPr>
            <w:r>
              <w:rPr>
                <w:rFonts w:eastAsiaTheme="minorEastAsia"/>
                <w:color w:val="000000"/>
                <w:szCs w:val="21"/>
              </w:rPr>
              <w:t>8</w:t>
            </w:r>
          </w:p>
        </w:tc>
        <w:tc>
          <w:tcPr>
            <w:tcW w:w="905" w:type="dxa"/>
            <w:vAlign w:val="center"/>
          </w:tcPr>
          <w:p w:rsidR="00122FB4" w:rsidRDefault="003502BE">
            <w:pPr>
              <w:jc w:val="center"/>
            </w:pPr>
            <w:r>
              <w:rPr>
                <w:rFonts w:eastAsiaTheme="minorEastAsia"/>
                <w:color w:val="000000"/>
                <w:szCs w:val="21"/>
              </w:rPr>
              <w:t>Ventas Inc</w:t>
            </w:r>
          </w:p>
        </w:tc>
        <w:tc>
          <w:tcPr>
            <w:tcW w:w="1015" w:type="dxa"/>
            <w:vAlign w:val="center"/>
          </w:tcPr>
          <w:p w:rsidR="00122FB4" w:rsidRDefault="003502BE">
            <w:pPr>
              <w:jc w:val="center"/>
            </w:pPr>
            <w:r>
              <w:rPr>
                <w:rFonts w:eastAsiaTheme="minorEastAsia"/>
                <w:color w:val="000000"/>
                <w:szCs w:val="21"/>
              </w:rPr>
              <w:t>芬塔公司</w:t>
            </w:r>
          </w:p>
        </w:tc>
        <w:tc>
          <w:tcPr>
            <w:tcW w:w="1184" w:type="dxa"/>
            <w:vAlign w:val="center"/>
          </w:tcPr>
          <w:p w:rsidR="00122FB4" w:rsidRDefault="003502BE">
            <w:pPr>
              <w:jc w:val="center"/>
            </w:pPr>
            <w:r>
              <w:rPr>
                <w:rFonts w:eastAsiaTheme="minorEastAsia"/>
                <w:color w:val="000000"/>
                <w:szCs w:val="21"/>
              </w:rPr>
              <w:t>VTR</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11,076.00</w:t>
            </w:r>
          </w:p>
        </w:tc>
        <w:tc>
          <w:tcPr>
            <w:tcW w:w="1690" w:type="dxa"/>
            <w:vAlign w:val="center"/>
          </w:tcPr>
          <w:p w:rsidR="00122FB4" w:rsidRDefault="003502BE">
            <w:pPr>
              <w:jc w:val="right"/>
            </w:pPr>
            <w:r>
              <w:rPr>
                <w:rFonts w:eastAsiaTheme="minorEastAsia"/>
                <w:color w:val="000000"/>
                <w:szCs w:val="21"/>
              </w:rPr>
              <w:t>5,204,454.51</w:t>
            </w:r>
          </w:p>
        </w:tc>
        <w:tc>
          <w:tcPr>
            <w:tcW w:w="997" w:type="dxa"/>
            <w:vAlign w:val="center"/>
          </w:tcPr>
          <w:p w:rsidR="00122FB4" w:rsidRDefault="003502BE">
            <w:pPr>
              <w:jc w:val="right"/>
            </w:pPr>
            <w:r>
              <w:rPr>
                <w:rFonts w:eastAsiaTheme="minorEastAsia"/>
                <w:color w:val="000000"/>
                <w:szCs w:val="21"/>
              </w:rPr>
              <w:t>2.95</w:t>
            </w:r>
          </w:p>
        </w:tc>
      </w:tr>
      <w:tr w:rsidR="00122FB4" w:rsidTr="00227731">
        <w:tc>
          <w:tcPr>
            <w:tcW w:w="678" w:type="dxa"/>
            <w:vAlign w:val="center"/>
          </w:tcPr>
          <w:p w:rsidR="00122FB4" w:rsidRDefault="003502BE">
            <w:pPr>
              <w:jc w:val="center"/>
            </w:pPr>
            <w:r>
              <w:rPr>
                <w:rFonts w:eastAsiaTheme="minorEastAsia"/>
                <w:color w:val="000000"/>
                <w:szCs w:val="21"/>
              </w:rPr>
              <w:t>9</w:t>
            </w:r>
          </w:p>
        </w:tc>
        <w:tc>
          <w:tcPr>
            <w:tcW w:w="905" w:type="dxa"/>
            <w:vAlign w:val="center"/>
          </w:tcPr>
          <w:p w:rsidR="00122FB4" w:rsidRDefault="003502BE">
            <w:pPr>
              <w:jc w:val="center"/>
            </w:pPr>
            <w:r>
              <w:rPr>
                <w:rFonts w:eastAsiaTheme="minorEastAsia"/>
                <w:color w:val="000000"/>
                <w:szCs w:val="21"/>
              </w:rPr>
              <w:t>Digital Realty Trust Inc</w:t>
            </w:r>
          </w:p>
        </w:tc>
        <w:tc>
          <w:tcPr>
            <w:tcW w:w="1015" w:type="dxa"/>
            <w:vAlign w:val="center"/>
          </w:tcPr>
          <w:p w:rsidR="00122FB4" w:rsidRDefault="003502BE">
            <w:pPr>
              <w:jc w:val="center"/>
            </w:pPr>
            <w:r>
              <w:rPr>
                <w:rFonts w:eastAsiaTheme="minorEastAsia"/>
                <w:color w:val="000000"/>
                <w:szCs w:val="21"/>
              </w:rPr>
              <w:t>数字房地产信托有限公司</w:t>
            </w:r>
          </w:p>
        </w:tc>
        <w:tc>
          <w:tcPr>
            <w:tcW w:w="1184" w:type="dxa"/>
            <w:vAlign w:val="center"/>
          </w:tcPr>
          <w:p w:rsidR="00122FB4" w:rsidRDefault="003502BE">
            <w:pPr>
              <w:jc w:val="center"/>
            </w:pPr>
            <w:r>
              <w:rPr>
                <w:rFonts w:eastAsiaTheme="minorEastAsia"/>
                <w:color w:val="000000"/>
                <w:szCs w:val="21"/>
              </w:rPr>
              <w:t>DLR</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6,400.00</w:t>
            </w:r>
          </w:p>
        </w:tc>
        <w:tc>
          <w:tcPr>
            <w:tcW w:w="1690" w:type="dxa"/>
            <w:vAlign w:val="center"/>
          </w:tcPr>
          <w:p w:rsidR="00122FB4" w:rsidRDefault="003502BE">
            <w:pPr>
              <w:jc w:val="right"/>
            </w:pPr>
            <w:r>
              <w:rPr>
                <w:rFonts w:eastAsiaTheme="minorEastAsia"/>
                <w:color w:val="000000"/>
                <w:szCs w:val="21"/>
              </w:rPr>
              <w:t>5,182,533.84</w:t>
            </w:r>
          </w:p>
        </w:tc>
        <w:tc>
          <w:tcPr>
            <w:tcW w:w="997" w:type="dxa"/>
            <w:vAlign w:val="center"/>
          </w:tcPr>
          <w:p w:rsidR="00122FB4" w:rsidRDefault="003502BE">
            <w:pPr>
              <w:jc w:val="right"/>
            </w:pPr>
            <w:r>
              <w:rPr>
                <w:rFonts w:eastAsiaTheme="minorEastAsia"/>
                <w:color w:val="000000"/>
                <w:szCs w:val="21"/>
              </w:rPr>
              <w:t>2.94</w:t>
            </w:r>
          </w:p>
        </w:tc>
      </w:tr>
      <w:tr w:rsidR="00122FB4" w:rsidTr="00227731">
        <w:tc>
          <w:tcPr>
            <w:tcW w:w="678" w:type="dxa"/>
            <w:vAlign w:val="center"/>
          </w:tcPr>
          <w:p w:rsidR="00122FB4" w:rsidRDefault="003502BE">
            <w:pPr>
              <w:jc w:val="center"/>
            </w:pPr>
            <w:r>
              <w:rPr>
                <w:rFonts w:eastAsiaTheme="minorEastAsia"/>
                <w:color w:val="000000"/>
                <w:szCs w:val="21"/>
              </w:rPr>
              <w:t>10</w:t>
            </w:r>
          </w:p>
        </w:tc>
        <w:tc>
          <w:tcPr>
            <w:tcW w:w="905" w:type="dxa"/>
            <w:vAlign w:val="center"/>
          </w:tcPr>
          <w:p w:rsidR="00122FB4" w:rsidRDefault="003502BE">
            <w:pPr>
              <w:jc w:val="center"/>
            </w:pPr>
            <w:r>
              <w:rPr>
                <w:rFonts w:eastAsiaTheme="minorEastAsia"/>
                <w:color w:val="000000"/>
                <w:szCs w:val="21"/>
              </w:rPr>
              <w:t>Realty Income Corp</w:t>
            </w:r>
          </w:p>
        </w:tc>
        <w:tc>
          <w:tcPr>
            <w:tcW w:w="1015" w:type="dxa"/>
            <w:vAlign w:val="center"/>
          </w:tcPr>
          <w:p w:rsidR="00122FB4" w:rsidRDefault="00321C58">
            <w:pPr>
              <w:jc w:val="center"/>
            </w:pPr>
            <w:r w:rsidRPr="00321C58">
              <w:rPr>
                <w:rFonts w:eastAsiaTheme="minorEastAsia" w:hint="eastAsia"/>
                <w:color w:val="000000"/>
                <w:szCs w:val="21"/>
              </w:rPr>
              <w:t>Realty Income</w:t>
            </w:r>
            <w:r w:rsidRPr="00321C58">
              <w:rPr>
                <w:rFonts w:eastAsiaTheme="minorEastAsia" w:hint="eastAsia"/>
                <w:color w:val="000000"/>
                <w:szCs w:val="21"/>
              </w:rPr>
              <w:t>公司</w:t>
            </w:r>
          </w:p>
        </w:tc>
        <w:tc>
          <w:tcPr>
            <w:tcW w:w="1184" w:type="dxa"/>
            <w:vAlign w:val="center"/>
          </w:tcPr>
          <w:p w:rsidR="00122FB4" w:rsidRDefault="003502BE">
            <w:pPr>
              <w:jc w:val="center"/>
            </w:pPr>
            <w:r>
              <w:rPr>
                <w:rFonts w:eastAsiaTheme="minorEastAsia"/>
                <w:color w:val="000000"/>
                <w:szCs w:val="21"/>
              </w:rPr>
              <w:t>O</w:t>
            </w:r>
          </w:p>
        </w:tc>
        <w:tc>
          <w:tcPr>
            <w:tcW w:w="847" w:type="dxa"/>
            <w:vAlign w:val="center"/>
          </w:tcPr>
          <w:p w:rsidR="00122FB4" w:rsidRDefault="003502BE">
            <w:pPr>
              <w:jc w:val="center"/>
            </w:pPr>
            <w:r>
              <w:rPr>
                <w:rFonts w:eastAsiaTheme="minorEastAsia"/>
                <w:color w:val="000000"/>
                <w:szCs w:val="21"/>
              </w:rPr>
              <w:t>纽约证券交易所</w:t>
            </w:r>
          </w:p>
        </w:tc>
        <w:tc>
          <w:tcPr>
            <w:tcW w:w="1025" w:type="dxa"/>
            <w:vAlign w:val="center"/>
          </w:tcPr>
          <w:p w:rsidR="00122FB4" w:rsidRDefault="003502BE">
            <w:pPr>
              <w:jc w:val="center"/>
            </w:pPr>
            <w:r>
              <w:rPr>
                <w:rFonts w:eastAsiaTheme="minorEastAsia"/>
                <w:color w:val="000000"/>
                <w:szCs w:val="21"/>
              </w:rPr>
              <w:t>美国</w:t>
            </w:r>
          </w:p>
        </w:tc>
        <w:tc>
          <w:tcPr>
            <w:tcW w:w="1015" w:type="dxa"/>
            <w:vAlign w:val="center"/>
          </w:tcPr>
          <w:p w:rsidR="00122FB4" w:rsidRDefault="003502BE">
            <w:pPr>
              <w:jc w:val="right"/>
            </w:pPr>
            <w:r>
              <w:rPr>
                <w:rFonts w:eastAsiaTheme="minorEastAsia"/>
                <w:color w:val="000000"/>
                <w:szCs w:val="21"/>
              </w:rPr>
              <w:t>9,700.00</w:t>
            </w:r>
          </w:p>
        </w:tc>
        <w:tc>
          <w:tcPr>
            <w:tcW w:w="1690" w:type="dxa"/>
            <w:vAlign w:val="center"/>
          </w:tcPr>
          <w:p w:rsidR="00122FB4" w:rsidRDefault="003502BE">
            <w:pPr>
              <w:jc w:val="right"/>
            </w:pPr>
            <w:r>
              <w:rPr>
                <w:rFonts w:eastAsiaTheme="minorEastAsia"/>
                <w:color w:val="000000"/>
                <w:szCs w:val="21"/>
              </w:rPr>
              <w:t>4,599,236.17</w:t>
            </w:r>
          </w:p>
        </w:tc>
        <w:tc>
          <w:tcPr>
            <w:tcW w:w="997" w:type="dxa"/>
            <w:vAlign w:val="center"/>
          </w:tcPr>
          <w:p w:rsidR="00122FB4" w:rsidRDefault="003502BE">
            <w:pPr>
              <w:jc w:val="right"/>
            </w:pPr>
            <w:r>
              <w:rPr>
                <w:rFonts w:eastAsiaTheme="minorEastAsia"/>
                <w:color w:val="000000"/>
                <w:szCs w:val="21"/>
              </w:rPr>
              <w:t>2.61</w:t>
            </w:r>
          </w:p>
        </w:tc>
      </w:tr>
    </w:tbl>
    <w:p w:rsidR="00CF7242" w:rsidRPr="00CF7242" w:rsidRDefault="00CF7242" w:rsidP="00227731">
      <w:pPr>
        <w:tabs>
          <w:tab w:val="left" w:pos="426"/>
        </w:tabs>
        <w:spacing w:line="360" w:lineRule="auto"/>
        <w:ind w:firstLineChars="200" w:firstLine="420"/>
        <w:jc w:val="left"/>
        <w:rPr>
          <w:rFonts w:eastAsiaTheme="minorEastAsia"/>
          <w:kern w:val="0"/>
          <w:szCs w:val="21"/>
        </w:rPr>
      </w:pPr>
      <w:bookmarkStart w:id="178" w:name="_Toc390164826"/>
      <w:r>
        <w:rPr>
          <w:rFonts w:eastAsiaTheme="minorEastAsia" w:hint="eastAsia"/>
          <w:kern w:val="0"/>
          <w:szCs w:val="21"/>
        </w:rPr>
        <w:t>注：投资者欲了解本报告期末基金投资的所有权益投资明细，应阅读登载于本基金管理人网站（</w:t>
      </w:r>
      <w:r>
        <w:rPr>
          <w:rFonts w:eastAsiaTheme="minorEastAsia"/>
          <w:kern w:val="0"/>
          <w:szCs w:val="21"/>
        </w:rPr>
        <w:t>www.cifm.com</w:t>
      </w:r>
      <w:r>
        <w:rPr>
          <w:rFonts w:eastAsiaTheme="minorEastAsia" w:hint="eastAsia"/>
          <w:kern w:val="0"/>
          <w:szCs w:val="21"/>
        </w:rPr>
        <w:t>）的半年度报告正文。</w:t>
      </w:r>
    </w:p>
    <w:p w:rsidR="00187CB2" w:rsidRPr="0098332C" w:rsidRDefault="00E45C40" w:rsidP="004F5A80">
      <w:pPr>
        <w:pStyle w:val="20"/>
        <w:spacing w:beforeLines="100" w:before="312" w:after="0"/>
        <w:rPr>
          <w:rFonts w:ascii="Times New Roman" w:eastAsiaTheme="minorEastAsia" w:hAnsi="Times New Roman"/>
          <w:b w:val="0"/>
          <w:sz w:val="21"/>
          <w:szCs w:val="21"/>
        </w:rPr>
      </w:pPr>
      <w:r w:rsidRPr="0098332C">
        <w:rPr>
          <w:rFonts w:ascii="Times New Roman" w:eastAsiaTheme="minorEastAsia" w:hAnsi="Times New Roman"/>
          <w:kern w:val="0"/>
          <w:sz w:val="21"/>
          <w:szCs w:val="21"/>
        </w:rPr>
        <w:t>7.</w:t>
      </w:r>
      <w:r w:rsidR="00187CB2" w:rsidRPr="0098332C">
        <w:rPr>
          <w:rFonts w:ascii="Times New Roman" w:eastAsiaTheme="minorEastAsia" w:hAnsi="Times New Roman"/>
          <w:kern w:val="0"/>
          <w:sz w:val="21"/>
          <w:szCs w:val="21"/>
        </w:rPr>
        <w:t>4.2</w:t>
      </w:r>
      <w:r w:rsidR="00E74A64">
        <w:rPr>
          <w:rFonts w:ascii="Times New Roman" w:eastAsiaTheme="minorEastAsia" w:hAnsi="Times New Roman" w:hint="eastAsia"/>
          <w:kern w:val="0"/>
          <w:sz w:val="21"/>
          <w:szCs w:val="21"/>
        </w:rPr>
        <w:t xml:space="preserve"> </w:t>
      </w:r>
      <w:r w:rsidR="00187CB2" w:rsidRPr="0098332C">
        <w:rPr>
          <w:rFonts w:ascii="Times New Roman" w:eastAsiaTheme="minorEastAsia" w:hAnsi="Times New Roman"/>
          <w:sz w:val="21"/>
          <w:szCs w:val="21"/>
        </w:rPr>
        <w:t>积极投资期末按公允价值占基金资产净值比例大小排序的前五名权益投资明细</w:t>
      </w:r>
      <w:bookmarkEnd w:id="178"/>
    </w:p>
    <w:p w:rsidR="008A5A5D" w:rsidRPr="0098332C" w:rsidRDefault="00187CB2"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本基金本报告期末未持有积极投资股票。</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79" w:name="_Toc224618380"/>
      <w:bookmarkStart w:id="180" w:name="_Toc248233027"/>
      <w:bookmarkStart w:id="181" w:name="_Toc249790559"/>
      <w:bookmarkStart w:id="182" w:name="_Toc286929760"/>
      <w:bookmarkStart w:id="183" w:name="_Toc352255999"/>
      <w:bookmarkStart w:id="184" w:name="_Toc352256067"/>
      <w:bookmarkStart w:id="185" w:name="_Toc352331245"/>
      <w:bookmarkStart w:id="186" w:name="_Toc390164827"/>
      <w:r w:rsidRPr="0098332C">
        <w:rPr>
          <w:rFonts w:ascii="Times New Roman" w:eastAsiaTheme="minorEastAsia" w:hAnsi="Times New Roman"/>
          <w:kern w:val="0"/>
          <w:sz w:val="21"/>
          <w:szCs w:val="21"/>
        </w:rPr>
        <w:t>7.5</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报告期内股票投资组合的重大变动</w:t>
      </w:r>
      <w:bookmarkEnd w:id="179"/>
      <w:bookmarkEnd w:id="180"/>
      <w:bookmarkEnd w:id="181"/>
      <w:bookmarkEnd w:id="182"/>
      <w:bookmarkEnd w:id="183"/>
      <w:bookmarkEnd w:id="184"/>
      <w:bookmarkEnd w:id="185"/>
      <w:bookmarkEnd w:id="186"/>
    </w:p>
    <w:p w:rsidR="008A5A5D" w:rsidRPr="0098332C" w:rsidRDefault="008A5A5D" w:rsidP="006313B1">
      <w:pPr>
        <w:autoSpaceDE w:val="0"/>
        <w:autoSpaceDN w:val="0"/>
        <w:adjustRightInd w:val="0"/>
        <w:snapToGrid w:val="0"/>
        <w:spacing w:line="360" w:lineRule="auto"/>
        <w:jc w:val="left"/>
        <w:rPr>
          <w:rFonts w:eastAsiaTheme="minorEastAsia"/>
          <w:b/>
          <w:color w:val="000000"/>
          <w:kern w:val="0"/>
          <w:szCs w:val="21"/>
        </w:rPr>
      </w:pPr>
      <w:r w:rsidRPr="0098332C">
        <w:rPr>
          <w:rFonts w:eastAsiaTheme="minorEastAsia"/>
          <w:b/>
          <w:kern w:val="0"/>
          <w:szCs w:val="21"/>
        </w:rPr>
        <w:t>7.5.1</w:t>
      </w:r>
      <w:r w:rsidRPr="0098332C">
        <w:rPr>
          <w:rFonts w:eastAsiaTheme="minorEastAsia"/>
          <w:b/>
          <w:color w:val="000000"/>
          <w:kern w:val="0"/>
          <w:szCs w:val="21"/>
        </w:rPr>
        <w:t>累计买入金额超出</w:t>
      </w:r>
      <w:r w:rsidR="00243C23"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98332C" w:rsidTr="00C66C54">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23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2552"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213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本期累计买入金额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C66C54" w:rsidTr="00C66C54">
        <w:tc>
          <w:tcPr>
            <w:tcW w:w="555" w:type="dxa"/>
            <w:vAlign w:val="center"/>
          </w:tcPr>
          <w:p w:rsidR="00C66C54" w:rsidRDefault="00C66C54" w:rsidP="00C66C54">
            <w:pPr>
              <w:jc w:val="center"/>
            </w:pPr>
            <w:r>
              <w:rPr>
                <w:rFonts w:eastAsiaTheme="minorEastAsia"/>
                <w:color w:val="000000"/>
                <w:szCs w:val="21"/>
              </w:rPr>
              <w:t>1</w:t>
            </w:r>
          </w:p>
        </w:tc>
        <w:tc>
          <w:tcPr>
            <w:tcW w:w="2378" w:type="dxa"/>
            <w:vAlign w:val="center"/>
          </w:tcPr>
          <w:p w:rsidR="00C66C54" w:rsidRDefault="00C66C54" w:rsidP="00C66C54">
            <w:pPr>
              <w:jc w:val="center"/>
            </w:pPr>
            <w:r>
              <w:rPr>
                <w:rFonts w:eastAsiaTheme="minorEastAsia"/>
                <w:color w:val="000000"/>
                <w:szCs w:val="21"/>
              </w:rPr>
              <w:t>INVITATION HOMES INC</w:t>
            </w:r>
          </w:p>
        </w:tc>
        <w:tc>
          <w:tcPr>
            <w:tcW w:w="2552" w:type="dxa"/>
            <w:vAlign w:val="center"/>
          </w:tcPr>
          <w:p w:rsidR="00C66C54" w:rsidRDefault="00C66C54" w:rsidP="00C66C54">
            <w:pPr>
              <w:jc w:val="center"/>
            </w:pPr>
            <w:r>
              <w:rPr>
                <w:rFonts w:eastAsiaTheme="minorEastAsia"/>
                <w:color w:val="000000"/>
                <w:szCs w:val="21"/>
              </w:rPr>
              <w:t>INVH</w:t>
            </w:r>
          </w:p>
        </w:tc>
        <w:tc>
          <w:tcPr>
            <w:tcW w:w="2130" w:type="dxa"/>
            <w:vAlign w:val="center"/>
          </w:tcPr>
          <w:p w:rsidR="00C66C54" w:rsidRDefault="00C66C54" w:rsidP="00C66C54">
            <w:pPr>
              <w:jc w:val="center"/>
            </w:pPr>
            <w:r>
              <w:rPr>
                <w:rFonts w:eastAsiaTheme="minorEastAsia"/>
                <w:color w:val="000000"/>
                <w:szCs w:val="21"/>
              </w:rPr>
              <w:t>2,280,619.11</w:t>
            </w:r>
          </w:p>
        </w:tc>
        <w:tc>
          <w:tcPr>
            <w:tcW w:w="1650" w:type="dxa"/>
            <w:vAlign w:val="center"/>
          </w:tcPr>
          <w:p w:rsidR="00C66C54" w:rsidRDefault="00C66C54" w:rsidP="00C66C54">
            <w:pPr>
              <w:jc w:val="center"/>
            </w:pPr>
            <w:r>
              <w:rPr>
                <w:rFonts w:eastAsiaTheme="minorEastAsia"/>
                <w:color w:val="000000"/>
                <w:szCs w:val="21"/>
              </w:rPr>
              <w:t>1.20</w:t>
            </w:r>
          </w:p>
        </w:tc>
      </w:tr>
      <w:tr w:rsidR="00C66C54" w:rsidTr="00C66C54">
        <w:tc>
          <w:tcPr>
            <w:tcW w:w="555" w:type="dxa"/>
            <w:vAlign w:val="center"/>
          </w:tcPr>
          <w:p w:rsidR="00C66C54" w:rsidRDefault="00C66C54" w:rsidP="00C66C54">
            <w:pPr>
              <w:jc w:val="center"/>
            </w:pPr>
            <w:r>
              <w:rPr>
                <w:rFonts w:eastAsiaTheme="minorEastAsia"/>
                <w:color w:val="000000"/>
                <w:szCs w:val="21"/>
              </w:rPr>
              <w:t>2</w:t>
            </w:r>
          </w:p>
        </w:tc>
        <w:tc>
          <w:tcPr>
            <w:tcW w:w="2378" w:type="dxa"/>
            <w:vAlign w:val="center"/>
          </w:tcPr>
          <w:p w:rsidR="00C66C54" w:rsidRDefault="00C66C54" w:rsidP="00C66C54">
            <w:pPr>
              <w:jc w:val="center"/>
            </w:pPr>
            <w:r>
              <w:rPr>
                <w:rFonts w:eastAsiaTheme="minorEastAsia"/>
                <w:color w:val="000000"/>
                <w:szCs w:val="21"/>
              </w:rPr>
              <w:t>NATIONAL RETAIL PROPERTIES</w:t>
            </w:r>
          </w:p>
        </w:tc>
        <w:tc>
          <w:tcPr>
            <w:tcW w:w="2552" w:type="dxa"/>
            <w:vAlign w:val="center"/>
          </w:tcPr>
          <w:p w:rsidR="00C66C54" w:rsidRDefault="00C66C54" w:rsidP="00C66C54">
            <w:pPr>
              <w:jc w:val="center"/>
            </w:pPr>
            <w:r>
              <w:rPr>
                <w:rFonts w:eastAsiaTheme="minorEastAsia"/>
                <w:color w:val="000000"/>
                <w:szCs w:val="21"/>
              </w:rPr>
              <w:t>NNN</w:t>
            </w:r>
          </w:p>
        </w:tc>
        <w:tc>
          <w:tcPr>
            <w:tcW w:w="2130" w:type="dxa"/>
            <w:vAlign w:val="center"/>
          </w:tcPr>
          <w:p w:rsidR="00C66C54" w:rsidRDefault="00C66C54" w:rsidP="00C66C54">
            <w:pPr>
              <w:jc w:val="center"/>
            </w:pPr>
            <w:r>
              <w:rPr>
                <w:rFonts w:eastAsiaTheme="minorEastAsia"/>
                <w:color w:val="000000"/>
                <w:szCs w:val="21"/>
              </w:rPr>
              <w:t>1,858,821.95</w:t>
            </w:r>
          </w:p>
        </w:tc>
        <w:tc>
          <w:tcPr>
            <w:tcW w:w="1650" w:type="dxa"/>
            <w:vAlign w:val="center"/>
          </w:tcPr>
          <w:p w:rsidR="00C66C54" w:rsidRDefault="00C66C54" w:rsidP="00C66C54">
            <w:pPr>
              <w:jc w:val="center"/>
            </w:pPr>
            <w:r>
              <w:rPr>
                <w:rFonts w:eastAsiaTheme="minorEastAsia"/>
                <w:color w:val="000000"/>
                <w:szCs w:val="21"/>
              </w:rPr>
              <w:t>0.98</w:t>
            </w:r>
          </w:p>
        </w:tc>
      </w:tr>
      <w:tr w:rsidR="00C66C54" w:rsidTr="00C66C54">
        <w:tc>
          <w:tcPr>
            <w:tcW w:w="555" w:type="dxa"/>
            <w:vAlign w:val="center"/>
          </w:tcPr>
          <w:p w:rsidR="00C66C54" w:rsidRDefault="00C66C54" w:rsidP="00C66C54">
            <w:pPr>
              <w:jc w:val="center"/>
            </w:pPr>
            <w:r>
              <w:rPr>
                <w:rFonts w:eastAsiaTheme="minorEastAsia"/>
                <w:color w:val="000000"/>
                <w:szCs w:val="21"/>
              </w:rPr>
              <w:t>3</w:t>
            </w:r>
          </w:p>
        </w:tc>
        <w:tc>
          <w:tcPr>
            <w:tcW w:w="2378" w:type="dxa"/>
            <w:vAlign w:val="center"/>
          </w:tcPr>
          <w:p w:rsidR="00C66C54" w:rsidRDefault="00C66C54" w:rsidP="00C66C54">
            <w:pPr>
              <w:jc w:val="center"/>
            </w:pPr>
            <w:r>
              <w:rPr>
                <w:rFonts w:eastAsiaTheme="minorEastAsia"/>
                <w:color w:val="000000"/>
                <w:szCs w:val="21"/>
              </w:rPr>
              <w:t>VICI PROPERTIES INC</w:t>
            </w:r>
          </w:p>
        </w:tc>
        <w:tc>
          <w:tcPr>
            <w:tcW w:w="2552" w:type="dxa"/>
            <w:vAlign w:val="center"/>
          </w:tcPr>
          <w:p w:rsidR="00C66C54" w:rsidRDefault="00C66C54" w:rsidP="00C66C54">
            <w:pPr>
              <w:jc w:val="center"/>
            </w:pPr>
            <w:r>
              <w:rPr>
                <w:rFonts w:eastAsiaTheme="minorEastAsia"/>
                <w:color w:val="000000"/>
                <w:szCs w:val="21"/>
              </w:rPr>
              <w:t>VICI</w:t>
            </w:r>
          </w:p>
        </w:tc>
        <w:tc>
          <w:tcPr>
            <w:tcW w:w="2130" w:type="dxa"/>
            <w:vAlign w:val="center"/>
          </w:tcPr>
          <w:p w:rsidR="00C66C54" w:rsidRDefault="00C66C54" w:rsidP="00C66C54">
            <w:pPr>
              <w:jc w:val="center"/>
            </w:pPr>
            <w:r>
              <w:rPr>
                <w:rFonts w:eastAsiaTheme="minorEastAsia"/>
                <w:color w:val="000000"/>
                <w:szCs w:val="21"/>
              </w:rPr>
              <w:t>1,779,357.31</w:t>
            </w:r>
          </w:p>
        </w:tc>
        <w:tc>
          <w:tcPr>
            <w:tcW w:w="1650" w:type="dxa"/>
            <w:vAlign w:val="center"/>
          </w:tcPr>
          <w:p w:rsidR="00C66C54" w:rsidRDefault="00C66C54" w:rsidP="00C66C54">
            <w:pPr>
              <w:jc w:val="center"/>
            </w:pPr>
            <w:r>
              <w:rPr>
                <w:rFonts w:eastAsiaTheme="minorEastAsia"/>
                <w:color w:val="000000"/>
                <w:szCs w:val="21"/>
              </w:rPr>
              <w:t>0.94</w:t>
            </w:r>
          </w:p>
        </w:tc>
      </w:tr>
      <w:tr w:rsidR="00C66C54" w:rsidTr="00C66C54">
        <w:tc>
          <w:tcPr>
            <w:tcW w:w="555" w:type="dxa"/>
            <w:vAlign w:val="center"/>
          </w:tcPr>
          <w:p w:rsidR="00C66C54" w:rsidRDefault="00C66C54" w:rsidP="00C66C54">
            <w:pPr>
              <w:jc w:val="center"/>
            </w:pPr>
            <w:r>
              <w:rPr>
                <w:rFonts w:eastAsiaTheme="minorEastAsia"/>
                <w:color w:val="000000"/>
                <w:szCs w:val="21"/>
              </w:rPr>
              <w:t>4</w:t>
            </w:r>
          </w:p>
        </w:tc>
        <w:tc>
          <w:tcPr>
            <w:tcW w:w="2378" w:type="dxa"/>
            <w:vAlign w:val="center"/>
          </w:tcPr>
          <w:p w:rsidR="00C66C54" w:rsidRDefault="00C66C54" w:rsidP="00C66C54">
            <w:pPr>
              <w:jc w:val="center"/>
            </w:pPr>
            <w:r>
              <w:rPr>
                <w:rFonts w:eastAsiaTheme="minorEastAsia"/>
                <w:color w:val="000000"/>
                <w:szCs w:val="21"/>
              </w:rPr>
              <w:t>JAPAN REAL ESTATE INVESTMENT</w:t>
            </w:r>
          </w:p>
        </w:tc>
        <w:tc>
          <w:tcPr>
            <w:tcW w:w="2552" w:type="dxa"/>
            <w:vAlign w:val="center"/>
          </w:tcPr>
          <w:p w:rsidR="00C66C54" w:rsidRDefault="00C66C54" w:rsidP="00C66C54">
            <w:pPr>
              <w:jc w:val="center"/>
            </w:pPr>
            <w:r>
              <w:rPr>
                <w:rFonts w:eastAsiaTheme="minorEastAsia"/>
                <w:color w:val="000000"/>
                <w:szCs w:val="21"/>
              </w:rPr>
              <w:t>8952</w:t>
            </w:r>
          </w:p>
        </w:tc>
        <w:tc>
          <w:tcPr>
            <w:tcW w:w="2130" w:type="dxa"/>
            <w:vAlign w:val="center"/>
          </w:tcPr>
          <w:p w:rsidR="00C66C54" w:rsidRDefault="00C66C54" w:rsidP="00C66C54">
            <w:pPr>
              <w:jc w:val="center"/>
            </w:pPr>
            <w:r>
              <w:rPr>
                <w:rFonts w:eastAsiaTheme="minorEastAsia"/>
                <w:color w:val="000000"/>
                <w:szCs w:val="21"/>
              </w:rPr>
              <w:t>1,646,688.97</w:t>
            </w:r>
          </w:p>
        </w:tc>
        <w:tc>
          <w:tcPr>
            <w:tcW w:w="1650" w:type="dxa"/>
            <w:vAlign w:val="center"/>
          </w:tcPr>
          <w:p w:rsidR="00C66C54" w:rsidRDefault="00C66C54" w:rsidP="00C66C54">
            <w:pPr>
              <w:jc w:val="center"/>
            </w:pPr>
            <w:r>
              <w:rPr>
                <w:rFonts w:eastAsiaTheme="minorEastAsia"/>
                <w:color w:val="000000"/>
                <w:szCs w:val="21"/>
              </w:rPr>
              <w:t>0.87</w:t>
            </w:r>
          </w:p>
        </w:tc>
      </w:tr>
      <w:tr w:rsidR="00C66C54" w:rsidTr="00C66C54">
        <w:tc>
          <w:tcPr>
            <w:tcW w:w="555" w:type="dxa"/>
            <w:vAlign w:val="center"/>
          </w:tcPr>
          <w:p w:rsidR="00C66C54" w:rsidRDefault="00C66C54" w:rsidP="00C66C54">
            <w:pPr>
              <w:jc w:val="center"/>
            </w:pPr>
            <w:r>
              <w:rPr>
                <w:rFonts w:eastAsiaTheme="minorEastAsia"/>
                <w:color w:val="000000"/>
                <w:szCs w:val="21"/>
              </w:rPr>
              <w:t>5</w:t>
            </w:r>
          </w:p>
        </w:tc>
        <w:tc>
          <w:tcPr>
            <w:tcW w:w="2378" w:type="dxa"/>
            <w:vAlign w:val="center"/>
          </w:tcPr>
          <w:p w:rsidR="00C66C54" w:rsidRDefault="00C66C54" w:rsidP="00C66C54">
            <w:pPr>
              <w:jc w:val="center"/>
            </w:pPr>
            <w:r>
              <w:rPr>
                <w:rFonts w:eastAsiaTheme="minorEastAsia"/>
                <w:color w:val="000000"/>
                <w:szCs w:val="21"/>
              </w:rPr>
              <w:t>CYRUSONE INC</w:t>
            </w:r>
          </w:p>
        </w:tc>
        <w:tc>
          <w:tcPr>
            <w:tcW w:w="2552" w:type="dxa"/>
            <w:vAlign w:val="center"/>
          </w:tcPr>
          <w:p w:rsidR="00C66C54" w:rsidRDefault="00C66C54" w:rsidP="00C66C54">
            <w:pPr>
              <w:jc w:val="center"/>
            </w:pPr>
            <w:r>
              <w:rPr>
                <w:rFonts w:eastAsiaTheme="minorEastAsia"/>
                <w:color w:val="000000"/>
                <w:szCs w:val="21"/>
              </w:rPr>
              <w:t>CONE</w:t>
            </w:r>
          </w:p>
        </w:tc>
        <w:tc>
          <w:tcPr>
            <w:tcW w:w="2130" w:type="dxa"/>
            <w:vAlign w:val="center"/>
          </w:tcPr>
          <w:p w:rsidR="00C66C54" w:rsidRDefault="00C66C54" w:rsidP="00C66C54">
            <w:pPr>
              <w:jc w:val="center"/>
            </w:pPr>
            <w:r>
              <w:rPr>
                <w:rFonts w:eastAsiaTheme="minorEastAsia"/>
                <w:color w:val="000000"/>
                <w:szCs w:val="21"/>
              </w:rPr>
              <w:t>1,323,221.63</w:t>
            </w:r>
          </w:p>
        </w:tc>
        <w:tc>
          <w:tcPr>
            <w:tcW w:w="1650" w:type="dxa"/>
            <w:vAlign w:val="center"/>
          </w:tcPr>
          <w:p w:rsidR="00C66C54" w:rsidRDefault="00C66C54" w:rsidP="00C66C54">
            <w:pPr>
              <w:jc w:val="center"/>
            </w:pPr>
            <w:r>
              <w:rPr>
                <w:rFonts w:eastAsiaTheme="minorEastAsia"/>
                <w:color w:val="000000"/>
                <w:szCs w:val="21"/>
              </w:rPr>
              <w:t>0.70</w:t>
            </w:r>
          </w:p>
        </w:tc>
      </w:tr>
      <w:tr w:rsidR="00C66C54" w:rsidTr="00C66C54">
        <w:tc>
          <w:tcPr>
            <w:tcW w:w="555" w:type="dxa"/>
            <w:vAlign w:val="center"/>
          </w:tcPr>
          <w:p w:rsidR="00C66C54" w:rsidRDefault="00C66C54" w:rsidP="00C66C54">
            <w:pPr>
              <w:jc w:val="center"/>
            </w:pPr>
            <w:r>
              <w:rPr>
                <w:rFonts w:eastAsiaTheme="minorEastAsia"/>
                <w:color w:val="000000"/>
                <w:szCs w:val="21"/>
              </w:rPr>
              <w:t>6</w:t>
            </w:r>
          </w:p>
        </w:tc>
        <w:tc>
          <w:tcPr>
            <w:tcW w:w="2378" w:type="dxa"/>
            <w:vAlign w:val="center"/>
          </w:tcPr>
          <w:p w:rsidR="00C66C54" w:rsidRDefault="00C66C54" w:rsidP="00C66C54">
            <w:pPr>
              <w:jc w:val="center"/>
            </w:pPr>
            <w:r>
              <w:rPr>
                <w:rFonts w:eastAsiaTheme="minorEastAsia"/>
                <w:color w:val="000000"/>
                <w:szCs w:val="21"/>
              </w:rPr>
              <w:t>Welltower Inc</w:t>
            </w:r>
          </w:p>
        </w:tc>
        <w:tc>
          <w:tcPr>
            <w:tcW w:w="2552" w:type="dxa"/>
            <w:vAlign w:val="center"/>
          </w:tcPr>
          <w:p w:rsidR="00C66C54" w:rsidRDefault="00C66C54" w:rsidP="00C66C54">
            <w:pPr>
              <w:jc w:val="center"/>
            </w:pPr>
            <w:r>
              <w:rPr>
                <w:rFonts w:eastAsiaTheme="minorEastAsia"/>
                <w:color w:val="000000"/>
                <w:szCs w:val="21"/>
              </w:rPr>
              <w:t>WELL</w:t>
            </w:r>
          </w:p>
        </w:tc>
        <w:tc>
          <w:tcPr>
            <w:tcW w:w="2130" w:type="dxa"/>
            <w:vAlign w:val="center"/>
          </w:tcPr>
          <w:p w:rsidR="00C66C54" w:rsidRDefault="00C66C54" w:rsidP="00C66C54">
            <w:pPr>
              <w:jc w:val="center"/>
            </w:pPr>
            <w:r>
              <w:rPr>
                <w:rFonts w:eastAsiaTheme="minorEastAsia"/>
                <w:color w:val="000000"/>
                <w:szCs w:val="21"/>
              </w:rPr>
              <w:t>1,030,253.16</w:t>
            </w:r>
          </w:p>
        </w:tc>
        <w:tc>
          <w:tcPr>
            <w:tcW w:w="1650" w:type="dxa"/>
            <w:vAlign w:val="center"/>
          </w:tcPr>
          <w:p w:rsidR="00C66C54" w:rsidRDefault="00C66C54" w:rsidP="00C66C54">
            <w:pPr>
              <w:jc w:val="center"/>
            </w:pPr>
            <w:r>
              <w:rPr>
                <w:rFonts w:eastAsiaTheme="minorEastAsia"/>
                <w:color w:val="000000"/>
                <w:szCs w:val="21"/>
              </w:rPr>
              <w:t>0.54</w:t>
            </w:r>
          </w:p>
        </w:tc>
      </w:tr>
      <w:tr w:rsidR="00C66C54" w:rsidTr="00C66C54">
        <w:tc>
          <w:tcPr>
            <w:tcW w:w="555" w:type="dxa"/>
            <w:vAlign w:val="center"/>
          </w:tcPr>
          <w:p w:rsidR="00C66C54" w:rsidRDefault="00C66C54" w:rsidP="00C66C54">
            <w:pPr>
              <w:jc w:val="center"/>
            </w:pPr>
            <w:r>
              <w:rPr>
                <w:rFonts w:eastAsiaTheme="minorEastAsia"/>
                <w:color w:val="000000"/>
                <w:szCs w:val="21"/>
              </w:rPr>
              <w:t>7</w:t>
            </w:r>
          </w:p>
        </w:tc>
        <w:tc>
          <w:tcPr>
            <w:tcW w:w="2378" w:type="dxa"/>
            <w:vAlign w:val="center"/>
          </w:tcPr>
          <w:p w:rsidR="00C66C54" w:rsidRDefault="00C66C54" w:rsidP="00C66C54">
            <w:pPr>
              <w:jc w:val="center"/>
            </w:pPr>
            <w:r>
              <w:rPr>
                <w:rFonts w:eastAsiaTheme="minorEastAsia"/>
                <w:color w:val="000000"/>
                <w:szCs w:val="21"/>
              </w:rPr>
              <w:t>Prologis Inc</w:t>
            </w:r>
          </w:p>
        </w:tc>
        <w:tc>
          <w:tcPr>
            <w:tcW w:w="2552" w:type="dxa"/>
            <w:vAlign w:val="center"/>
          </w:tcPr>
          <w:p w:rsidR="00C66C54" w:rsidRDefault="00C66C54" w:rsidP="00C66C54">
            <w:pPr>
              <w:jc w:val="center"/>
            </w:pPr>
            <w:r>
              <w:rPr>
                <w:rFonts w:eastAsiaTheme="minorEastAsia"/>
                <w:color w:val="000000"/>
                <w:szCs w:val="21"/>
              </w:rPr>
              <w:t>PLD</w:t>
            </w:r>
          </w:p>
        </w:tc>
        <w:tc>
          <w:tcPr>
            <w:tcW w:w="2130" w:type="dxa"/>
            <w:vAlign w:val="center"/>
          </w:tcPr>
          <w:p w:rsidR="00C66C54" w:rsidRDefault="00C66C54" w:rsidP="00C66C54">
            <w:pPr>
              <w:jc w:val="center"/>
            </w:pPr>
            <w:r>
              <w:rPr>
                <w:rFonts w:eastAsiaTheme="minorEastAsia"/>
                <w:color w:val="000000"/>
                <w:szCs w:val="21"/>
              </w:rPr>
              <w:t>996,933.51</w:t>
            </w:r>
          </w:p>
        </w:tc>
        <w:tc>
          <w:tcPr>
            <w:tcW w:w="1650" w:type="dxa"/>
            <w:vAlign w:val="center"/>
          </w:tcPr>
          <w:p w:rsidR="00C66C54" w:rsidRDefault="00C66C54" w:rsidP="00C66C54">
            <w:pPr>
              <w:jc w:val="center"/>
            </w:pPr>
            <w:r>
              <w:rPr>
                <w:rFonts w:eastAsiaTheme="minorEastAsia"/>
                <w:color w:val="000000"/>
                <w:szCs w:val="21"/>
              </w:rPr>
              <w:t>0.53</w:t>
            </w:r>
          </w:p>
        </w:tc>
      </w:tr>
      <w:tr w:rsidR="00C66C54" w:rsidTr="00C66C54">
        <w:tc>
          <w:tcPr>
            <w:tcW w:w="555" w:type="dxa"/>
            <w:vAlign w:val="center"/>
          </w:tcPr>
          <w:p w:rsidR="00C66C54" w:rsidRDefault="00C66C54" w:rsidP="00C66C54">
            <w:pPr>
              <w:jc w:val="center"/>
            </w:pPr>
            <w:r>
              <w:rPr>
                <w:rFonts w:eastAsiaTheme="minorEastAsia"/>
                <w:color w:val="000000"/>
                <w:szCs w:val="21"/>
              </w:rPr>
              <w:t>8</w:t>
            </w:r>
          </w:p>
        </w:tc>
        <w:tc>
          <w:tcPr>
            <w:tcW w:w="2378" w:type="dxa"/>
            <w:vAlign w:val="center"/>
          </w:tcPr>
          <w:p w:rsidR="00C66C54" w:rsidRDefault="00C66C54" w:rsidP="00C66C54">
            <w:pPr>
              <w:jc w:val="center"/>
            </w:pPr>
            <w:r>
              <w:rPr>
                <w:rFonts w:eastAsiaTheme="minorEastAsia"/>
                <w:color w:val="000000"/>
                <w:szCs w:val="21"/>
              </w:rPr>
              <w:t>Simon Property Group Inc</w:t>
            </w:r>
          </w:p>
        </w:tc>
        <w:tc>
          <w:tcPr>
            <w:tcW w:w="2552" w:type="dxa"/>
            <w:vAlign w:val="center"/>
          </w:tcPr>
          <w:p w:rsidR="00C66C54" w:rsidRDefault="00C66C54" w:rsidP="00C66C54">
            <w:pPr>
              <w:jc w:val="center"/>
            </w:pPr>
            <w:r>
              <w:rPr>
                <w:rFonts w:eastAsiaTheme="minorEastAsia"/>
                <w:color w:val="000000"/>
                <w:szCs w:val="21"/>
              </w:rPr>
              <w:t>SPG</w:t>
            </w:r>
          </w:p>
        </w:tc>
        <w:tc>
          <w:tcPr>
            <w:tcW w:w="2130" w:type="dxa"/>
            <w:vAlign w:val="center"/>
          </w:tcPr>
          <w:p w:rsidR="00C66C54" w:rsidRDefault="00C66C54" w:rsidP="00C66C54">
            <w:pPr>
              <w:jc w:val="center"/>
            </w:pPr>
            <w:r>
              <w:rPr>
                <w:rFonts w:eastAsiaTheme="minorEastAsia"/>
                <w:color w:val="000000"/>
                <w:szCs w:val="21"/>
              </w:rPr>
              <w:t>917,003.80</w:t>
            </w:r>
          </w:p>
        </w:tc>
        <w:tc>
          <w:tcPr>
            <w:tcW w:w="1650" w:type="dxa"/>
            <w:vAlign w:val="center"/>
          </w:tcPr>
          <w:p w:rsidR="00C66C54" w:rsidRDefault="00C66C54" w:rsidP="00C66C54">
            <w:pPr>
              <w:jc w:val="center"/>
            </w:pPr>
            <w:r>
              <w:rPr>
                <w:rFonts w:eastAsiaTheme="minorEastAsia"/>
                <w:color w:val="000000"/>
                <w:szCs w:val="21"/>
              </w:rPr>
              <w:t>0.48</w:t>
            </w:r>
          </w:p>
        </w:tc>
      </w:tr>
      <w:tr w:rsidR="00C66C54" w:rsidTr="00C66C54">
        <w:tc>
          <w:tcPr>
            <w:tcW w:w="555" w:type="dxa"/>
            <w:vAlign w:val="center"/>
          </w:tcPr>
          <w:p w:rsidR="00C66C54" w:rsidRDefault="00C66C54" w:rsidP="00C66C54">
            <w:pPr>
              <w:jc w:val="center"/>
            </w:pPr>
            <w:r>
              <w:rPr>
                <w:rFonts w:eastAsiaTheme="minorEastAsia"/>
                <w:color w:val="000000"/>
                <w:szCs w:val="21"/>
              </w:rPr>
              <w:t>9</w:t>
            </w:r>
          </w:p>
        </w:tc>
        <w:tc>
          <w:tcPr>
            <w:tcW w:w="2378" w:type="dxa"/>
            <w:vAlign w:val="center"/>
          </w:tcPr>
          <w:p w:rsidR="00C66C54" w:rsidRDefault="00C66C54" w:rsidP="00C66C54">
            <w:pPr>
              <w:jc w:val="center"/>
            </w:pPr>
            <w:r>
              <w:rPr>
                <w:rFonts w:eastAsiaTheme="minorEastAsia"/>
                <w:color w:val="000000"/>
                <w:szCs w:val="21"/>
              </w:rPr>
              <w:t>DAIWA HOUSE REIT INVESTMENT</w:t>
            </w:r>
          </w:p>
        </w:tc>
        <w:tc>
          <w:tcPr>
            <w:tcW w:w="2552" w:type="dxa"/>
            <w:vAlign w:val="center"/>
          </w:tcPr>
          <w:p w:rsidR="00C66C54" w:rsidRDefault="00C66C54" w:rsidP="00C66C54">
            <w:pPr>
              <w:jc w:val="center"/>
            </w:pPr>
            <w:r>
              <w:rPr>
                <w:rFonts w:eastAsiaTheme="minorEastAsia"/>
                <w:color w:val="000000"/>
                <w:szCs w:val="21"/>
              </w:rPr>
              <w:t>8984</w:t>
            </w:r>
          </w:p>
        </w:tc>
        <w:tc>
          <w:tcPr>
            <w:tcW w:w="2130" w:type="dxa"/>
            <w:vAlign w:val="center"/>
          </w:tcPr>
          <w:p w:rsidR="00C66C54" w:rsidRDefault="00C66C54" w:rsidP="00C66C54">
            <w:pPr>
              <w:jc w:val="center"/>
            </w:pPr>
            <w:r>
              <w:rPr>
                <w:rFonts w:eastAsiaTheme="minorEastAsia"/>
                <w:color w:val="000000"/>
                <w:szCs w:val="21"/>
              </w:rPr>
              <w:t>904,652.17</w:t>
            </w:r>
          </w:p>
        </w:tc>
        <w:tc>
          <w:tcPr>
            <w:tcW w:w="1650" w:type="dxa"/>
            <w:vAlign w:val="center"/>
          </w:tcPr>
          <w:p w:rsidR="00C66C54" w:rsidRDefault="00C66C54" w:rsidP="00C66C54">
            <w:pPr>
              <w:jc w:val="center"/>
            </w:pPr>
            <w:r>
              <w:rPr>
                <w:rFonts w:eastAsiaTheme="minorEastAsia"/>
                <w:color w:val="000000"/>
                <w:szCs w:val="21"/>
              </w:rPr>
              <w:t>0.48</w:t>
            </w:r>
          </w:p>
        </w:tc>
      </w:tr>
      <w:tr w:rsidR="00C66C54" w:rsidTr="00C66C54">
        <w:tc>
          <w:tcPr>
            <w:tcW w:w="555" w:type="dxa"/>
            <w:vAlign w:val="center"/>
          </w:tcPr>
          <w:p w:rsidR="00C66C54" w:rsidRDefault="00C66C54" w:rsidP="00C66C54">
            <w:pPr>
              <w:jc w:val="center"/>
            </w:pPr>
            <w:r>
              <w:rPr>
                <w:rFonts w:eastAsiaTheme="minorEastAsia"/>
                <w:color w:val="000000"/>
                <w:szCs w:val="21"/>
              </w:rPr>
              <w:t>10</w:t>
            </w:r>
          </w:p>
        </w:tc>
        <w:tc>
          <w:tcPr>
            <w:tcW w:w="2378" w:type="dxa"/>
            <w:vAlign w:val="center"/>
          </w:tcPr>
          <w:p w:rsidR="00C66C54" w:rsidRDefault="00C66C54" w:rsidP="00C66C54">
            <w:pPr>
              <w:jc w:val="center"/>
            </w:pPr>
            <w:r>
              <w:rPr>
                <w:rFonts w:eastAsiaTheme="minorEastAsia"/>
                <w:color w:val="000000"/>
                <w:szCs w:val="21"/>
              </w:rPr>
              <w:t>UNIBAIL GROUP STAPLED</w:t>
            </w:r>
          </w:p>
        </w:tc>
        <w:tc>
          <w:tcPr>
            <w:tcW w:w="2552" w:type="dxa"/>
            <w:vAlign w:val="center"/>
          </w:tcPr>
          <w:p w:rsidR="00C66C54" w:rsidRDefault="00C66C54" w:rsidP="00C66C54">
            <w:pPr>
              <w:jc w:val="center"/>
            </w:pPr>
            <w:r>
              <w:rPr>
                <w:rFonts w:eastAsiaTheme="minorEastAsia"/>
                <w:color w:val="000000"/>
                <w:szCs w:val="21"/>
              </w:rPr>
              <w:t>URW</w:t>
            </w:r>
          </w:p>
        </w:tc>
        <w:tc>
          <w:tcPr>
            <w:tcW w:w="2130" w:type="dxa"/>
            <w:vAlign w:val="center"/>
          </w:tcPr>
          <w:p w:rsidR="00C66C54" w:rsidRDefault="00C66C54" w:rsidP="00C66C54">
            <w:pPr>
              <w:jc w:val="center"/>
            </w:pPr>
            <w:r>
              <w:rPr>
                <w:rFonts w:eastAsiaTheme="minorEastAsia"/>
                <w:color w:val="000000"/>
                <w:szCs w:val="21"/>
              </w:rPr>
              <w:t>762,228.56</w:t>
            </w:r>
          </w:p>
        </w:tc>
        <w:tc>
          <w:tcPr>
            <w:tcW w:w="1650" w:type="dxa"/>
            <w:vAlign w:val="center"/>
          </w:tcPr>
          <w:p w:rsidR="00C66C54" w:rsidRDefault="00C66C54" w:rsidP="00C66C54">
            <w:pPr>
              <w:jc w:val="center"/>
            </w:pPr>
            <w:r>
              <w:rPr>
                <w:rFonts w:eastAsiaTheme="minorEastAsia"/>
                <w:color w:val="000000"/>
                <w:szCs w:val="21"/>
              </w:rPr>
              <w:t>0.40</w:t>
            </w:r>
          </w:p>
        </w:tc>
      </w:tr>
      <w:tr w:rsidR="00C66C54" w:rsidTr="00C66C54">
        <w:tc>
          <w:tcPr>
            <w:tcW w:w="555" w:type="dxa"/>
            <w:vAlign w:val="center"/>
          </w:tcPr>
          <w:p w:rsidR="00C66C54" w:rsidRDefault="00C66C54" w:rsidP="00C66C54">
            <w:pPr>
              <w:jc w:val="center"/>
            </w:pPr>
            <w:r>
              <w:rPr>
                <w:rFonts w:eastAsiaTheme="minorEastAsia"/>
                <w:color w:val="000000"/>
                <w:szCs w:val="21"/>
              </w:rPr>
              <w:t>11</w:t>
            </w:r>
          </w:p>
        </w:tc>
        <w:tc>
          <w:tcPr>
            <w:tcW w:w="2378" w:type="dxa"/>
            <w:vAlign w:val="center"/>
          </w:tcPr>
          <w:p w:rsidR="00C66C54" w:rsidRDefault="00C66C54" w:rsidP="00C66C54">
            <w:pPr>
              <w:jc w:val="center"/>
            </w:pPr>
            <w:r>
              <w:rPr>
                <w:rFonts w:eastAsiaTheme="minorEastAsia"/>
                <w:color w:val="000000"/>
                <w:szCs w:val="21"/>
              </w:rPr>
              <w:t>TRITAX BIG BOX REIT PLC</w:t>
            </w:r>
          </w:p>
        </w:tc>
        <w:tc>
          <w:tcPr>
            <w:tcW w:w="2552" w:type="dxa"/>
            <w:vAlign w:val="center"/>
          </w:tcPr>
          <w:p w:rsidR="00C66C54" w:rsidRDefault="00C66C54" w:rsidP="00C66C54">
            <w:pPr>
              <w:jc w:val="center"/>
            </w:pPr>
            <w:r>
              <w:rPr>
                <w:rFonts w:eastAsiaTheme="minorEastAsia"/>
                <w:color w:val="000000"/>
                <w:szCs w:val="21"/>
              </w:rPr>
              <w:t>BBOX</w:t>
            </w:r>
          </w:p>
        </w:tc>
        <w:tc>
          <w:tcPr>
            <w:tcW w:w="2130" w:type="dxa"/>
            <w:vAlign w:val="center"/>
          </w:tcPr>
          <w:p w:rsidR="00C66C54" w:rsidRDefault="00C66C54" w:rsidP="00C66C54">
            <w:pPr>
              <w:jc w:val="center"/>
            </w:pPr>
            <w:r>
              <w:rPr>
                <w:rFonts w:eastAsiaTheme="minorEastAsia"/>
                <w:color w:val="000000"/>
                <w:szCs w:val="21"/>
              </w:rPr>
              <w:t>739,874.91</w:t>
            </w:r>
          </w:p>
        </w:tc>
        <w:tc>
          <w:tcPr>
            <w:tcW w:w="1650" w:type="dxa"/>
            <w:vAlign w:val="center"/>
          </w:tcPr>
          <w:p w:rsidR="00C66C54" w:rsidRDefault="00C66C54" w:rsidP="00C66C54">
            <w:pPr>
              <w:jc w:val="center"/>
            </w:pPr>
            <w:r>
              <w:rPr>
                <w:rFonts w:eastAsiaTheme="minorEastAsia"/>
                <w:color w:val="000000"/>
                <w:szCs w:val="21"/>
              </w:rPr>
              <w:t>0.39</w:t>
            </w:r>
          </w:p>
        </w:tc>
      </w:tr>
      <w:tr w:rsidR="00C66C54" w:rsidTr="00C66C54">
        <w:tc>
          <w:tcPr>
            <w:tcW w:w="555" w:type="dxa"/>
            <w:vAlign w:val="center"/>
          </w:tcPr>
          <w:p w:rsidR="00C66C54" w:rsidRDefault="00C66C54" w:rsidP="00C66C54">
            <w:pPr>
              <w:jc w:val="center"/>
            </w:pPr>
            <w:r>
              <w:rPr>
                <w:rFonts w:eastAsiaTheme="minorEastAsia"/>
                <w:color w:val="000000"/>
                <w:szCs w:val="21"/>
              </w:rPr>
              <w:t>12</w:t>
            </w:r>
          </w:p>
        </w:tc>
        <w:tc>
          <w:tcPr>
            <w:tcW w:w="2378" w:type="dxa"/>
            <w:vAlign w:val="center"/>
          </w:tcPr>
          <w:p w:rsidR="00C66C54" w:rsidRDefault="00C66C54" w:rsidP="00C66C54">
            <w:pPr>
              <w:jc w:val="center"/>
            </w:pPr>
            <w:r>
              <w:rPr>
                <w:rFonts w:eastAsiaTheme="minorEastAsia"/>
                <w:color w:val="000000"/>
                <w:szCs w:val="21"/>
              </w:rPr>
              <w:t>UNITE GROUP PLC</w:t>
            </w:r>
          </w:p>
        </w:tc>
        <w:tc>
          <w:tcPr>
            <w:tcW w:w="2552" w:type="dxa"/>
            <w:vAlign w:val="center"/>
          </w:tcPr>
          <w:p w:rsidR="00C66C54" w:rsidRDefault="00C66C54" w:rsidP="00C66C54">
            <w:pPr>
              <w:jc w:val="center"/>
            </w:pPr>
            <w:r>
              <w:rPr>
                <w:rFonts w:eastAsiaTheme="minorEastAsia"/>
                <w:color w:val="000000"/>
                <w:szCs w:val="21"/>
              </w:rPr>
              <w:t>UTG</w:t>
            </w:r>
          </w:p>
        </w:tc>
        <w:tc>
          <w:tcPr>
            <w:tcW w:w="2130" w:type="dxa"/>
            <w:vAlign w:val="center"/>
          </w:tcPr>
          <w:p w:rsidR="00C66C54" w:rsidRDefault="00C66C54" w:rsidP="00C66C54">
            <w:pPr>
              <w:jc w:val="center"/>
            </w:pPr>
            <w:r>
              <w:rPr>
                <w:rFonts w:eastAsiaTheme="minorEastAsia"/>
                <w:color w:val="000000"/>
                <w:szCs w:val="21"/>
              </w:rPr>
              <w:t>711,828.00</w:t>
            </w:r>
          </w:p>
        </w:tc>
        <w:tc>
          <w:tcPr>
            <w:tcW w:w="1650" w:type="dxa"/>
            <w:vAlign w:val="center"/>
          </w:tcPr>
          <w:p w:rsidR="00C66C54" w:rsidRDefault="00C66C54" w:rsidP="00C66C54">
            <w:pPr>
              <w:jc w:val="center"/>
            </w:pPr>
            <w:r>
              <w:rPr>
                <w:rFonts w:eastAsiaTheme="minorEastAsia"/>
                <w:color w:val="000000"/>
                <w:szCs w:val="21"/>
              </w:rPr>
              <w:t>0.38</w:t>
            </w:r>
          </w:p>
        </w:tc>
      </w:tr>
      <w:tr w:rsidR="00C66C54" w:rsidTr="00C66C54">
        <w:tc>
          <w:tcPr>
            <w:tcW w:w="555" w:type="dxa"/>
            <w:vAlign w:val="center"/>
          </w:tcPr>
          <w:p w:rsidR="00C66C54" w:rsidRDefault="00C66C54" w:rsidP="00C66C54">
            <w:pPr>
              <w:jc w:val="center"/>
            </w:pPr>
            <w:r>
              <w:rPr>
                <w:rFonts w:eastAsiaTheme="minorEastAsia"/>
                <w:color w:val="000000"/>
                <w:szCs w:val="21"/>
              </w:rPr>
              <w:t>13</w:t>
            </w:r>
          </w:p>
        </w:tc>
        <w:tc>
          <w:tcPr>
            <w:tcW w:w="2378" w:type="dxa"/>
            <w:vAlign w:val="center"/>
          </w:tcPr>
          <w:p w:rsidR="00C66C54" w:rsidRDefault="00C66C54" w:rsidP="00C66C54">
            <w:pPr>
              <w:jc w:val="center"/>
            </w:pPr>
            <w:r>
              <w:rPr>
                <w:rFonts w:eastAsiaTheme="minorEastAsia"/>
                <w:color w:val="000000"/>
                <w:szCs w:val="21"/>
              </w:rPr>
              <w:t>Public Storage Inc</w:t>
            </w:r>
          </w:p>
        </w:tc>
        <w:tc>
          <w:tcPr>
            <w:tcW w:w="2552" w:type="dxa"/>
            <w:vAlign w:val="center"/>
          </w:tcPr>
          <w:p w:rsidR="00C66C54" w:rsidRDefault="00C66C54" w:rsidP="00C66C54">
            <w:pPr>
              <w:jc w:val="center"/>
            </w:pPr>
            <w:r>
              <w:rPr>
                <w:rFonts w:eastAsiaTheme="minorEastAsia"/>
                <w:color w:val="000000"/>
                <w:szCs w:val="21"/>
              </w:rPr>
              <w:t>PSA</w:t>
            </w:r>
          </w:p>
        </w:tc>
        <w:tc>
          <w:tcPr>
            <w:tcW w:w="2130" w:type="dxa"/>
            <w:vAlign w:val="center"/>
          </w:tcPr>
          <w:p w:rsidR="00C66C54" w:rsidRDefault="00C66C54" w:rsidP="00C66C54">
            <w:pPr>
              <w:jc w:val="center"/>
            </w:pPr>
            <w:r>
              <w:rPr>
                <w:rFonts w:eastAsiaTheme="minorEastAsia"/>
                <w:color w:val="000000"/>
                <w:szCs w:val="21"/>
              </w:rPr>
              <w:t>644,544.63</w:t>
            </w:r>
          </w:p>
        </w:tc>
        <w:tc>
          <w:tcPr>
            <w:tcW w:w="1650" w:type="dxa"/>
            <w:vAlign w:val="center"/>
          </w:tcPr>
          <w:p w:rsidR="00C66C54" w:rsidRDefault="00C66C54" w:rsidP="00C66C54">
            <w:pPr>
              <w:jc w:val="center"/>
            </w:pPr>
            <w:r>
              <w:rPr>
                <w:rFonts w:eastAsiaTheme="minorEastAsia"/>
                <w:color w:val="000000"/>
                <w:szCs w:val="21"/>
              </w:rPr>
              <w:t>0.34</w:t>
            </w:r>
          </w:p>
        </w:tc>
      </w:tr>
      <w:tr w:rsidR="00C66C54" w:rsidTr="00C66C54">
        <w:tc>
          <w:tcPr>
            <w:tcW w:w="555" w:type="dxa"/>
            <w:vAlign w:val="center"/>
          </w:tcPr>
          <w:p w:rsidR="00C66C54" w:rsidRDefault="00C66C54" w:rsidP="00C66C54">
            <w:pPr>
              <w:jc w:val="center"/>
            </w:pPr>
            <w:r>
              <w:rPr>
                <w:rFonts w:eastAsiaTheme="minorEastAsia"/>
                <w:color w:val="000000"/>
                <w:szCs w:val="21"/>
              </w:rPr>
              <w:t>14</w:t>
            </w:r>
          </w:p>
        </w:tc>
        <w:tc>
          <w:tcPr>
            <w:tcW w:w="2378" w:type="dxa"/>
            <w:vAlign w:val="center"/>
          </w:tcPr>
          <w:p w:rsidR="00C66C54" w:rsidRDefault="00C66C54" w:rsidP="00C66C54">
            <w:pPr>
              <w:jc w:val="center"/>
            </w:pPr>
            <w:r>
              <w:rPr>
                <w:rFonts w:eastAsiaTheme="minorEastAsia"/>
                <w:color w:val="000000"/>
                <w:szCs w:val="21"/>
              </w:rPr>
              <w:t>Realty Income Corp</w:t>
            </w:r>
          </w:p>
        </w:tc>
        <w:tc>
          <w:tcPr>
            <w:tcW w:w="2552" w:type="dxa"/>
            <w:vAlign w:val="center"/>
          </w:tcPr>
          <w:p w:rsidR="00C66C54" w:rsidRDefault="00C66C54" w:rsidP="00C66C54">
            <w:pPr>
              <w:jc w:val="center"/>
            </w:pPr>
            <w:r>
              <w:rPr>
                <w:rFonts w:eastAsiaTheme="minorEastAsia"/>
                <w:color w:val="000000"/>
                <w:szCs w:val="21"/>
              </w:rPr>
              <w:t>O</w:t>
            </w:r>
          </w:p>
        </w:tc>
        <w:tc>
          <w:tcPr>
            <w:tcW w:w="2130" w:type="dxa"/>
            <w:vAlign w:val="center"/>
          </w:tcPr>
          <w:p w:rsidR="00C66C54" w:rsidRDefault="00C66C54" w:rsidP="00C66C54">
            <w:pPr>
              <w:jc w:val="center"/>
            </w:pPr>
            <w:r>
              <w:rPr>
                <w:rFonts w:eastAsiaTheme="minorEastAsia"/>
                <w:color w:val="000000"/>
                <w:szCs w:val="21"/>
              </w:rPr>
              <w:t>637,246.14</w:t>
            </w:r>
          </w:p>
        </w:tc>
        <w:tc>
          <w:tcPr>
            <w:tcW w:w="1650" w:type="dxa"/>
            <w:vAlign w:val="center"/>
          </w:tcPr>
          <w:p w:rsidR="00C66C54" w:rsidRDefault="00C66C54" w:rsidP="00C66C54">
            <w:pPr>
              <w:jc w:val="center"/>
            </w:pPr>
            <w:r>
              <w:rPr>
                <w:rFonts w:eastAsiaTheme="minorEastAsia"/>
                <w:color w:val="000000"/>
                <w:szCs w:val="21"/>
              </w:rPr>
              <w:t>0.34</w:t>
            </w:r>
          </w:p>
        </w:tc>
      </w:tr>
      <w:tr w:rsidR="00C66C54" w:rsidTr="00C66C54">
        <w:tc>
          <w:tcPr>
            <w:tcW w:w="555" w:type="dxa"/>
            <w:vAlign w:val="center"/>
          </w:tcPr>
          <w:p w:rsidR="00C66C54" w:rsidRDefault="00C66C54" w:rsidP="00C66C54">
            <w:pPr>
              <w:jc w:val="center"/>
            </w:pPr>
            <w:r>
              <w:rPr>
                <w:rFonts w:eastAsiaTheme="minorEastAsia"/>
                <w:color w:val="000000"/>
                <w:szCs w:val="21"/>
              </w:rPr>
              <w:t>15</w:t>
            </w:r>
          </w:p>
        </w:tc>
        <w:tc>
          <w:tcPr>
            <w:tcW w:w="2378" w:type="dxa"/>
            <w:vAlign w:val="center"/>
          </w:tcPr>
          <w:p w:rsidR="00C66C54" w:rsidRDefault="00C66C54" w:rsidP="00C66C54">
            <w:pPr>
              <w:jc w:val="center"/>
            </w:pPr>
            <w:r>
              <w:rPr>
                <w:rFonts w:eastAsiaTheme="minorEastAsia"/>
                <w:color w:val="000000"/>
                <w:szCs w:val="21"/>
              </w:rPr>
              <w:t>Equity Residential</w:t>
            </w:r>
          </w:p>
        </w:tc>
        <w:tc>
          <w:tcPr>
            <w:tcW w:w="2552" w:type="dxa"/>
            <w:vAlign w:val="center"/>
          </w:tcPr>
          <w:p w:rsidR="00C66C54" w:rsidRDefault="00C66C54" w:rsidP="00C66C54">
            <w:pPr>
              <w:jc w:val="center"/>
            </w:pPr>
            <w:r>
              <w:rPr>
                <w:rFonts w:eastAsiaTheme="minorEastAsia"/>
                <w:color w:val="000000"/>
                <w:szCs w:val="21"/>
              </w:rPr>
              <w:t>EQR</w:t>
            </w:r>
          </w:p>
        </w:tc>
        <w:tc>
          <w:tcPr>
            <w:tcW w:w="2130" w:type="dxa"/>
            <w:vAlign w:val="center"/>
          </w:tcPr>
          <w:p w:rsidR="00C66C54" w:rsidRDefault="00C66C54" w:rsidP="00C66C54">
            <w:pPr>
              <w:jc w:val="center"/>
            </w:pPr>
            <w:r>
              <w:rPr>
                <w:rFonts w:eastAsiaTheme="minorEastAsia"/>
                <w:color w:val="000000"/>
                <w:szCs w:val="21"/>
              </w:rPr>
              <w:t>533,343.58</w:t>
            </w:r>
          </w:p>
        </w:tc>
        <w:tc>
          <w:tcPr>
            <w:tcW w:w="1650" w:type="dxa"/>
            <w:vAlign w:val="center"/>
          </w:tcPr>
          <w:p w:rsidR="00C66C54" w:rsidRDefault="00C66C54" w:rsidP="00C66C54">
            <w:pPr>
              <w:jc w:val="center"/>
            </w:pPr>
            <w:r>
              <w:rPr>
                <w:rFonts w:eastAsiaTheme="minorEastAsia"/>
                <w:color w:val="000000"/>
                <w:szCs w:val="21"/>
              </w:rPr>
              <w:t>0.28</w:t>
            </w:r>
          </w:p>
        </w:tc>
      </w:tr>
      <w:tr w:rsidR="00C66C54" w:rsidTr="00C66C54">
        <w:tc>
          <w:tcPr>
            <w:tcW w:w="555" w:type="dxa"/>
            <w:vAlign w:val="center"/>
          </w:tcPr>
          <w:p w:rsidR="00C66C54" w:rsidRDefault="00C66C54" w:rsidP="00C66C54">
            <w:pPr>
              <w:jc w:val="center"/>
            </w:pPr>
            <w:r>
              <w:rPr>
                <w:rFonts w:eastAsiaTheme="minorEastAsia"/>
                <w:color w:val="000000"/>
                <w:szCs w:val="21"/>
              </w:rPr>
              <w:t>16</w:t>
            </w:r>
          </w:p>
        </w:tc>
        <w:tc>
          <w:tcPr>
            <w:tcW w:w="2378" w:type="dxa"/>
            <w:vAlign w:val="center"/>
          </w:tcPr>
          <w:p w:rsidR="00C66C54" w:rsidRDefault="00C66C54" w:rsidP="00C66C54">
            <w:pPr>
              <w:jc w:val="center"/>
            </w:pPr>
            <w:r>
              <w:rPr>
                <w:rFonts w:eastAsiaTheme="minorEastAsia"/>
                <w:color w:val="000000"/>
                <w:szCs w:val="21"/>
              </w:rPr>
              <w:t>Ventas Inc</w:t>
            </w:r>
          </w:p>
        </w:tc>
        <w:tc>
          <w:tcPr>
            <w:tcW w:w="2552" w:type="dxa"/>
            <w:vAlign w:val="center"/>
          </w:tcPr>
          <w:p w:rsidR="00C66C54" w:rsidRDefault="00C66C54" w:rsidP="00C66C54">
            <w:pPr>
              <w:jc w:val="center"/>
            </w:pPr>
            <w:r>
              <w:rPr>
                <w:rFonts w:eastAsiaTheme="minorEastAsia"/>
                <w:color w:val="000000"/>
                <w:szCs w:val="21"/>
              </w:rPr>
              <w:t>VTR</w:t>
            </w:r>
          </w:p>
        </w:tc>
        <w:tc>
          <w:tcPr>
            <w:tcW w:w="2130" w:type="dxa"/>
            <w:vAlign w:val="center"/>
          </w:tcPr>
          <w:p w:rsidR="00C66C54" w:rsidRDefault="00C66C54" w:rsidP="00C66C54">
            <w:pPr>
              <w:jc w:val="center"/>
            </w:pPr>
            <w:r>
              <w:rPr>
                <w:rFonts w:eastAsiaTheme="minorEastAsia"/>
                <w:color w:val="000000"/>
                <w:szCs w:val="21"/>
              </w:rPr>
              <w:t>467,111.96</w:t>
            </w:r>
          </w:p>
        </w:tc>
        <w:tc>
          <w:tcPr>
            <w:tcW w:w="1650" w:type="dxa"/>
            <w:vAlign w:val="center"/>
          </w:tcPr>
          <w:p w:rsidR="00C66C54" w:rsidRDefault="00C66C54" w:rsidP="00C66C54">
            <w:pPr>
              <w:jc w:val="center"/>
            </w:pPr>
            <w:r>
              <w:rPr>
                <w:rFonts w:eastAsiaTheme="minorEastAsia"/>
                <w:color w:val="000000"/>
                <w:szCs w:val="21"/>
              </w:rPr>
              <w:t>0.25</w:t>
            </w:r>
          </w:p>
        </w:tc>
      </w:tr>
      <w:tr w:rsidR="00C66C54" w:rsidTr="00C66C54">
        <w:tc>
          <w:tcPr>
            <w:tcW w:w="555" w:type="dxa"/>
            <w:vAlign w:val="center"/>
          </w:tcPr>
          <w:p w:rsidR="00C66C54" w:rsidRDefault="00C66C54" w:rsidP="00C66C54">
            <w:pPr>
              <w:jc w:val="center"/>
            </w:pPr>
            <w:r>
              <w:rPr>
                <w:rFonts w:eastAsiaTheme="minorEastAsia"/>
                <w:color w:val="000000"/>
                <w:szCs w:val="21"/>
              </w:rPr>
              <w:t>17</w:t>
            </w:r>
          </w:p>
        </w:tc>
        <w:tc>
          <w:tcPr>
            <w:tcW w:w="2378" w:type="dxa"/>
            <w:vAlign w:val="center"/>
          </w:tcPr>
          <w:p w:rsidR="00C66C54" w:rsidRDefault="00C66C54" w:rsidP="00C66C54">
            <w:pPr>
              <w:jc w:val="center"/>
            </w:pPr>
            <w:r>
              <w:rPr>
                <w:rFonts w:eastAsiaTheme="minorEastAsia"/>
                <w:color w:val="000000"/>
                <w:szCs w:val="21"/>
              </w:rPr>
              <w:t>LINK REIT</w:t>
            </w:r>
          </w:p>
        </w:tc>
        <w:tc>
          <w:tcPr>
            <w:tcW w:w="2552" w:type="dxa"/>
            <w:vAlign w:val="center"/>
          </w:tcPr>
          <w:p w:rsidR="00C66C54" w:rsidRDefault="00C66C54" w:rsidP="00C66C54">
            <w:pPr>
              <w:jc w:val="center"/>
            </w:pPr>
            <w:r>
              <w:rPr>
                <w:rFonts w:eastAsiaTheme="minorEastAsia"/>
                <w:color w:val="000000"/>
                <w:szCs w:val="21"/>
              </w:rPr>
              <w:t>823</w:t>
            </w:r>
          </w:p>
        </w:tc>
        <w:tc>
          <w:tcPr>
            <w:tcW w:w="2130" w:type="dxa"/>
            <w:vAlign w:val="center"/>
          </w:tcPr>
          <w:p w:rsidR="00C66C54" w:rsidRDefault="00C66C54" w:rsidP="00C66C54">
            <w:pPr>
              <w:jc w:val="center"/>
            </w:pPr>
            <w:r>
              <w:rPr>
                <w:rFonts w:eastAsiaTheme="minorEastAsia"/>
                <w:color w:val="000000"/>
                <w:szCs w:val="21"/>
              </w:rPr>
              <w:t>463,433.61</w:t>
            </w:r>
          </w:p>
        </w:tc>
        <w:tc>
          <w:tcPr>
            <w:tcW w:w="1650" w:type="dxa"/>
            <w:vAlign w:val="center"/>
          </w:tcPr>
          <w:p w:rsidR="00C66C54" w:rsidRDefault="00C66C54" w:rsidP="00C66C54">
            <w:pPr>
              <w:jc w:val="center"/>
            </w:pPr>
            <w:r>
              <w:rPr>
                <w:rFonts w:eastAsiaTheme="minorEastAsia"/>
                <w:color w:val="000000"/>
                <w:szCs w:val="21"/>
              </w:rPr>
              <w:t>0.24</w:t>
            </w:r>
          </w:p>
        </w:tc>
      </w:tr>
      <w:tr w:rsidR="00C66C54" w:rsidTr="00C66C54">
        <w:tc>
          <w:tcPr>
            <w:tcW w:w="555" w:type="dxa"/>
            <w:vAlign w:val="center"/>
          </w:tcPr>
          <w:p w:rsidR="00C66C54" w:rsidRDefault="00C66C54" w:rsidP="00C66C54">
            <w:pPr>
              <w:jc w:val="center"/>
            </w:pPr>
            <w:r>
              <w:rPr>
                <w:rFonts w:eastAsiaTheme="minorEastAsia"/>
                <w:color w:val="000000"/>
                <w:szCs w:val="21"/>
              </w:rPr>
              <w:t>18</w:t>
            </w:r>
          </w:p>
        </w:tc>
        <w:tc>
          <w:tcPr>
            <w:tcW w:w="2378" w:type="dxa"/>
            <w:vAlign w:val="center"/>
          </w:tcPr>
          <w:p w:rsidR="00C66C54" w:rsidRDefault="00C66C54" w:rsidP="00C66C54">
            <w:pPr>
              <w:jc w:val="center"/>
            </w:pPr>
            <w:r>
              <w:rPr>
                <w:rFonts w:eastAsiaTheme="minorEastAsia"/>
                <w:color w:val="000000"/>
                <w:szCs w:val="21"/>
              </w:rPr>
              <w:t>HOST HOTELS &amp; RESORTS INC</w:t>
            </w:r>
          </w:p>
        </w:tc>
        <w:tc>
          <w:tcPr>
            <w:tcW w:w="2552" w:type="dxa"/>
            <w:vAlign w:val="center"/>
          </w:tcPr>
          <w:p w:rsidR="00C66C54" w:rsidRDefault="00C66C54" w:rsidP="00C66C54">
            <w:pPr>
              <w:jc w:val="center"/>
            </w:pPr>
            <w:r>
              <w:rPr>
                <w:rFonts w:eastAsiaTheme="minorEastAsia"/>
                <w:color w:val="000000"/>
                <w:szCs w:val="21"/>
              </w:rPr>
              <w:t>HST</w:t>
            </w:r>
          </w:p>
        </w:tc>
        <w:tc>
          <w:tcPr>
            <w:tcW w:w="2130" w:type="dxa"/>
            <w:vAlign w:val="center"/>
          </w:tcPr>
          <w:p w:rsidR="00C66C54" w:rsidRDefault="00C66C54" w:rsidP="00C66C54">
            <w:pPr>
              <w:jc w:val="center"/>
            </w:pPr>
            <w:r>
              <w:rPr>
                <w:rFonts w:eastAsiaTheme="minorEastAsia"/>
                <w:color w:val="000000"/>
                <w:szCs w:val="21"/>
              </w:rPr>
              <w:t>460,985.64</w:t>
            </w:r>
          </w:p>
        </w:tc>
        <w:tc>
          <w:tcPr>
            <w:tcW w:w="1650" w:type="dxa"/>
            <w:vAlign w:val="center"/>
          </w:tcPr>
          <w:p w:rsidR="00C66C54" w:rsidRDefault="00C66C54" w:rsidP="00C66C54">
            <w:pPr>
              <w:jc w:val="center"/>
            </w:pPr>
            <w:r>
              <w:rPr>
                <w:rFonts w:eastAsiaTheme="minorEastAsia"/>
                <w:color w:val="000000"/>
                <w:szCs w:val="21"/>
              </w:rPr>
              <w:t>0.24</w:t>
            </w:r>
          </w:p>
        </w:tc>
      </w:tr>
      <w:tr w:rsidR="00C66C54" w:rsidTr="00C66C54">
        <w:tc>
          <w:tcPr>
            <w:tcW w:w="555" w:type="dxa"/>
            <w:vAlign w:val="center"/>
          </w:tcPr>
          <w:p w:rsidR="00C66C54" w:rsidRDefault="00C66C54" w:rsidP="00C66C54">
            <w:pPr>
              <w:jc w:val="center"/>
            </w:pPr>
            <w:r>
              <w:rPr>
                <w:rFonts w:eastAsiaTheme="minorEastAsia"/>
                <w:color w:val="000000"/>
                <w:szCs w:val="21"/>
              </w:rPr>
              <w:t>19</w:t>
            </w:r>
          </w:p>
        </w:tc>
        <w:tc>
          <w:tcPr>
            <w:tcW w:w="2378" w:type="dxa"/>
            <w:vAlign w:val="center"/>
          </w:tcPr>
          <w:p w:rsidR="00C66C54" w:rsidRDefault="00C66C54" w:rsidP="00C66C54">
            <w:pPr>
              <w:jc w:val="center"/>
            </w:pPr>
            <w:r>
              <w:rPr>
                <w:rFonts w:eastAsiaTheme="minorEastAsia"/>
                <w:color w:val="000000"/>
                <w:szCs w:val="21"/>
              </w:rPr>
              <w:t>BOSTON PROPERTIES INC</w:t>
            </w:r>
          </w:p>
        </w:tc>
        <w:tc>
          <w:tcPr>
            <w:tcW w:w="2552" w:type="dxa"/>
            <w:vAlign w:val="center"/>
          </w:tcPr>
          <w:p w:rsidR="00C66C54" w:rsidRDefault="00C66C54" w:rsidP="00C66C54">
            <w:pPr>
              <w:jc w:val="center"/>
            </w:pPr>
            <w:r>
              <w:rPr>
                <w:rFonts w:eastAsiaTheme="minorEastAsia"/>
                <w:color w:val="000000"/>
                <w:szCs w:val="21"/>
              </w:rPr>
              <w:t>BXP</w:t>
            </w:r>
          </w:p>
        </w:tc>
        <w:tc>
          <w:tcPr>
            <w:tcW w:w="2130" w:type="dxa"/>
            <w:vAlign w:val="center"/>
          </w:tcPr>
          <w:p w:rsidR="00C66C54" w:rsidRDefault="00C66C54" w:rsidP="00C66C54">
            <w:pPr>
              <w:jc w:val="center"/>
            </w:pPr>
            <w:r>
              <w:rPr>
                <w:rFonts w:eastAsiaTheme="minorEastAsia"/>
                <w:color w:val="000000"/>
                <w:szCs w:val="21"/>
              </w:rPr>
              <w:t>441,277.03</w:t>
            </w:r>
          </w:p>
        </w:tc>
        <w:tc>
          <w:tcPr>
            <w:tcW w:w="1650" w:type="dxa"/>
            <w:vAlign w:val="center"/>
          </w:tcPr>
          <w:p w:rsidR="00C66C54" w:rsidRDefault="00C66C54" w:rsidP="00C66C54">
            <w:pPr>
              <w:jc w:val="center"/>
            </w:pPr>
            <w:r>
              <w:rPr>
                <w:rFonts w:eastAsiaTheme="minorEastAsia"/>
                <w:color w:val="000000"/>
                <w:szCs w:val="21"/>
              </w:rPr>
              <w:t>0.23</w:t>
            </w:r>
          </w:p>
        </w:tc>
      </w:tr>
      <w:tr w:rsidR="00C66C54" w:rsidTr="00C66C54">
        <w:tc>
          <w:tcPr>
            <w:tcW w:w="555" w:type="dxa"/>
            <w:vAlign w:val="center"/>
          </w:tcPr>
          <w:p w:rsidR="00C66C54" w:rsidRDefault="00C66C54" w:rsidP="00C66C54">
            <w:pPr>
              <w:jc w:val="center"/>
            </w:pPr>
            <w:r>
              <w:rPr>
                <w:rFonts w:eastAsiaTheme="minorEastAsia"/>
                <w:color w:val="000000"/>
                <w:szCs w:val="21"/>
              </w:rPr>
              <w:t>20</w:t>
            </w:r>
          </w:p>
        </w:tc>
        <w:tc>
          <w:tcPr>
            <w:tcW w:w="2378" w:type="dxa"/>
            <w:vAlign w:val="center"/>
          </w:tcPr>
          <w:p w:rsidR="00C66C54" w:rsidRDefault="00C66C54" w:rsidP="00C66C54">
            <w:pPr>
              <w:jc w:val="center"/>
            </w:pPr>
            <w:r>
              <w:rPr>
                <w:rFonts w:eastAsiaTheme="minorEastAsia"/>
                <w:color w:val="000000"/>
                <w:szCs w:val="21"/>
              </w:rPr>
              <w:t>Avalonbay Communities Inc</w:t>
            </w:r>
          </w:p>
        </w:tc>
        <w:tc>
          <w:tcPr>
            <w:tcW w:w="2552" w:type="dxa"/>
            <w:vAlign w:val="center"/>
          </w:tcPr>
          <w:p w:rsidR="00C66C54" w:rsidRDefault="00C66C54" w:rsidP="00C66C54">
            <w:pPr>
              <w:jc w:val="center"/>
            </w:pPr>
            <w:r>
              <w:rPr>
                <w:rFonts w:eastAsiaTheme="minorEastAsia"/>
                <w:color w:val="000000"/>
                <w:szCs w:val="21"/>
              </w:rPr>
              <w:t>AVB</w:t>
            </w:r>
          </w:p>
        </w:tc>
        <w:tc>
          <w:tcPr>
            <w:tcW w:w="2130" w:type="dxa"/>
            <w:vAlign w:val="center"/>
          </w:tcPr>
          <w:p w:rsidR="00C66C54" w:rsidRDefault="00C66C54" w:rsidP="00C66C54">
            <w:pPr>
              <w:jc w:val="center"/>
            </w:pPr>
            <w:r>
              <w:rPr>
                <w:rFonts w:eastAsiaTheme="minorEastAsia"/>
                <w:color w:val="000000"/>
                <w:szCs w:val="21"/>
              </w:rPr>
              <w:t>422,299.50</w:t>
            </w:r>
          </w:p>
        </w:tc>
        <w:tc>
          <w:tcPr>
            <w:tcW w:w="1650" w:type="dxa"/>
            <w:vAlign w:val="center"/>
          </w:tcPr>
          <w:p w:rsidR="00C66C54" w:rsidRDefault="00C66C54" w:rsidP="00C66C54">
            <w:pPr>
              <w:jc w:val="center"/>
            </w:pPr>
            <w:r>
              <w:rPr>
                <w:rFonts w:eastAsiaTheme="minorEastAsia"/>
                <w:color w:val="000000"/>
                <w:szCs w:val="21"/>
              </w:rPr>
              <w:t>0.22</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7.5.2</w:t>
      </w:r>
      <w:r w:rsidRPr="0098332C">
        <w:rPr>
          <w:rFonts w:eastAsiaTheme="minorEastAsia"/>
          <w:b/>
          <w:color w:val="000000"/>
          <w:kern w:val="0"/>
          <w:szCs w:val="21"/>
        </w:rPr>
        <w:t>累计卖出金额超出</w:t>
      </w:r>
      <w:r w:rsidR="00B7546A"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8A5A5D" w:rsidRPr="0098332C" w:rsidTr="00C66C54">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4583"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100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147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本期累计卖出金额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C66C54" w:rsidTr="00C66C54">
        <w:tc>
          <w:tcPr>
            <w:tcW w:w="555" w:type="dxa"/>
            <w:vAlign w:val="center"/>
          </w:tcPr>
          <w:p w:rsidR="00C66C54" w:rsidRDefault="00C66C54" w:rsidP="00C66C54">
            <w:pPr>
              <w:jc w:val="center"/>
            </w:pPr>
            <w:r>
              <w:rPr>
                <w:rFonts w:eastAsiaTheme="minorEastAsia"/>
                <w:color w:val="000000"/>
                <w:szCs w:val="21"/>
              </w:rPr>
              <w:t>1</w:t>
            </w:r>
          </w:p>
        </w:tc>
        <w:tc>
          <w:tcPr>
            <w:tcW w:w="4583" w:type="dxa"/>
            <w:vAlign w:val="center"/>
          </w:tcPr>
          <w:p w:rsidR="00C66C54" w:rsidRDefault="00C66C54" w:rsidP="00C66C54">
            <w:pPr>
              <w:jc w:val="center"/>
            </w:pPr>
            <w:r>
              <w:rPr>
                <w:rFonts w:eastAsiaTheme="minorEastAsia"/>
                <w:color w:val="000000"/>
                <w:szCs w:val="21"/>
              </w:rPr>
              <w:t>UNIBAIL GROUP STAPLED</w:t>
            </w:r>
          </w:p>
        </w:tc>
        <w:tc>
          <w:tcPr>
            <w:tcW w:w="1007" w:type="dxa"/>
            <w:vAlign w:val="center"/>
          </w:tcPr>
          <w:p w:rsidR="00C66C54" w:rsidRDefault="00C66C54" w:rsidP="00C66C54">
            <w:pPr>
              <w:jc w:val="center"/>
            </w:pPr>
            <w:r>
              <w:rPr>
                <w:rFonts w:eastAsiaTheme="minorEastAsia"/>
                <w:color w:val="000000"/>
                <w:szCs w:val="21"/>
              </w:rPr>
              <w:t>SPG</w:t>
            </w:r>
          </w:p>
        </w:tc>
        <w:tc>
          <w:tcPr>
            <w:tcW w:w="1470" w:type="dxa"/>
            <w:vAlign w:val="center"/>
          </w:tcPr>
          <w:p w:rsidR="00C66C54" w:rsidRDefault="00C66C54" w:rsidP="00C66C54">
            <w:pPr>
              <w:jc w:val="center"/>
            </w:pPr>
            <w:r>
              <w:rPr>
                <w:rFonts w:eastAsiaTheme="minorEastAsia"/>
                <w:color w:val="000000"/>
                <w:szCs w:val="21"/>
              </w:rPr>
              <w:t>3,991,642.82</w:t>
            </w:r>
          </w:p>
        </w:tc>
        <w:tc>
          <w:tcPr>
            <w:tcW w:w="1650" w:type="dxa"/>
            <w:vAlign w:val="center"/>
          </w:tcPr>
          <w:p w:rsidR="00C66C54" w:rsidRDefault="00C66C54" w:rsidP="00C66C54">
            <w:pPr>
              <w:jc w:val="center"/>
            </w:pPr>
            <w:r>
              <w:rPr>
                <w:rFonts w:eastAsiaTheme="minorEastAsia"/>
                <w:color w:val="000000"/>
                <w:szCs w:val="21"/>
              </w:rPr>
              <w:t>2.11</w:t>
            </w:r>
          </w:p>
        </w:tc>
      </w:tr>
      <w:tr w:rsidR="00C66C54" w:rsidTr="00C66C54">
        <w:tc>
          <w:tcPr>
            <w:tcW w:w="555" w:type="dxa"/>
            <w:vAlign w:val="center"/>
          </w:tcPr>
          <w:p w:rsidR="00C66C54" w:rsidRDefault="00C66C54" w:rsidP="00C66C54">
            <w:pPr>
              <w:jc w:val="center"/>
            </w:pPr>
            <w:r>
              <w:rPr>
                <w:rFonts w:eastAsiaTheme="minorEastAsia"/>
                <w:color w:val="000000"/>
                <w:szCs w:val="21"/>
              </w:rPr>
              <w:t>2</w:t>
            </w:r>
          </w:p>
        </w:tc>
        <w:tc>
          <w:tcPr>
            <w:tcW w:w="4583" w:type="dxa"/>
            <w:vAlign w:val="center"/>
          </w:tcPr>
          <w:p w:rsidR="00C66C54" w:rsidRDefault="00C66C54" w:rsidP="00C66C54">
            <w:pPr>
              <w:jc w:val="center"/>
            </w:pPr>
            <w:r>
              <w:rPr>
                <w:rFonts w:eastAsiaTheme="minorEastAsia"/>
                <w:color w:val="000000"/>
                <w:szCs w:val="21"/>
              </w:rPr>
              <w:t>Simon Property Group Inc</w:t>
            </w:r>
          </w:p>
        </w:tc>
        <w:tc>
          <w:tcPr>
            <w:tcW w:w="1007" w:type="dxa"/>
            <w:vAlign w:val="center"/>
          </w:tcPr>
          <w:p w:rsidR="00C66C54" w:rsidRDefault="00C66C54" w:rsidP="00C66C54">
            <w:pPr>
              <w:jc w:val="center"/>
            </w:pPr>
            <w:r>
              <w:rPr>
                <w:rFonts w:eastAsiaTheme="minorEastAsia"/>
                <w:color w:val="000000"/>
                <w:szCs w:val="21"/>
              </w:rPr>
              <w:t>PLD</w:t>
            </w:r>
          </w:p>
        </w:tc>
        <w:tc>
          <w:tcPr>
            <w:tcW w:w="1470" w:type="dxa"/>
            <w:vAlign w:val="center"/>
          </w:tcPr>
          <w:p w:rsidR="00C66C54" w:rsidRDefault="00C66C54" w:rsidP="00C66C54">
            <w:pPr>
              <w:jc w:val="center"/>
            </w:pPr>
            <w:r>
              <w:rPr>
                <w:rFonts w:eastAsiaTheme="minorEastAsia"/>
                <w:color w:val="000000"/>
                <w:szCs w:val="21"/>
              </w:rPr>
              <w:t>3,264,289.85</w:t>
            </w:r>
          </w:p>
        </w:tc>
        <w:tc>
          <w:tcPr>
            <w:tcW w:w="1650" w:type="dxa"/>
            <w:vAlign w:val="center"/>
          </w:tcPr>
          <w:p w:rsidR="00C66C54" w:rsidRDefault="00C66C54" w:rsidP="00C66C54">
            <w:pPr>
              <w:jc w:val="center"/>
            </w:pPr>
            <w:r>
              <w:rPr>
                <w:rFonts w:eastAsiaTheme="minorEastAsia"/>
                <w:color w:val="000000"/>
                <w:szCs w:val="21"/>
              </w:rPr>
              <w:t>1.72</w:t>
            </w:r>
          </w:p>
        </w:tc>
      </w:tr>
      <w:tr w:rsidR="00C66C54" w:rsidTr="00C66C54">
        <w:tc>
          <w:tcPr>
            <w:tcW w:w="555" w:type="dxa"/>
            <w:vAlign w:val="center"/>
          </w:tcPr>
          <w:p w:rsidR="00C66C54" w:rsidRDefault="00C66C54" w:rsidP="00C66C54">
            <w:pPr>
              <w:jc w:val="center"/>
            </w:pPr>
            <w:r>
              <w:rPr>
                <w:rFonts w:eastAsiaTheme="minorEastAsia"/>
                <w:color w:val="000000"/>
                <w:szCs w:val="21"/>
              </w:rPr>
              <w:t>3</w:t>
            </w:r>
          </w:p>
        </w:tc>
        <w:tc>
          <w:tcPr>
            <w:tcW w:w="4583" w:type="dxa"/>
            <w:vAlign w:val="center"/>
          </w:tcPr>
          <w:p w:rsidR="00C66C54" w:rsidRDefault="00C66C54" w:rsidP="00C66C54">
            <w:pPr>
              <w:jc w:val="center"/>
            </w:pPr>
            <w:r>
              <w:rPr>
                <w:rFonts w:eastAsiaTheme="minorEastAsia"/>
                <w:color w:val="000000"/>
                <w:szCs w:val="21"/>
              </w:rPr>
              <w:t>Avalonbay Communities Inc</w:t>
            </w:r>
          </w:p>
        </w:tc>
        <w:tc>
          <w:tcPr>
            <w:tcW w:w="1007" w:type="dxa"/>
            <w:vAlign w:val="center"/>
          </w:tcPr>
          <w:p w:rsidR="00C66C54" w:rsidRDefault="00C66C54" w:rsidP="00C66C54">
            <w:pPr>
              <w:jc w:val="center"/>
            </w:pPr>
            <w:r>
              <w:rPr>
                <w:rFonts w:eastAsiaTheme="minorEastAsia"/>
                <w:color w:val="000000"/>
                <w:szCs w:val="21"/>
              </w:rPr>
              <w:t>PSA</w:t>
            </w:r>
          </w:p>
        </w:tc>
        <w:tc>
          <w:tcPr>
            <w:tcW w:w="1470" w:type="dxa"/>
            <w:vAlign w:val="center"/>
          </w:tcPr>
          <w:p w:rsidR="00C66C54" w:rsidRDefault="00C66C54" w:rsidP="00C66C54">
            <w:pPr>
              <w:jc w:val="center"/>
            </w:pPr>
            <w:r>
              <w:rPr>
                <w:rFonts w:eastAsiaTheme="minorEastAsia"/>
                <w:color w:val="000000"/>
                <w:szCs w:val="21"/>
              </w:rPr>
              <w:t>2,400,251.72</w:t>
            </w:r>
          </w:p>
        </w:tc>
        <w:tc>
          <w:tcPr>
            <w:tcW w:w="1650" w:type="dxa"/>
            <w:vAlign w:val="center"/>
          </w:tcPr>
          <w:p w:rsidR="00C66C54" w:rsidRDefault="00C66C54" w:rsidP="00C66C54">
            <w:pPr>
              <w:jc w:val="center"/>
            </w:pPr>
            <w:r>
              <w:rPr>
                <w:rFonts w:eastAsiaTheme="minorEastAsia"/>
                <w:color w:val="000000"/>
                <w:szCs w:val="21"/>
              </w:rPr>
              <w:t>1.27</w:t>
            </w:r>
          </w:p>
        </w:tc>
      </w:tr>
      <w:tr w:rsidR="00C66C54" w:rsidTr="00C66C54">
        <w:tc>
          <w:tcPr>
            <w:tcW w:w="555" w:type="dxa"/>
            <w:vAlign w:val="center"/>
          </w:tcPr>
          <w:p w:rsidR="00C66C54" w:rsidRDefault="00C66C54" w:rsidP="00C66C54">
            <w:pPr>
              <w:jc w:val="center"/>
            </w:pPr>
            <w:r>
              <w:rPr>
                <w:rFonts w:eastAsiaTheme="minorEastAsia"/>
                <w:color w:val="000000"/>
                <w:szCs w:val="21"/>
              </w:rPr>
              <w:t>4</w:t>
            </w:r>
          </w:p>
        </w:tc>
        <w:tc>
          <w:tcPr>
            <w:tcW w:w="4583" w:type="dxa"/>
            <w:vAlign w:val="center"/>
          </w:tcPr>
          <w:p w:rsidR="00C66C54" w:rsidRDefault="00C66C54" w:rsidP="00C66C54">
            <w:pPr>
              <w:jc w:val="center"/>
            </w:pPr>
            <w:r>
              <w:rPr>
                <w:rFonts w:eastAsiaTheme="minorEastAsia"/>
                <w:color w:val="000000"/>
                <w:szCs w:val="21"/>
              </w:rPr>
              <w:t>Prologis Inc</w:t>
            </w:r>
          </w:p>
        </w:tc>
        <w:tc>
          <w:tcPr>
            <w:tcW w:w="1007" w:type="dxa"/>
            <w:vAlign w:val="center"/>
          </w:tcPr>
          <w:p w:rsidR="00C66C54" w:rsidRDefault="00C66C54" w:rsidP="00C66C54">
            <w:pPr>
              <w:jc w:val="center"/>
            </w:pPr>
            <w:r>
              <w:rPr>
                <w:rFonts w:eastAsiaTheme="minorEastAsia"/>
                <w:color w:val="000000"/>
                <w:szCs w:val="21"/>
              </w:rPr>
              <w:t>URW</w:t>
            </w:r>
          </w:p>
        </w:tc>
        <w:tc>
          <w:tcPr>
            <w:tcW w:w="1470" w:type="dxa"/>
            <w:vAlign w:val="center"/>
          </w:tcPr>
          <w:p w:rsidR="00C66C54" w:rsidRDefault="00C66C54" w:rsidP="00C66C54">
            <w:pPr>
              <w:jc w:val="center"/>
            </w:pPr>
            <w:r>
              <w:rPr>
                <w:rFonts w:eastAsiaTheme="minorEastAsia"/>
                <w:color w:val="000000"/>
                <w:szCs w:val="21"/>
              </w:rPr>
              <w:t>2,116,245.55</w:t>
            </w:r>
          </w:p>
        </w:tc>
        <w:tc>
          <w:tcPr>
            <w:tcW w:w="1650" w:type="dxa"/>
            <w:vAlign w:val="center"/>
          </w:tcPr>
          <w:p w:rsidR="00C66C54" w:rsidRDefault="00C66C54" w:rsidP="00C66C54">
            <w:pPr>
              <w:jc w:val="center"/>
            </w:pPr>
            <w:r>
              <w:rPr>
                <w:rFonts w:eastAsiaTheme="minorEastAsia"/>
                <w:color w:val="000000"/>
                <w:szCs w:val="21"/>
              </w:rPr>
              <w:t>1.12</w:t>
            </w:r>
          </w:p>
        </w:tc>
      </w:tr>
      <w:tr w:rsidR="00C66C54" w:rsidTr="00C66C54">
        <w:tc>
          <w:tcPr>
            <w:tcW w:w="555" w:type="dxa"/>
            <w:vAlign w:val="center"/>
          </w:tcPr>
          <w:p w:rsidR="00C66C54" w:rsidRDefault="00C66C54" w:rsidP="00C66C54">
            <w:pPr>
              <w:jc w:val="center"/>
            </w:pPr>
            <w:r>
              <w:rPr>
                <w:rFonts w:eastAsiaTheme="minorEastAsia"/>
                <w:color w:val="000000"/>
                <w:szCs w:val="21"/>
              </w:rPr>
              <w:t>5</w:t>
            </w:r>
          </w:p>
        </w:tc>
        <w:tc>
          <w:tcPr>
            <w:tcW w:w="4583" w:type="dxa"/>
            <w:vAlign w:val="center"/>
          </w:tcPr>
          <w:p w:rsidR="00C66C54" w:rsidRDefault="00C66C54" w:rsidP="00C66C54">
            <w:pPr>
              <w:jc w:val="center"/>
            </w:pPr>
            <w:r>
              <w:rPr>
                <w:rFonts w:eastAsiaTheme="minorEastAsia"/>
                <w:color w:val="000000"/>
                <w:szCs w:val="21"/>
              </w:rPr>
              <w:t>Public Storage Inc</w:t>
            </w:r>
          </w:p>
        </w:tc>
        <w:tc>
          <w:tcPr>
            <w:tcW w:w="1007" w:type="dxa"/>
            <w:vAlign w:val="center"/>
          </w:tcPr>
          <w:p w:rsidR="00C66C54" w:rsidRDefault="00C66C54" w:rsidP="00C66C54">
            <w:pPr>
              <w:jc w:val="center"/>
            </w:pPr>
            <w:r>
              <w:rPr>
                <w:rFonts w:eastAsiaTheme="minorEastAsia"/>
                <w:color w:val="000000"/>
                <w:szCs w:val="21"/>
              </w:rPr>
              <w:t>WELL</w:t>
            </w:r>
          </w:p>
        </w:tc>
        <w:tc>
          <w:tcPr>
            <w:tcW w:w="1470" w:type="dxa"/>
            <w:vAlign w:val="center"/>
          </w:tcPr>
          <w:p w:rsidR="00C66C54" w:rsidRDefault="00C66C54" w:rsidP="00C66C54">
            <w:pPr>
              <w:jc w:val="center"/>
            </w:pPr>
            <w:r>
              <w:rPr>
                <w:rFonts w:eastAsiaTheme="minorEastAsia"/>
                <w:color w:val="000000"/>
                <w:szCs w:val="21"/>
              </w:rPr>
              <w:t>2,036,567.35</w:t>
            </w:r>
          </w:p>
        </w:tc>
        <w:tc>
          <w:tcPr>
            <w:tcW w:w="1650" w:type="dxa"/>
            <w:vAlign w:val="center"/>
          </w:tcPr>
          <w:p w:rsidR="00C66C54" w:rsidRDefault="00C66C54" w:rsidP="00C66C54">
            <w:pPr>
              <w:jc w:val="center"/>
            </w:pPr>
            <w:r>
              <w:rPr>
                <w:rFonts w:eastAsiaTheme="minorEastAsia"/>
                <w:color w:val="000000"/>
                <w:szCs w:val="21"/>
              </w:rPr>
              <w:t>1.07</w:t>
            </w:r>
          </w:p>
        </w:tc>
      </w:tr>
      <w:tr w:rsidR="00C66C54" w:rsidTr="00C66C54">
        <w:tc>
          <w:tcPr>
            <w:tcW w:w="555" w:type="dxa"/>
            <w:vAlign w:val="center"/>
          </w:tcPr>
          <w:p w:rsidR="00C66C54" w:rsidRDefault="00C66C54" w:rsidP="00C66C54">
            <w:pPr>
              <w:jc w:val="center"/>
            </w:pPr>
            <w:r>
              <w:rPr>
                <w:rFonts w:eastAsiaTheme="minorEastAsia"/>
                <w:color w:val="000000"/>
                <w:szCs w:val="21"/>
              </w:rPr>
              <w:t>6</w:t>
            </w:r>
          </w:p>
        </w:tc>
        <w:tc>
          <w:tcPr>
            <w:tcW w:w="4583" w:type="dxa"/>
            <w:vAlign w:val="center"/>
          </w:tcPr>
          <w:p w:rsidR="00C66C54" w:rsidRDefault="00C66C54" w:rsidP="00C66C54">
            <w:pPr>
              <w:jc w:val="center"/>
            </w:pPr>
            <w:r>
              <w:rPr>
                <w:rFonts w:eastAsiaTheme="minorEastAsia"/>
                <w:color w:val="000000"/>
                <w:szCs w:val="21"/>
              </w:rPr>
              <w:t>Welltower Inc</w:t>
            </w:r>
          </w:p>
        </w:tc>
        <w:tc>
          <w:tcPr>
            <w:tcW w:w="1007" w:type="dxa"/>
            <w:vAlign w:val="center"/>
          </w:tcPr>
          <w:p w:rsidR="00C66C54" w:rsidRDefault="00C66C54" w:rsidP="00C66C54">
            <w:pPr>
              <w:jc w:val="center"/>
            </w:pPr>
            <w:r>
              <w:rPr>
                <w:rFonts w:eastAsiaTheme="minorEastAsia"/>
                <w:color w:val="000000"/>
                <w:szCs w:val="21"/>
              </w:rPr>
              <w:t>AVB</w:t>
            </w:r>
          </w:p>
        </w:tc>
        <w:tc>
          <w:tcPr>
            <w:tcW w:w="1470" w:type="dxa"/>
            <w:vAlign w:val="center"/>
          </w:tcPr>
          <w:p w:rsidR="00C66C54" w:rsidRDefault="00C66C54" w:rsidP="00C66C54">
            <w:pPr>
              <w:jc w:val="center"/>
            </w:pPr>
            <w:r>
              <w:rPr>
                <w:rFonts w:eastAsiaTheme="minorEastAsia"/>
                <w:color w:val="000000"/>
                <w:szCs w:val="21"/>
              </w:rPr>
              <w:t>1,961,751.32</w:t>
            </w:r>
          </w:p>
        </w:tc>
        <w:tc>
          <w:tcPr>
            <w:tcW w:w="1650" w:type="dxa"/>
            <w:vAlign w:val="center"/>
          </w:tcPr>
          <w:p w:rsidR="00C66C54" w:rsidRDefault="00C66C54" w:rsidP="00C66C54">
            <w:pPr>
              <w:jc w:val="center"/>
            </w:pPr>
            <w:r>
              <w:rPr>
                <w:rFonts w:eastAsiaTheme="minorEastAsia"/>
                <w:color w:val="000000"/>
                <w:szCs w:val="21"/>
              </w:rPr>
              <w:t>1.04</w:t>
            </w:r>
          </w:p>
        </w:tc>
      </w:tr>
      <w:tr w:rsidR="00C66C54" w:rsidTr="00C66C54">
        <w:tc>
          <w:tcPr>
            <w:tcW w:w="555" w:type="dxa"/>
            <w:vAlign w:val="center"/>
          </w:tcPr>
          <w:p w:rsidR="00C66C54" w:rsidRDefault="00C66C54" w:rsidP="00C66C54">
            <w:pPr>
              <w:jc w:val="center"/>
            </w:pPr>
            <w:r>
              <w:rPr>
                <w:rFonts w:eastAsiaTheme="minorEastAsia"/>
                <w:color w:val="000000"/>
                <w:szCs w:val="21"/>
              </w:rPr>
              <w:t>7</w:t>
            </w:r>
          </w:p>
        </w:tc>
        <w:tc>
          <w:tcPr>
            <w:tcW w:w="4583" w:type="dxa"/>
            <w:vAlign w:val="center"/>
          </w:tcPr>
          <w:p w:rsidR="00C66C54" w:rsidRDefault="00C66C54" w:rsidP="00C66C54">
            <w:pPr>
              <w:jc w:val="center"/>
            </w:pPr>
            <w:r>
              <w:rPr>
                <w:rFonts w:eastAsiaTheme="minorEastAsia"/>
                <w:color w:val="000000"/>
                <w:szCs w:val="21"/>
              </w:rPr>
              <w:t>Equity Residential</w:t>
            </w:r>
          </w:p>
        </w:tc>
        <w:tc>
          <w:tcPr>
            <w:tcW w:w="1007" w:type="dxa"/>
            <w:vAlign w:val="center"/>
          </w:tcPr>
          <w:p w:rsidR="00C66C54" w:rsidRDefault="00C66C54" w:rsidP="00C66C54">
            <w:pPr>
              <w:jc w:val="center"/>
            </w:pPr>
            <w:r>
              <w:rPr>
                <w:rFonts w:eastAsiaTheme="minorEastAsia"/>
                <w:color w:val="000000"/>
                <w:szCs w:val="21"/>
              </w:rPr>
              <w:t>EQR</w:t>
            </w:r>
          </w:p>
        </w:tc>
        <w:tc>
          <w:tcPr>
            <w:tcW w:w="1470" w:type="dxa"/>
            <w:vAlign w:val="center"/>
          </w:tcPr>
          <w:p w:rsidR="00C66C54" w:rsidRDefault="00C66C54" w:rsidP="00C66C54">
            <w:pPr>
              <w:jc w:val="center"/>
            </w:pPr>
            <w:r>
              <w:rPr>
                <w:rFonts w:eastAsiaTheme="minorEastAsia"/>
                <w:color w:val="000000"/>
                <w:szCs w:val="21"/>
              </w:rPr>
              <w:t>1,914,289.34</w:t>
            </w:r>
          </w:p>
        </w:tc>
        <w:tc>
          <w:tcPr>
            <w:tcW w:w="1650" w:type="dxa"/>
            <w:vAlign w:val="center"/>
          </w:tcPr>
          <w:p w:rsidR="00C66C54" w:rsidRDefault="00C66C54" w:rsidP="00C66C54">
            <w:pPr>
              <w:jc w:val="center"/>
            </w:pPr>
            <w:r>
              <w:rPr>
                <w:rFonts w:eastAsiaTheme="minorEastAsia"/>
                <w:color w:val="000000"/>
                <w:szCs w:val="21"/>
              </w:rPr>
              <w:t>1.01</w:t>
            </w:r>
          </w:p>
        </w:tc>
      </w:tr>
      <w:tr w:rsidR="00C66C54" w:rsidTr="00C66C54">
        <w:tc>
          <w:tcPr>
            <w:tcW w:w="555" w:type="dxa"/>
            <w:vAlign w:val="center"/>
          </w:tcPr>
          <w:p w:rsidR="00C66C54" w:rsidRDefault="00C66C54" w:rsidP="00C66C54">
            <w:pPr>
              <w:jc w:val="center"/>
            </w:pPr>
            <w:r>
              <w:rPr>
                <w:rFonts w:eastAsiaTheme="minorEastAsia"/>
                <w:color w:val="000000"/>
                <w:szCs w:val="21"/>
              </w:rPr>
              <w:t>8</w:t>
            </w:r>
          </w:p>
        </w:tc>
        <w:tc>
          <w:tcPr>
            <w:tcW w:w="4583" w:type="dxa"/>
            <w:vAlign w:val="center"/>
          </w:tcPr>
          <w:p w:rsidR="00C66C54" w:rsidRDefault="00C66C54" w:rsidP="00C66C54">
            <w:pPr>
              <w:jc w:val="center"/>
            </w:pPr>
            <w:r>
              <w:rPr>
                <w:rFonts w:eastAsiaTheme="minorEastAsia"/>
                <w:color w:val="000000"/>
                <w:szCs w:val="21"/>
              </w:rPr>
              <w:t>Digital Realty Trust Inc</w:t>
            </w:r>
          </w:p>
        </w:tc>
        <w:tc>
          <w:tcPr>
            <w:tcW w:w="1007" w:type="dxa"/>
            <w:vAlign w:val="center"/>
          </w:tcPr>
          <w:p w:rsidR="00C66C54" w:rsidRDefault="00C66C54" w:rsidP="00C66C54">
            <w:pPr>
              <w:jc w:val="center"/>
            </w:pPr>
            <w:r>
              <w:rPr>
                <w:rFonts w:eastAsiaTheme="minorEastAsia"/>
                <w:color w:val="000000"/>
                <w:szCs w:val="21"/>
              </w:rPr>
              <w:t>823</w:t>
            </w:r>
          </w:p>
        </w:tc>
        <w:tc>
          <w:tcPr>
            <w:tcW w:w="1470" w:type="dxa"/>
            <w:vAlign w:val="center"/>
          </w:tcPr>
          <w:p w:rsidR="00C66C54" w:rsidRDefault="00C66C54" w:rsidP="00C66C54">
            <w:pPr>
              <w:jc w:val="center"/>
            </w:pPr>
            <w:r>
              <w:rPr>
                <w:rFonts w:eastAsiaTheme="minorEastAsia"/>
                <w:color w:val="000000"/>
                <w:szCs w:val="21"/>
              </w:rPr>
              <w:t>1,906,324.76</w:t>
            </w:r>
          </w:p>
        </w:tc>
        <w:tc>
          <w:tcPr>
            <w:tcW w:w="1650" w:type="dxa"/>
            <w:vAlign w:val="center"/>
          </w:tcPr>
          <w:p w:rsidR="00C66C54" w:rsidRDefault="00C66C54" w:rsidP="00C66C54">
            <w:pPr>
              <w:jc w:val="center"/>
            </w:pPr>
            <w:r>
              <w:rPr>
                <w:rFonts w:eastAsiaTheme="minorEastAsia"/>
                <w:color w:val="000000"/>
                <w:szCs w:val="21"/>
              </w:rPr>
              <w:t>1.01</w:t>
            </w:r>
          </w:p>
        </w:tc>
      </w:tr>
      <w:tr w:rsidR="00C66C54" w:rsidTr="00C66C54">
        <w:tc>
          <w:tcPr>
            <w:tcW w:w="555" w:type="dxa"/>
            <w:vAlign w:val="center"/>
          </w:tcPr>
          <w:p w:rsidR="00C66C54" w:rsidRDefault="00C66C54" w:rsidP="00C66C54">
            <w:pPr>
              <w:jc w:val="center"/>
            </w:pPr>
            <w:r>
              <w:rPr>
                <w:rFonts w:eastAsiaTheme="minorEastAsia"/>
                <w:color w:val="000000"/>
                <w:szCs w:val="21"/>
              </w:rPr>
              <w:t>9</w:t>
            </w:r>
          </w:p>
        </w:tc>
        <w:tc>
          <w:tcPr>
            <w:tcW w:w="4583" w:type="dxa"/>
            <w:vAlign w:val="center"/>
          </w:tcPr>
          <w:p w:rsidR="00C66C54" w:rsidRDefault="00C66C54" w:rsidP="00C66C54">
            <w:pPr>
              <w:jc w:val="center"/>
            </w:pPr>
            <w:r>
              <w:rPr>
                <w:rFonts w:eastAsiaTheme="minorEastAsia"/>
                <w:color w:val="000000"/>
                <w:szCs w:val="21"/>
              </w:rPr>
              <w:t>Ventas Inc</w:t>
            </w:r>
          </w:p>
        </w:tc>
        <w:tc>
          <w:tcPr>
            <w:tcW w:w="1007" w:type="dxa"/>
            <w:vAlign w:val="center"/>
          </w:tcPr>
          <w:p w:rsidR="00C66C54" w:rsidRDefault="00C66C54" w:rsidP="00C66C54">
            <w:pPr>
              <w:jc w:val="center"/>
            </w:pPr>
            <w:r>
              <w:rPr>
                <w:rFonts w:eastAsiaTheme="minorEastAsia"/>
                <w:color w:val="000000"/>
                <w:szCs w:val="21"/>
              </w:rPr>
              <w:t>DLR</w:t>
            </w:r>
          </w:p>
        </w:tc>
        <w:tc>
          <w:tcPr>
            <w:tcW w:w="1470" w:type="dxa"/>
            <w:vAlign w:val="center"/>
          </w:tcPr>
          <w:p w:rsidR="00C66C54" w:rsidRDefault="00C66C54" w:rsidP="00C66C54">
            <w:pPr>
              <w:jc w:val="center"/>
            </w:pPr>
            <w:r>
              <w:rPr>
                <w:rFonts w:eastAsiaTheme="minorEastAsia"/>
                <w:color w:val="000000"/>
                <w:szCs w:val="21"/>
              </w:rPr>
              <w:t>1,748,561.05</w:t>
            </w:r>
          </w:p>
        </w:tc>
        <w:tc>
          <w:tcPr>
            <w:tcW w:w="1650" w:type="dxa"/>
            <w:vAlign w:val="center"/>
          </w:tcPr>
          <w:p w:rsidR="00C66C54" w:rsidRDefault="00C66C54" w:rsidP="00C66C54">
            <w:pPr>
              <w:jc w:val="center"/>
            </w:pPr>
            <w:r>
              <w:rPr>
                <w:rFonts w:eastAsiaTheme="minorEastAsia"/>
                <w:color w:val="000000"/>
                <w:szCs w:val="21"/>
              </w:rPr>
              <w:t>0.92</w:t>
            </w:r>
          </w:p>
        </w:tc>
      </w:tr>
      <w:tr w:rsidR="00C66C54" w:rsidTr="00C66C54">
        <w:tc>
          <w:tcPr>
            <w:tcW w:w="555" w:type="dxa"/>
            <w:vAlign w:val="center"/>
          </w:tcPr>
          <w:p w:rsidR="00C66C54" w:rsidRDefault="00C66C54" w:rsidP="00C66C54">
            <w:pPr>
              <w:jc w:val="center"/>
            </w:pPr>
            <w:r>
              <w:rPr>
                <w:rFonts w:eastAsiaTheme="minorEastAsia"/>
                <w:color w:val="000000"/>
                <w:szCs w:val="21"/>
              </w:rPr>
              <w:t>10</w:t>
            </w:r>
          </w:p>
        </w:tc>
        <w:tc>
          <w:tcPr>
            <w:tcW w:w="4583" w:type="dxa"/>
            <w:vAlign w:val="center"/>
          </w:tcPr>
          <w:p w:rsidR="00C66C54" w:rsidRDefault="00C66C54" w:rsidP="00C66C54">
            <w:pPr>
              <w:jc w:val="center"/>
            </w:pPr>
            <w:r>
              <w:rPr>
                <w:rFonts w:eastAsiaTheme="minorEastAsia"/>
                <w:color w:val="000000"/>
                <w:szCs w:val="21"/>
              </w:rPr>
              <w:t>LINK REIT</w:t>
            </w:r>
          </w:p>
        </w:tc>
        <w:tc>
          <w:tcPr>
            <w:tcW w:w="1007" w:type="dxa"/>
            <w:vAlign w:val="center"/>
          </w:tcPr>
          <w:p w:rsidR="00C66C54" w:rsidRDefault="00C66C54" w:rsidP="00C66C54">
            <w:pPr>
              <w:jc w:val="center"/>
            </w:pPr>
            <w:r>
              <w:rPr>
                <w:rFonts w:eastAsiaTheme="minorEastAsia"/>
                <w:color w:val="000000"/>
                <w:szCs w:val="21"/>
              </w:rPr>
              <w:t>VTR</w:t>
            </w:r>
          </w:p>
        </w:tc>
        <w:tc>
          <w:tcPr>
            <w:tcW w:w="1470" w:type="dxa"/>
            <w:vAlign w:val="center"/>
          </w:tcPr>
          <w:p w:rsidR="00C66C54" w:rsidRDefault="00C66C54" w:rsidP="00C66C54">
            <w:pPr>
              <w:jc w:val="center"/>
            </w:pPr>
            <w:r>
              <w:rPr>
                <w:rFonts w:eastAsiaTheme="minorEastAsia"/>
                <w:color w:val="000000"/>
                <w:szCs w:val="21"/>
              </w:rPr>
              <w:t>1,698,747.81</w:t>
            </w:r>
          </w:p>
        </w:tc>
        <w:tc>
          <w:tcPr>
            <w:tcW w:w="1650" w:type="dxa"/>
            <w:vAlign w:val="center"/>
          </w:tcPr>
          <w:p w:rsidR="00C66C54" w:rsidRDefault="00C66C54" w:rsidP="00C66C54">
            <w:pPr>
              <w:jc w:val="center"/>
            </w:pPr>
            <w:r>
              <w:rPr>
                <w:rFonts w:eastAsiaTheme="minorEastAsia"/>
                <w:color w:val="000000"/>
                <w:szCs w:val="21"/>
              </w:rPr>
              <w:t>0.90</w:t>
            </w:r>
          </w:p>
        </w:tc>
      </w:tr>
      <w:tr w:rsidR="00C66C54" w:rsidTr="00C66C54">
        <w:tc>
          <w:tcPr>
            <w:tcW w:w="555" w:type="dxa"/>
            <w:vAlign w:val="center"/>
          </w:tcPr>
          <w:p w:rsidR="00C66C54" w:rsidRDefault="00C66C54" w:rsidP="00C66C54">
            <w:pPr>
              <w:jc w:val="center"/>
            </w:pPr>
            <w:r>
              <w:rPr>
                <w:rFonts w:eastAsiaTheme="minorEastAsia"/>
                <w:color w:val="000000"/>
                <w:szCs w:val="21"/>
              </w:rPr>
              <w:t>11</w:t>
            </w:r>
          </w:p>
        </w:tc>
        <w:tc>
          <w:tcPr>
            <w:tcW w:w="4583" w:type="dxa"/>
            <w:vAlign w:val="center"/>
          </w:tcPr>
          <w:p w:rsidR="00C66C54" w:rsidRDefault="00C66C54" w:rsidP="00C66C54">
            <w:pPr>
              <w:jc w:val="center"/>
            </w:pPr>
            <w:r>
              <w:rPr>
                <w:rFonts w:eastAsiaTheme="minorEastAsia"/>
                <w:color w:val="000000"/>
                <w:szCs w:val="21"/>
              </w:rPr>
              <w:t>Healthcare Trust of America Inc Class</w:t>
            </w:r>
          </w:p>
        </w:tc>
        <w:tc>
          <w:tcPr>
            <w:tcW w:w="1007" w:type="dxa"/>
            <w:vAlign w:val="center"/>
          </w:tcPr>
          <w:p w:rsidR="00C66C54" w:rsidRDefault="00C66C54" w:rsidP="00C66C54">
            <w:pPr>
              <w:jc w:val="center"/>
            </w:pPr>
            <w:r>
              <w:rPr>
                <w:rFonts w:eastAsiaTheme="minorEastAsia"/>
                <w:color w:val="000000"/>
                <w:szCs w:val="21"/>
              </w:rPr>
              <w:t>HTA</w:t>
            </w:r>
          </w:p>
        </w:tc>
        <w:tc>
          <w:tcPr>
            <w:tcW w:w="1470" w:type="dxa"/>
            <w:vAlign w:val="center"/>
          </w:tcPr>
          <w:p w:rsidR="00C66C54" w:rsidRDefault="00C66C54" w:rsidP="00C66C54">
            <w:pPr>
              <w:jc w:val="center"/>
            </w:pPr>
            <w:r>
              <w:rPr>
                <w:rFonts w:eastAsiaTheme="minorEastAsia"/>
                <w:color w:val="000000"/>
                <w:szCs w:val="21"/>
              </w:rPr>
              <w:t>1,571,056.52</w:t>
            </w:r>
          </w:p>
        </w:tc>
        <w:tc>
          <w:tcPr>
            <w:tcW w:w="1650" w:type="dxa"/>
            <w:vAlign w:val="center"/>
          </w:tcPr>
          <w:p w:rsidR="00C66C54" w:rsidRDefault="00C66C54" w:rsidP="00C66C54">
            <w:pPr>
              <w:jc w:val="center"/>
            </w:pPr>
            <w:r>
              <w:rPr>
                <w:rFonts w:eastAsiaTheme="minorEastAsia"/>
                <w:color w:val="000000"/>
                <w:szCs w:val="21"/>
              </w:rPr>
              <w:t>0.83</w:t>
            </w:r>
          </w:p>
        </w:tc>
      </w:tr>
      <w:tr w:rsidR="00C66C54" w:rsidTr="00C66C54">
        <w:tc>
          <w:tcPr>
            <w:tcW w:w="555" w:type="dxa"/>
            <w:vAlign w:val="center"/>
          </w:tcPr>
          <w:p w:rsidR="00C66C54" w:rsidRDefault="00C66C54" w:rsidP="00C66C54">
            <w:pPr>
              <w:jc w:val="center"/>
            </w:pPr>
            <w:r>
              <w:rPr>
                <w:rFonts w:eastAsiaTheme="minorEastAsia"/>
                <w:color w:val="000000"/>
                <w:szCs w:val="21"/>
              </w:rPr>
              <w:t>12</w:t>
            </w:r>
          </w:p>
        </w:tc>
        <w:tc>
          <w:tcPr>
            <w:tcW w:w="4583" w:type="dxa"/>
            <w:vAlign w:val="center"/>
          </w:tcPr>
          <w:p w:rsidR="00C66C54" w:rsidRDefault="00C66C54" w:rsidP="00C66C54">
            <w:pPr>
              <w:jc w:val="center"/>
            </w:pPr>
            <w:r>
              <w:rPr>
                <w:rFonts w:eastAsiaTheme="minorEastAsia"/>
                <w:color w:val="000000"/>
                <w:szCs w:val="21"/>
              </w:rPr>
              <w:t>AMH</w:t>
            </w:r>
          </w:p>
        </w:tc>
        <w:tc>
          <w:tcPr>
            <w:tcW w:w="1007" w:type="dxa"/>
            <w:vAlign w:val="center"/>
          </w:tcPr>
          <w:p w:rsidR="00C66C54" w:rsidRDefault="00C66C54" w:rsidP="00C66C54">
            <w:pPr>
              <w:jc w:val="center"/>
            </w:pPr>
            <w:r>
              <w:rPr>
                <w:rFonts w:eastAsiaTheme="minorEastAsia"/>
                <w:color w:val="000000"/>
                <w:szCs w:val="21"/>
              </w:rPr>
              <w:t>AMH</w:t>
            </w:r>
          </w:p>
        </w:tc>
        <w:tc>
          <w:tcPr>
            <w:tcW w:w="1470" w:type="dxa"/>
            <w:vAlign w:val="center"/>
          </w:tcPr>
          <w:p w:rsidR="00C66C54" w:rsidRDefault="00C66C54" w:rsidP="00C66C54">
            <w:pPr>
              <w:jc w:val="center"/>
            </w:pPr>
            <w:r>
              <w:rPr>
                <w:rFonts w:eastAsiaTheme="minorEastAsia"/>
                <w:color w:val="000000"/>
                <w:szCs w:val="21"/>
              </w:rPr>
              <w:t>1,551,558.99</w:t>
            </w:r>
          </w:p>
        </w:tc>
        <w:tc>
          <w:tcPr>
            <w:tcW w:w="1650" w:type="dxa"/>
            <w:vAlign w:val="center"/>
          </w:tcPr>
          <w:p w:rsidR="00C66C54" w:rsidRDefault="00C66C54" w:rsidP="00C66C54">
            <w:pPr>
              <w:jc w:val="center"/>
            </w:pPr>
            <w:r>
              <w:rPr>
                <w:rFonts w:eastAsiaTheme="minorEastAsia"/>
                <w:color w:val="000000"/>
                <w:szCs w:val="21"/>
              </w:rPr>
              <w:t>0.82</w:t>
            </w:r>
          </w:p>
        </w:tc>
      </w:tr>
      <w:tr w:rsidR="00C66C54" w:rsidTr="00C66C54">
        <w:tc>
          <w:tcPr>
            <w:tcW w:w="555" w:type="dxa"/>
            <w:vAlign w:val="center"/>
          </w:tcPr>
          <w:p w:rsidR="00C66C54" w:rsidRDefault="00C66C54" w:rsidP="00C66C54">
            <w:pPr>
              <w:jc w:val="center"/>
            </w:pPr>
            <w:r>
              <w:rPr>
                <w:rFonts w:eastAsiaTheme="minorEastAsia"/>
                <w:color w:val="000000"/>
                <w:szCs w:val="21"/>
              </w:rPr>
              <w:t>13</w:t>
            </w:r>
          </w:p>
        </w:tc>
        <w:tc>
          <w:tcPr>
            <w:tcW w:w="4583" w:type="dxa"/>
            <w:vAlign w:val="center"/>
          </w:tcPr>
          <w:p w:rsidR="00C66C54" w:rsidRDefault="00C66C54" w:rsidP="00C66C54">
            <w:pPr>
              <w:jc w:val="center"/>
            </w:pPr>
            <w:r>
              <w:rPr>
                <w:rFonts w:eastAsiaTheme="minorEastAsia"/>
                <w:color w:val="000000"/>
                <w:szCs w:val="21"/>
              </w:rPr>
              <w:t>CUBE</w:t>
            </w:r>
          </w:p>
        </w:tc>
        <w:tc>
          <w:tcPr>
            <w:tcW w:w="1007" w:type="dxa"/>
            <w:vAlign w:val="center"/>
          </w:tcPr>
          <w:p w:rsidR="00C66C54" w:rsidRDefault="00C66C54" w:rsidP="00C66C54">
            <w:pPr>
              <w:jc w:val="center"/>
            </w:pPr>
            <w:r>
              <w:rPr>
                <w:rFonts w:eastAsiaTheme="minorEastAsia"/>
                <w:color w:val="000000"/>
                <w:szCs w:val="21"/>
              </w:rPr>
              <w:t>CUBE</w:t>
            </w:r>
          </w:p>
        </w:tc>
        <w:tc>
          <w:tcPr>
            <w:tcW w:w="1470" w:type="dxa"/>
            <w:vAlign w:val="center"/>
          </w:tcPr>
          <w:p w:rsidR="00C66C54" w:rsidRDefault="00C66C54" w:rsidP="00C66C54">
            <w:pPr>
              <w:jc w:val="center"/>
            </w:pPr>
            <w:r>
              <w:rPr>
                <w:rFonts w:eastAsiaTheme="minorEastAsia"/>
                <w:color w:val="000000"/>
                <w:szCs w:val="21"/>
              </w:rPr>
              <w:t>1,522,736.63</w:t>
            </w:r>
          </w:p>
        </w:tc>
        <w:tc>
          <w:tcPr>
            <w:tcW w:w="1650" w:type="dxa"/>
            <w:vAlign w:val="center"/>
          </w:tcPr>
          <w:p w:rsidR="00C66C54" w:rsidRDefault="00C66C54" w:rsidP="00C66C54">
            <w:pPr>
              <w:jc w:val="center"/>
            </w:pPr>
            <w:r>
              <w:rPr>
                <w:rFonts w:eastAsiaTheme="minorEastAsia"/>
                <w:color w:val="000000"/>
                <w:szCs w:val="21"/>
              </w:rPr>
              <w:t>0.80</w:t>
            </w:r>
          </w:p>
        </w:tc>
      </w:tr>
      <w:tr w:rsidR="00C66C54" w:rsidTr="00C66C54">
        <w:tc>
          <w:tcPr>
            <w:tcW w:w="555" w:type="dxa"/>
            <w:vAlign w:val="center"/>
          </w:tcPr>
          <w:p w:rsidR="00C66C54" w:rsidRDefault="00C66C54" w:rsidP="00C66C54">
            <w:pPr>
              <w:jc w:val="center"/>
            </w:pPr>
            <w:r>
              <w:rPr>
                <w:rFonts w:eastAsiaTheme="minorEastAsia"/>
                <w:color w:val="000000"/>
                <w:szCs w:val="21"/>
              </w:rPr>
              <w:t>14</w:t>
            </w:r>
          </w:p>
        </w:tc>
        <w:tc>
          <w:tcPr>
            <w:tcW w:w="4583" w:type="dxa"/>
            <w:vAlign w:val="center"/>
          </w:tcPr>
          <w:p w:rsidR="00C66C54" w:rsidRDefault="00C66C54" w:rsidP="00C66C54">
            <w:pPr>
              <w:jc w:val="center"/>
            </w:pPr>
            <w:r>
              <w:rPr>
                <w:rFonts w:eastAsiaTheme="minorEastAsia"/>
                <w:color w:val="000000"/>
                <w:szCs w:val="21"/>
              </w:rPr>
              <w:t>BOSTON PROPERTIES INC</w:t>
            </w:r>
          </w:p>
        </w:tc>
        <w:tc>
          <w:tcPr>
            <w:tcW w:w="1007" w:type="dxa"/>
            <w:vAlign w:val="center"/>
          </w:tcPr>
          <w:p w:rsidR="00C66C54" w:rsidRDefault="00C66C54" w:rsidP="00C66C54">
            <w:pPr>
              <w:jc w:val="center"/>
            </w:pPr>
            <w:r>
              <w:rPr>
                <w:rFonts w:eastAsiaTheme="minorEastAsia"/>
                <w:color w:val="000000"/>
                <w:szCs w:val="21"/>
              </w:rPr>
              <w:t>BXP</w:t>
            </w:r>
          </w:p>
        </w:tc>
        <w:tc>
          <w:tcPr>
            <w:tcW w:w="1470" w:type="dxa"/>
            <w:vAlign w:val="center"/>
          </w:tcPr>
          <w:p w:rsidR="00C66C54" w:rsidRDefault="00C66C54" w:rsidP="00C66C54">
            <w:pPr>
              <w:jc w:val="center"/>
            </w:pPr>
            <w:r>
              <w:rPr>
                <w:rFonts w:eastAsiaTheme="minorEastAsia"/>
                <w:color w:val="000000"/>
                <w:szCs w:val="21"/>
              </w:rPr>
              <w:t>1,514,404.05</w:t>
            </w:r>
          </w:p>
        </w:tc>
        <w:tc>
          <w:tcPr>
            <w:tcW w:w="1650" w:type="dxa"/>
            <w:vAlign w:val="center"/>
          </w:tcPr>
          <w:p w:rsidR="00C66C54" w:rsidRDefault="00C66C54" w:rsidP="00C66C54">
            <w:pPr>
              <w:jc w:val="center"/>
            </w:pPr>
            <w:r>
              <w:rPr>
                <w:rFonts w:eastAsiaTheme="minorEastAsia"/>
                <w:color w:val="000000"/>
                <w:szCs w:val="21"/>
              </w:rPr>
              <w:t>0.80</w:t>
            </w:r>
          </w:p>
        </w:tc>
      </w:tr>
      <w:tr w:rsidR="00C66C54" w:rsidTr="00C66C54">
        <w:tc>
          <w:tcPr>
            <w:tcW w:w="555" w:type="dxa"/>
            <w:vAlign w:val="center"/>
          </w:tcPr>
          <w:p w:rsidR="00C66C54" w:rsidRDefault="00C66C54" w:rsidP="00C66C54">
            <w:pPr>
              <w:jc w:val="center"/>
            </w:pPr>
            <w:r>
              <w:rPr>
                <w:rFonts w:eastAsiaTheme="minorEastAsia"/>
                <w:color w:val="000000"/>
                <w:szCs w:val="21"/>
              </w:rPr>
              <w:t>15</w:t>
            </w:r>
          </w:p>
        </w:tc>
        <w:tc>
          <w:tcPr>
            <w:tcW w:w="4583" w:type="dxa"/>
            <w:vAlign w:val="center"/>
          </w:tcPr>
          <w:p w:rsidR="00C66C54" w:rsidRDefault="00C66C54" w:rsidP="00C66C54">
            <w:pPr>
              <w:jc w:val="center"/>
            </w:pPr>
            <w:r>
              <w:rPr>
                <w:rFonts w:eastAsiaTheme="minorEastAsia"/>
                <w:color w:val="000000"/>
                <w:szCs w:val="21"/>
              </w:rPr>
              <w:t>Realty Income Corp</w:t>
            </w:r>
          </w:p>
        </w:tc>
        <w:tc>
          <w:tcPr>
            <w:tcW w:w="1007" w:type="dxa"/>
            <w:vAlign w:val="center"/>
          </w:tcPr>
          <w:p w:rsidR="00C66C54" w:rsidRDefault="00C66C54" w:rsidP="00C66C54">
            <w:pPr>
              <w:jc w:val="center"/>
            </w:pPr>
            <w:r>
              <w:rPr>
                <w:rFonts w:eastAsiaTheme="minorEastAsia"/>
                <w:color w:val="000000"/>
                <w:szCs w:val="21"/>
              </w:rPr>
              <w:t>O</w:t>
            </w:r>
          </w:p>
        </w:tc>
        <w:tc>
          <w:tcPr>
            <w:tcW w:w="1470" w:type="dxa"/>
            <w:vAlign w:val="center"/>
          </w:tcPr>
          <w:p w:rsidR="00C66C54" w:rsidRDefault="00C66C54" w:rsidP="00C66C54">
            <w:pPr>
              <w:jc w:val="center"/>
            </w:pPr>
            <w:r>
              <w:rPr>
                <w:rFonts w:eastAsiaTheme="minorEastAsia"/>
                <w:color w:val="000000"/>
                <w:szCs w:val="21"/>
              </w:rPr>
              <w:t>1,457,809.79</w:t>
            </w:r>
          </w:p>
        </w:tc>
        <w:tc>
          <w:tcPr>
            <w:tcW w:w="1650" w:type="dxa"/>
            <w:vAlign w:val="center"/>
          </w:tcPr>
          <w:p w:rsidR="00C66C54" w:rsidRDefault="00C66C54" w:rsidP="00C66C54">
            <w:pPr>
              <w:jc w:val="center"/>
            </w:pPr>
            <w:r>
              <w:rPr>
                <w:rFonts w:eastAsiaTheme="minorEastAsia"/>
                <w:color w:val="000000"/>
                <w:szCs w:val="21"/>
              </w:rPr>
              <w:t>0.77</w:t>
            </w:r>
          </w:p>
        </w:tc>
      </w:tr>
      <w:tr w:rsidR="00C66C54" w:rsidTr="00C66C54">
        <w:tc>
          <w:tcPr>
            <w:tcW w:w="555" w:type="dxa"/>
            <w:vAlign w:val="center"/>
          </w:tcPr>
          <w:p w:rsidR="00C66C54" w:rsidRDefault="00C66C54" w:rsidP="00C66C54">
            <w:pPr>
              <w:jc w:val="center"/>
            </w:pPr>
            <w:r>
              <w:rPr>
                <w:rFonts w:eastAsiaTheme="minorEastAsia"/>
                <w:color w:val="000000"/>
                <w:szCs w:val="21"/>
              </w:rPr>
              <w:t>16</w:t>
            </w:r>
          </w:p>
        </w:tc>
        <w:tc>
          <w:tcPr>
            <w:tcW w:w="4583" w:type="dxa"/>
            <w:vAlign w:val="center"/>
          </w:tcPr>
          <w:p w:rsidR="00C66C54" w:rsidRDefault="00C66C54" w:rsidP="00C66C54">
            <w:pPr>
              <w:jc w:val="center"/>
            </w:pPr>
            <w:r>
              <w:rPr>
                <w:rFonts w:eastAsiaTheme="minorEastAsia"/>
                <w:color w:val="000000"/>
                <w:szCs w:val="21"/>
              </w:rPr>
              <w:t>Brixmor Property Group Inc</w:t>
            </w:r>
          </w:p>
        </w:tc>
        <w:tc>
          <w:tcPr>
            <w:tcW w:w="1007" w:type="dxa"/>
            <w:vAlign w:val="center"/>
          </w:tcPr>
          <w:p w:rsidR="00C66C54" w:rsidRDefault="00C66C54" w:rsidP="00C66C54">
            <w:pPr>
              <w:jc w:val="center"/>
            </w:pPr>
            <w:r>
              <w:rPr>
                <w:rFonts w:eastAsiaTheme="minorEastAsia"/>
                <w:color w:val="000000"/>
                <w:szCs w:val="21"/>
              </w:rPr>
              <w:t>BRX</w:t>
            </w:r>
          </w:p>
        </w:tc>
        <w:tc>
          <w:tcPr>
            <w:tcW w:w="1470" w:type="dxa"/>
            <w:vAlign w:val="center"/>
          </w:tcPr>
          <w:p w:rsidR="00C66C54" w:rsidRDefault="00C66C54" w:rsidP="00C66C54">
            <w:pPr>
              <w:jc w:val="center"/>
            </w:pPr>
            <w:r>
              <w:rPr>
                <w:rFonts w:eastAsiaTheme="minorEastAsia"/>
                <w:color w:val="000000"/>
                <w:szCs w:val="21"/>
              </w:rPr>
              <w:t>1,400,069.88</w:t>
            </w:r>
          </w:p>
        </w:tc>
        <w:tc>
          <w:tcPr>
            <w:tcW w:w="1650" w:type="dxa"/>
            <w:vAlign w:val="center"/>
          </w:tcPr>
          <w:p w:rsidR="00C66C54" w:rsidRDefault="00C66C54" w:rsidP="00C66C54">
            <w:pPr>
              <w:jc w:val="center"/>
            </w:pPr>
            <w:r>
              <w:rPr>
                <w:rFonts w:eastAsiaTheme="minorEastAsia"/>
                <w:color w:val="000000"/>
                <w:szCs w:val="21"/>
              </w:rPr>
              <w:t>0.74</w:t>
            </w:r>
          </w:p>
        </w:tc>
      </w:tr>
      <w:tr w:rsidR="00C66C54" w:rsidTr="00C66C54">
        <w:tc>
          <w:tcPr>
            <w:tcW w:w="555" w:type="dxa"/>
            <w:vAlign w:val="center"/>
          </w:tcPr>
          <w:p w:rsidR="00C66C54" w:rsidRDefault="00C66C54" w:rsidP="00C66C54">
            <w:pPr>
              <w:jc w:val="center"/>
            </w:pPr>
            <w:r>
              <w:rPr>
                <w:rFonts w:eastAsiaTheme="minorEastAsia"/>
                <w:color w:val="000000"/>
                <w:szCs w:val="21"/>
              </w:rPr>
              <w:t>17</w:t>
            </w:r>
          </w:p>
        </w:tc>
        <w:tc>
          <w:tcPr>
            <w:tcW w:w="4583" w:type="dxa"/>
            <w:vAlign w:val="center"/>
          </w:tcPr>
          <w:p w:rsidR="00C66C54" w:rsidRDefault="00C66C54" w:rsidP="00C66C54">
            <w:pPr>
              <w:jc w:val="center"/>
            </w:pPr>
            <w:r>
              <w:rPr>
                <w:rFonts w:eastAsiaTheme="minorEastAsia"/>
                <w:color w:val="000000"/>
                <w:szCs w:val="21"/>
              </w:rPr>
              <w:t>ESSEX PROPERTY TRUST INC</w:t>
            </w:r>
          </w:p>
        </w:tc>
        <w:tc>
          <w:tcPr>
            <w:tcW w:w="1007" w:type="dxa"/>
            <w:vAlign w:val="center"/>
          </w:tcPr>
          <w:p w:rsidR="00C66C54" w:rsidRDefault="00C66C54" w:rsidP="00C66C54">
            <w:pPr>
              <w:jc w:val="center"/>
            </w:pPr>
            <w:r>
              <w:rPr>
                <w:rFonts w:eastAsiaTheme="minorEastAsia"/>
                <w:color w:val="000000"/>
                <w:szCs w:val="21"/>
              </w:rPr>
              <w:t>ESS</w:t>
            </w:r>
          </w:p>
        </w:tc>
        <w:tc>
          <w:tcPr>
            <w:tcW w:w="1470" w:type="dxa"/>
            <w:vAlign w:val="center"/>
          </w:tcPr>
          <w:p w:rsidR="00C66C54" w:rsidRDefault="00C66C54" w:rsidP="00C66C54">
            <w:pPr>
              <w:jc w:val="center"/>
            </w:pPr>
            <w:r>
              <w:rPr>
                <w:rFonts w:eastAsiaTheme="minorEastAsia"/>
                <w:color w:val="000000"/>
                <w:szCs w:val="21"/>
              </w:rPr>
              <w:t>1,316,723.93</w:t>
            </w:r>
          </w:p>
        </w:tc>
        <w:tc>
          <w:tcPr>
            <w:tcW w:w="1650" w:type="dxa"/>
            <w:vAlign w:val="center"/>
          </w:tcPr>
          <w:p w:rsidR="00C66C54" w:rsidRDefault="00C66C54" w:rsidP="00C66C54">
            <w:pPr>
              <w:jc w:val="center"/>
            </w:pPr>
            <w:r>
              <w:rPr>
                <w:rFonts w:eastAsiaTheme="minorEastAsia"/>
                <w:color w:val="000000"/>
                <w:szCs w:val="21"/>
              </w:rPr>
              <w:t>0.69</w:t>
            </w:r>
          </w:p>
        </w:tc>
      </w:tr>
      <w:tr w:rsidR="00C66C54" w:rsidTr="00C66C54">
        <w:tc>
          <w:tcPr>
            <w:tcW w:w="555" w:type="dxa"/>
            <w:vAlign w:val="center"/>
          </w:tcPr>
          <w:p w:rsidR="00C66C54" w:rsidRDefault="00C66C54" w:rsidP="00C66C54">
            <w:pPr>
              <w:jc w:val="center"/>
            </w:pPr>
            <w:r>
              <w:rPr>
                <w:rFonts w:eastAsiaTheme="minorEastAsia"/>
                <w:color w:val="000000"/>
                <w:szCs w:val="21"/>
              </w:rPr>
              <w:t>18</w:t>
            </w:r>
          </w:p>
        </w:tc>
        <w:tc>
          <w:tcPr>
            <w:tcW w:w="4583" w:type="dxa"/>
            <w:vAlign w:val="center"/>
          </w:tcPr>
          <w:p w:rsidR="00C66C54" w:rsidRDefault="00C66C54" w:rsidP="00C66C54">
            <w:pPr>
              <w:jc w:val="center"/>
            </w:pPr>
            <w:r>
              <w:rPr>
                <w:rFonts w:eastAsiaTheme="minorEastAsia"/>
                <w:color w:val="000000"/>
                <w:szCs w:val="21"/>
              </w:rPr>
              <w:t>GOODMAN GROUP</w:t>
            </w:r>
          </w:p>
        </w:tc>
        <w:tc>
          <w:tcPr>
            <w:tcW w:w="1007" w:type="dxa"/>
            <w:vAlign w:val="center"/>
          </w:tcPr>
          <w:p w:rsidR="00C66C54" w:rsidRDefault="00C66C54" w:rsidP="00C66C54">
            <w:pPr>
              <w:jc w:val="center"/>
            </w:pPr>
            <w:r>
              <w:rPr>
                <w:rFonts w:eastAsiaTheme="minorEastAsia"/>
                <w:color w:val="000000"/>
                <w:szCs w:val="21"/>
              </w:rPr>
              <w:t>GMG</w:t>
            </w:r>
          </w:p>
        </w:tc>
        <w:tc>
          <w:tcPr>
            <w:tcW w:w="1470" w:type="dxa"/>
            <w:vAlign w:val="center"/>
          </w:tcPr>
          <w:p w:rsidR="00C66C54" w:rsidRDefault="00C66C54" w:rsidP="00C66C54">
            <w:pPr>
              <w:jc w:val="center"/>
            </w:pPr>
            <w:r>
              <w:rPr>
                <w:rFonts w:eastAsiaTheme="minorEastAsia"/>
                <w:color w:val="000000"/>
                <w:szCs w:val="21"/>
              </w:rPr>
              <w:t>1,206,881.12</w:t>
            </w:r>
          </w:p>
        </w:tc>
        <w:tc>
          <w:tcPr>
            <w:tcW w:w="1650" w:type="dxa"/>
            <w:vAlign w:val="center"/>
          </w:tcPr>
          <w:p w:rsidR="00C66C54" w:rsidRDefault="00C66C54" w:rsidP="00C66C54">
            <w:pPr>
              <w:jc w:val="center"/>
            </w:pPr>
            <w:r>
              <w:rPr>
                <w:rFonts w:eastAsiaTheme="minorEastAsia"/>
                <w:color w:val="000000"/>
                <w:szCs w:val="21"/>
              </w:rPr>
              <w:t>0.64</w:t>
            </w:r>
          </w:p>
        </w:tc>
      </w:tr>
      <w:tr w:rsidR="00C66C54" w:rsidTr="00C66C54">
        <w:tc>
          <w:tcPr>
            <w:tcW w:w="555" w:type="dxa"/>
            <w:vAlign w:val="center"/>
          </w:tcPr>
          <w:p w:rsidR="00C66C54" w:rsidRDefault="00C66C54" w:rsidP="00C66C54">
            <w:pPr>
              <w:jc w:val="center"/>
            </w:pPr>
            <w:r>
              <w:rPr>
                <w:rFonts w:eastAsiaTheme="minorEastAsia"/>
                <w:color w:val="000000"/>
                <w:szCs w:val="21"/>
              </w:rPr>
              <w:t>19</w:t>
            </w:r>
          </w:p>
        </w:tc>
        <w:tc>
          <w:tcPr>
            <w:tcW w:w="4583" w:type="dxa"/>
            <w:vAlign w:val="center"/>
          </w:tcPr>
          <w:p w:rsidR="00C66C54" w:rsidRDefault="00C66C54" w:rsidP="00C66C54">
            <w:pPr>
              <w:jc w:val="center"/>
            </w:pPr>
            <w:r>
              <w:rPr>
                <w:rFonts w:eastAsiaTheme="minorEastAsia"/>
                <w:color w:val="000000"/>
                <w:szCs w:val="21"/>
              </w:rPr>
              <w:t>HOST HOTELS &amp; RESORTS INC</w:t>
            </w:r>
          </w:p>
        </w:tc>
        <w:tc>
          <w:tcPr>
            <w:tcW w:w="1007" w:type="dxa"/>
            <w:vAlign w:val="center"/>
          </w:tcPr>
          <w:p w:rsidR="00C66C54" w:rsidRDefault="00C66C54" w:rsidP="00C66C54">
            <w:pPr>
              <w:jc w:val="center"/>
            </w:pPr>
            <w:r>
              <w:rPr>
                <w:rFonts w:eastAsiaTheme="minorEastAsia"/>
                <w:color w:val="000000"/>
                <w:szCs w:val="21"/>
              </w:rPr>
              <w:t>HST</w:t>
            </w:r>
          </w:p>
        </w:tc>
        <w:tc>
          <w:tcPr>
            <w:tcW w:w="1470" w:type="dxa"/>
            <w:vAlign w:val="center"/>
          </w:tcPr>
          <w:p w:rsidR="00C66C54" w:rsidRDefault="00C66C54" w:rsidP="00C66C54">
            <w:pPr>
              <w:jc w:val="center"/>
            </w:pPr>
            <w:r>
              <w:rPr>
                <w:rFonts w:eastAsiaTheme="minorEastAsia"/>
                <w:color w:val="000000"/>
                <w:szCs w:val="21"/>
              </w:rPr>
              <w:t>1,190,899.68</w:t>
            </w:r>
          </w:p>
        </w:tc>
        <w:tc>
          <w:tcPr>
            <w:tcW w:w="1650" w:type="dxa"/>
            <w:vAlign w:val="center"/>
          </w:tcPr>
          <w:p w:rsidR="00C66C54" w:rsidRDefault="00C66C54" w:rsidP="00C66C54">
            <w:pPr>
              <w:jc w:val="center"/>
            </w:pPr>
            <w:r>
              <w:rPr>
                <w:rFonts w:eastAsiaTheme="minorEastAsia"/>
                <w:color w:val="000000"/>
                <w:szCs w:val="21"/>
              </w:rPr>
              <w:t>0.63</w:t>
            </w:r>
          </w:p>
        </w:tc>
      </w:tr>
      <w:tr w:rsidR="00C66C54" w:rsidTr="00C66C54">
        <w:tc>
          <w:tcPr>
            <w:tcW w:w="555" w:type="dxa"/>
            <w:vAlign w:val="center"/>
          </w:tcPr>
          <w:p w:rsidR="00C66C54" w:rsidRDefault="00C66C54" w:rsidP="00C66C54">
            <w:pPr>
              <w:jc w:val="center"/>
            </w:pPr>
            <w:r>
              <w:rPr>
                <w:rFonts w:eastAsiaTheme="minorEastAsia"/>
                <w:color w:val="000000"/>
                <w:szCs w:val="21"/>
              </w:rPr>
              <w:t>20</w:t>
            </w:r>
          </w:p>
        </w:tc>
        <w:tc>
          <w:tcPr>
            <w:tcW w:w="4583" w:type="dxa"/>
            <w:vAlign w:val="center"/>
          </w:tcPr>
          <w:p w:rsidR="00C66C54" w:rsidRDefault="00C66C54" w:rsidP="00C66C54">
            <w:pPr>
              <w:jc w:val="center"/>
            </w:pPr>
            <w:r>
              <w:rPr>
                <w:rFonts w:eastAsiaTheme="minorEastAsia"/>
                <w:color w:val="000000"/>
                <w:szCs w:val="21"/>
              </w:rPr>
              <w:t>SCENTRE GROUP</w:t>
            </w:r>
          </w:p>
        </w:tc>
        <w:tc>
          <w:tcPr>
            <w:tcW w:w="1007" w:type="dxa"/>
            <w:vAlign w:val="center"/>
          </w:tcPr>
          <w:p w:rsidR="00C66C54" w:rsidRDefault="00C66C54" w:rsidP="00C66C54">
            <w:pPr>
              <w:jc w:val="center"/>
            </w:pPr>
            <w:r>
              <w:rPr>
                <w:rFonts w:eastAsiaTheme="minorEastAsia"/>
                <w:color w:val="000000"/>
                <w:szCs w:val="21"/>
              </w:rPr>
              <w:t>SCG</w:t>
            </w:r>
          </w:p>
        </w:tc>
        <w:tc>
          <w:tcPr>
            <w:tcW w:w="1470" w:type="dxa"/>
            <w:vAlign w:val="center"/>
          </w:tcPr>
          <w:p w:rsidR="00C66C54" w:rsidRDefault="00C66C54" w:rsidP="00C66C54">
            <w:pPr>
              <w:jc w:val="center"/>
            </w:pPr>
            <w:r>
              <w:rPr>
                <w:rFonts w:eastAsiaTheme="minorEastAsia"/>
                <w:color w:val="000000"/>
                <w:szCs w:val="21"/>
              </w:rPr>
              <w:t>1,099,664.47</w:t>
            </w:r>
          </w:p>
        </w:tc>
        <w:tc>
          <w:tcPr>
            <w:tcW w:w="1650" w:type="dxa"/>
            <w:vAlign w:val="center"/>
          </w:tcPr>
          <w:p w:rsidR="00C66C54" w:rsidRDefault="00C66C54" w:rsidP="00C66C54">
            <w:pPr>
              <w:jc w:val="center"/>
            </w:pPr>
            <w:r>
              <w:rPr>
                <w:rFonts w:eastAsiaTheme="minorEastAsia"/>
                <w:color w:val="000000"/>
                <w:szCs w:val="21"/>
              </w:rPr>
              <w:t>0.58</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7.5.3</w:t>
      </w:r>
      <w:r w:rsidRPr="0098332C">
        <w:rPr>
          <w:rFonts w:eastAsiaTheme="minorEastAsia"/>
          <w:b/>
          <w:color w:val="000000"/>
          <w:kern w:val="0"/>
          <w:szCs w:val="21"/>
        </w:rPr>
        <w:t>权益投资的买入成本总额及卖出收入总额</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买入成本（成交）总额</w:t>
            </w:r>
          </w:p>
        </w:tc>
        <w:tc>
          <w:tcPr>
            <w:tcW w:w="5629" w:type="dxa"/>
            <w:vAlign w:val="bottom"/>
          </w:tcPr>
          <w:p w:rsidR="008A5A5D" w:rsidRPr="0098332C" w:rsidRDefault="00C66C54" w:rsidP="004A4847">
            <w:pPr>
              <w:jc w:val="right"/>
              <w:rPr>
                <w:rFonts w:eastAsiaTheme="minorEastAsia"/>
                <w:szCs w:val="21"/>
              </w:rPr>
            </w:pPr>
            <w:r w:rsidRPr="0098332C">
              <w:rPr>
                <w:rFonts w:eastAsiaTheme="minorEastAsia"/>
                <w:szCs w:val="21"/>
              </w:rPr>
              <w:t>27,398,962.51</w:t>
            </w:r>
          </w:p>
        </w:tc>
      </w:tr>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卖出收入（成交）总额</w:t>
            </w:r>
          </w:p>
        </w:tc>
        <w:tc>
          <w:tcPr>
            <w:tcW w:w="5629" w:type="dxa"/>
            <w:vAlign w:val="bottom"/>
          </w:tcPr>
          <w:p w:rsidR="008A5A5D" w:rsidRPr="0098332C" w:rsidRDefault="00C66C54" w:rsidP="004A4847">
            <w:pPr>
              <w:jc w:val="right"/>
              <w:rPr>
                <w:rFonts w:eastAsiaTheme="minorEastAsia"/>
                <w:szCs w:val="21"/>
              </w:rPr>
            </w:pPr>
            <w:r w:rsidRPr="0098332C">
              <w:rPr>
                <w:rFonts w:eastAsiaTheme="minorEastAsia"/>
                <w:szCs w:val="21"/>
              </w:rPr>
              <w:t>62,169,377.19</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87" w:name="_Toc224618381"/>
      <w:bookmarkStart w:id="188" w:name="_Toc248233028"/>
      <w:bookmarkStart w:id="189" w:name="_Toc249790560"/>
      <w:bookmarkStart w:id="190" w:name="_Toc286929761"/>
      <w:bookmarkStart w:id="191" w:name="_Toc352256000"/>
      <w:bookmarkStart w:id="192" w:name="_Toc352256068"/>
      <w:bookmarkStart w:id="193" w:name="_Toc352331246"/>
      <w:bookmarkStart w:id="194" w:name="_Toc390164828"/>
      <w:r w:rsidRPr="0098332C">
        <w:rPr>
          <w:rFonts w:ascii="Times New Roman" w:eastAsiaTheme="minorEastAsia" w:hAnsi="Times New Roman"/>
          <w:kern w:val="0"/>
          <w:sz w:val="21"/>
          <w:szCs w:val="21"/>
        </w:rPr>
        <w:t>7.6</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期末按债券信用等级分类的债券投资组合</w:t>
      </w:r>
      <w:bookmarkEnd w:id="187"/>
      <w:bookmarkEnd w:id="188"/>
      <w:bookmarkEnd w:id="189"/>
      <w:bookmarkEnd w:id="190"/>
      <w:bookmarkEnd w:id="191"/>
      <w:bookmarkEnd w:id="192"/>
      <w:bookmarkEnd w:id="193"/>
      <w:bookmarkEnd w:id="194"/>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95" w:name="_Toc224618382"/>
      <w:bookmarkStart w:id="196" w:name="_Toc248233029"/>
      <w:bookmarkStart w:id="197" w:name="_Toc249790561"/>
      <w:bookmarkStart w:id="198" w:name="_Toc286929762"/>
      <w:bookmarkStart w:id="199" w:name="_Toc352256001"/>
      <w:bookmarkStart w:id="200" w:name="_Toc352256069"/>
      <w:bookmarkStart w:id="201" w:name="_Toc352331247"/>
      <w:bookmarkStart w:id="202" w:name="_Toc390164829"/>
      <w:r w:rsidRPr="0098332C">
        <w:rPr>
          <w:rFonts w:ascii="Times New Roman" w:eastAsiaTheme="minorEastAsia" w:hAnsi="Times New Roman"/>
          <w:kern w:val="0"/>
          <w:sz w:val="21"/>
          <w:szCs w:val="21"/>
        </w:rPr>
        <w:t>7.7</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期末按公允价值占基金资产净值比例大小排名的前五名债券投资明细</w:t>
      </w:r>
      <w:bookmarkEnd w:id="195"/>
      <w:bookmarkEnd w:id="196"/>
      <w:bookmarkEnd w:id="197"/>
      <w:bookmarkEnd w:id="198"/>
      <w:bookmarkEnd w:id="199"/>
      <w:bookmarkEnd w:id="200"/>
      <w:bookmarkEnd w:id="201"/>
      <w:bookmarkEnd w:id="202"/>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03" w:name="_Toc224618383"/>
      <w:bookmarkStart w:id="204" w:name="_Toc248233030"/>
      <w:bookmarkStart w:id="205" w:name="_Toc249790562"/>
      <w:bookmarkStart w:id="206" w:name="_Toc286929763"/>
      <w:bookmarkStart w:id="207" w:name="_Toc352256002"/>
      <w:bookmarkStart w:id="208" w:name="_Toc352256070"/>
      <w:bookmarkStart w:id="209" w:name="_Toc352331248"/>
      <w:bookmarkStart w:id="210" w:name="_Toc390164830"/>
      <w:r w:rsidRPr="0098332C">
        <w:rPr>
          <w:rFonts w:ascii="Times New Roman" w:eastAsiaTheme="minorEastAsia" w:hAnsi="Times New Roman"/>
          <w:kern w:val="0"/>
          <w:sz w:val="21"/>
          <w:szCs w:val="21"/>
        </w:rPr>
        <w:t>7.8</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w:t>
      </w:r>
      <w:r w:rsidR="00227731">
        <w:rPr>
          <w:rFonts w:ascii="Times New Roman" w:eastAsiaTheme="minorEastAsia" w:hAnsi="Times New Roman" w:hint="eastAsia"/>
          <w:kern w:val="0"/>
          <w:sz w:val="21"/>
          <w:szCs w:val="21"/>
        </w:rPr>
        <w:t>前十名</w:t>
      </w:r>
      <w:r w:rsidRPr="0098332C">
        <w:rPr>
          <w:rFonts w:ascii="Times New Roman" w:eastAsiaTheme="minorEastAsia" w:hAnsi="Times New Roman"/>
          <w:kern w:val="0"/>
          <w:sz w:val="21"/>
          <w:szCs w:val="21"/>
        </w:rPr>
        <w:t>资产支持证券投资明细</w:t>
      </w:r>
      <w:bookmarkEnd w:id="203"/>
      <w:bookmarkEnd w:id="204"/>
      <w:bookmarkEnd w:id="205"/>
      <w:bookmarkEnd w:id="206"/>
      <w:bookmarkEnd w:id="207"/>
      <w:bookmarkEnd w:id="208"/>
      <w:bookmarkEnd w:id="209"/>
      <w:bookmarkEnd w:id="210"/>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本基金本报告期末未持有资产支持证券。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1" w:name="_Toc224618384"/>
      <w:bookmarkStart w:id="212" w:name="_Toc248233031"/>
      <w:bookmarkStart w:id="213" w:name="_Toc249790563"/>
      <w:bookmarkStart w:id="214" w:name="_Toc286929764"/>
      <w:bookmarkStart w:id="215" w:name="_Toc352256003"/>
      <w:bookmarkStart w:id="216" w:name="_Toc352256071"/>
      <w:bookmarkStart w:id="217" w:name="_Toc352331249"/>
      <w:bookmarkStart w:id="218" w:name="_Toc390164831"/>
      <w:r w:rsidRPr="0098332C">
        <w:rPr>
          <w:rFonts w:ascii="Times New Roman" w:eastAsiaTheme="minorEastAsia" w:hAnsi="Times New Roman"/>
          <w:kern w:val="0"/>
          <w:sz w:val="21"/>
          <w:szCs w:val="21"/>
        </w:rPr>
        <w:t>7.9</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期末按公允价值占基金资产净值比例大小排名的前五名金融衍生品投资明细</w:t>
      </w:r>
      <w:bookmarkEnd w:id="211"/>
      <w:bookmarkEnd w:id="212"/>
      <w:bookmarkEnd w:id="213"/>
      <w:bookmarkEnd w:id="214"/>
      <w:bookmarkEnd w:id="215"/>
      <w:bookmarkEnd w:id="216"/>
      <w:bookmarkEnd w:id="217"/>
      <w:bookmarkEnd w:id="218"/>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本基金本报告期末未持有金融衍生品。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9" w:name="_Toc248233032"/>
      <w:bookmarkStart w:id="220" w:name="_Toc249790564"/>
      <w:bookmarkStart w:id="221" w:name="_Toc286929765"/>
      <w:bookmarkStart w:id="222" w:name="_Toc352256004"/>
      <w:bookmarkStart w:id="223" w:name="_Toc352256072"/>
      <w:bookmarkStart w:id="224" w:name="_Toc352331250"/>
      <w:bookmarkStart w:id="225" w:name="_Toc390164832"/>
      <w:r w:rsidRPr="0098332C">
        <w:rPr>
          <w:rFonts w:ascii="Times New Roman" w:eastAsiaTheme="minorEastAsia" w:hAnsi="Times New Roman"/>
          <w:kern w:val="0"/>
          <w:sz w:val="21"/>
          <w:szCs w:val="21"/>
        </w:rPr>
        <w:t>7.10</w:t>
      </w:r>
      <w:bookmarkStart w:id="226" w:name="_Toc224618385"/>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期末按公允价值占基金资产净值比例大小排序的前十名基金投资明细</w:t>
      </w:r>
      <w:bookmarkEnd w:id="219"/>
      <w:bookmarkEnd w:id="220"/>
      <w:bookmarkEnd w:id="221"/>
      <w:bookmarkEnd w:id="222"/>
      <w:bookmarkEnd w:id="223"/>
      <w:bookmarkEnd w:id="224"/>
      <w:bookmarkEnd w:id="225"/>
      <w:bookmarkEnd w:id="226"/>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本基金本报告期末未持有基金。</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27" w:name="_Toc224618386"/>
      <w:bookmarkStart w:id="228" w:name="_Toc248233033"/>
      <w:bookmarkStart w:id="229" w:name="_Toc249790565"/>
      <w:bookmarkStart w:id="230" w:name="_Toc286929766"/>
      <w:bookmarkStart w:id="231" w:name="_Toc352256005"/>
      <w:bookmarkStart w:id="232" w:name="_Toc352256073"/>
      <w:bookmarkStart w:id="233" w:name="_Toc352331251"/>
      <w:bookmarkStart w:id="234" w:name="_Toc390164833"/>
      <w:r w:rsidRPr="0098332C">
        <w:rPr>
          <w:rFonts w:ascii="Times New Roman" w:eastAsiaTheme="minorEastAsia" w:hAnsi="Times New Roman"/>
          <w:kern w:val="0"/>
          <w:sz w:val="21"/>
          <w:szCs w:val="21"/>
        </w:rPr>
        <w:t>7.11</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投资组合报告附注</w:t>
      </w:r>
      <w:bookmarkEnd w:id="227"/>
      <w:bookmarkEnd w:id="228"/>
      <w:bookmarkEnd w:id="229"/>
      <w:bookmarkEnd w:id="230"/>
      <w:bookmarkEnd w:id="231"/>
      <w:bookmarkEnd w:id="232"/>
      <w:bookmarkEnd w:id="233"/>
      <w:bookmarkEnd w:id="234"/>
    </w:p>
    <w:p w:rsidR="008A5A5D" w:rsidRPr="0098332C" w:rsidRDefault="008A5A5D" w:rsidP="006313B1">
      <w:pPr>
        <w:spacing w:line="360" w:lineRule="auto"/>
        <w:rPr>
          <w:rFonts w:eastAsiaTheme="minorEastAsia"/>
          <w:kern w:val="0"/>
          <w:szCs w:val="21"/>
        </w:rPr>
      </w:pPr>
      <w:r w:rsidRPr="0098332C">
        <w:rPr>
          <w:rFonts w:eastAsiaTheme="minorEastAsia"/>
          <w:b/>
          <w:color w:val="000000"/>
          <w:szCs w:val="21"/>
        </w:rPr>
        <w:t>7.11.1</w:t>
      </w:r>
      <w:r w:rsidR="00ED31E5" w:rsidRPr="0098332C">
        <w:rPr>
          <w:rFonts w:eastAsiaTheme="minorEastAsia"/>
          <w:kern w:val="0"/>
          <w:szCs w:val="21"/>
        </w:rPr>
        <w:t xml:space="preserve"> </w:t>
      </w:r>
      <w:r w:rsidRPr="0098332C">
        <w:rPr>
          <w:rFonts w:eastAsiaTheme="minorEastAsia"/>
          <w:kern w:val="0"/>
          <w:szCs w:val="21"/>
        </w:rPr>
        <w:t>报告期内本基金投资的前十名证券的发行主体本期没有出现被监管部门立案调查，或在本报告编制日前一年内受到公开谴责、处罚的情形。</w:t>
      </w:r>
    </w:p>
    <w:p w:rsidR="008A5A5D" w:rsidRPr="0098332C" w:rsidRDefault="008A5A5D" w:rsidP="004F5A80">
      <w:pPr>
        <w:spacing w:beforeLines="100" w:before="312" w:line="360" w:lineRule="auto"/>
        <w:rPr>
          <w:rFonts w:eastAsiaTheme="minorEastAsia"/>
          <w:kern w:val="0"/>
          <w:szCs w:val="21"/>
        </w:rPr>
      </w:pPr>
      <w:r w:rsidRPr="0098332C">
        <w:rPr>
          <w:rFonts w:eastAsiaTheme="minorEastAsia"/>
          <w:b/>
          <w:color w:val="000000"/>
          <w:szCs w:val="21"/>
        </w:rPr>
        <w:t>7.11.2</w:t>
      </w:r>
      <w:r w:rsidRPr="0098332C">
        <w:rPr>
          <w:rFonts w:eastAsiaTheme="minorEastAsia"/>
          <w:kern w:val="0"/>
          <w:szCs w:val="21"/>
        </w:rPr>
        <w:t xml:space="preserve"> </w:t>
      </w:r>
      <w:r w:rsidRPr="0098332C">
        <w:rPr>
          <w:rFonts w:eastAsiaTheme="minorEastAsia"/>
          <w:kern w:val="0"/>
          <w:szCs w:val="21"/>
        </w:rPr>
        <w:t>报告期内本基金投资的前十名股票没有超出基金合同规定的备选股票库。</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7.11.3</w:t>
      </w:r>
      <w:r w:rsidR="004E34BB" w:rsidRPr="0098332C">
        <w:rPr>
          <w:rFonts w:eastAsiaTheme="minorEastAsia"/>
          <w:b/>
          <w:szCs w:val="21"/>
        </w:rPr>
        <w:t>期末其他各项资产构成</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98332C" w:rsidTr="00C42949">
        <w:trPr>
          <w:trHeight w:val="285"/>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序号</w:t>
            </w:r>
          </w:p>
        </w:tc>
        <w:tc>
          <w:tcPr>
            <w:tcW w:w="4431"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名称</w:t>
            </w:r>
          </w:p>
        </w:tc>
        <w:tc>
          <w:tcPr>
            <w:tcW w:w="41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金额</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1</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存出保证金</w:t>
            </w:r>
          </w:p>
        </w:tc>
        <w:tc>
          <w:tcPr>
            <w:tcW w:w="4105" w:type="dxa"/>
            <w:tcMar>
              <w:top w:w="15" w:type="dxa"/>
              <w:left w:w="15" w:type="dxa"/>
              <w:bottom w:w="0" w:type="dxa"/>
              <w:right w:w="15" w:type="dxa"/>
            </w:tcMar>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2</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应收证券清算款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3</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应收股利</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696,517.51</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4</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应收利息</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1,211.42</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5</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应收申购款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1,428,078.30</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6</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其他应收款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7</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待摊费用</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8</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其他</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9</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合计</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2,125,807.23</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7.11.4</w:t>
      </w:r>
      <w:r w:rsidRPr="0098332C">
        <w:rPr>
          <w:rFonts w:eastAsiaTheme="minorEastAsia"/>
          <w:b/>
          <w:color w:val="000000"/>
          <w:kern w:val="0"/>
          <w:szCs w:val="21"/>
        </w:rPr>
        <w:t>期末持有的处于转股期的可转换债券明细</w:t>
      </w:r>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本基金本报告期末未持有处于转股期的可转换债券。</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7.11.5</w:t>
      </w:r>
      <w:r w:rsidRPr="0098332C">
        <w:rPr>
          <w:rFonts w:eastAsiaTheme="minorEastAsia"/>
          <w:b/>
          <w:color w:val="000000"/>
          <w:kern w:val="0"/>
          <w:szCs w:val="21"/>
        </w:rPr>
        <w:t>期末前十名股票中存在流通受限情况的说明</w:t>
      </w:r>
    </w:p>
    <w:p w:rsidR="00DC59DF" w:rsidRPr="0098332C" w:rsidRDefault="00DC59DF" w:rsidP="00DC59DF">
      <w:pPr>
        <w:autoSpaceDE w:val="0"/>
        <w:autoSpaceDN w:val="0"/>
        <w:adjustRightInd w:val="0"/>
        <w:spacing w:line="360" w:lineRule="auto"/>
        <w:jc w:val="left"/>
        <w:rPr>
          <w:rFonts w:eastAsiaTheme="minorEastAsia"/>
          <w:b/>
          <w:color w:val="000000"/>
          <w:szCs w:val="21"/>
        </w:rPr>
      </w:pPr>
      <w:r w:rsidRPr="0098332C">
        <w:rPr>
          <w:rFonts w:eastAsiaTheme="minorEastAsia"/>
          <w:b/>
          <w:color w:val="000000"/>
          <w:szCs w:val="21"/>
        </w:rPr>
        <w:t xml:space="preserve">7.11.5.1 </w:t>
      </w:r>
      <w:r w:rsidRPr="0098332C">
        <w:rPr>
          <w:rFonts w:eastAsiaTheme="minorEastAsia"/>
          <w:b/>
          <w:color w:val="000000"/>
          <w:szCs w:val="21"/>
        </w:rPr>
        <w:t>期末指数投资前十名股票中存在流通受限情况的说明</w:t>
      </w:r>
    </w:p>
    <w:p w:rsidR="008A5A5D" w:rsidRPr="0098332C" w:rsidRDefault="00DC59DF" w:rsidP="00C42949">
      <w:pPr>
        <w:spacing w:line="288" w:lineRule="auto"/>
        <w:ind w:firstLineChars="200" w:firstLine="420"/>
        <w:rPr>
          <w:rFonts w:eastAsiaTheme="minorEastAsia"/>
          <w:b/>
          <w:color w:val="000000"/>
          <w:szCs w:val="21"/>
        </w:rPr>
      </w:pPr>
      <w:r w:rsidRPr="0098332C">
        <w:rPr>
          <w:rFonts w:eastAsiaTheme="minorEastAsia"/>
          <w:kern w:val="0"/>
          <w:szCs w:val="21"/>
        </w:rPr>
        <w:t>本基金本报告期末前十名股票中不存在流通受限情况。</w:t>
      </w:r>
    </w:p>
    <w:p w:rsidR="005705B3" w:rsidRPr="0098332C" w:rsidRDefault="00F72C08" w:rsidP="006313B1">
      <w:pPr>
        <w:spacing w:line="360" w:lineRule="auto"/>
        <w:rPr>
          <w:rFonts w:eastAsiaTheme="minorEastAsia"/>
          <w:b/>
          <w:szCs w:val="21"/>
        </w:rPr>
      </w:pPr>
      <w:r w:rsidRPr="0098332C">
        <w:rPr>
          <w:rFonts w:eastAsiaTheme="minorEastAsia"/>
          <w:b/>
          <w:color w:val="000000"/>
          <w:szCs w:val="21"/>
        </w:rPr>
        <w:t>7.11.5.2</w:t>
      </w:r>
      <w:r w:rsidR="007B758B" w:rsidRPr="0098332C">
        <w:rPr>
          <w:rFonts w:eastAsiaTheme="minorEastAsia"/>
          <w:b/>
          <w:bCs/>
          <w:szCs w:val="21"/>
        </w:rPr>
        <w:t>报告</w:t>
      </w:r>
      <w:r w:rsidR="007B758B" w:rsidRPr="0098332C">
        <w:rPr>
          <w:rFonts w:eastAsiaTheme="minorEastAsia"/>
          <w:b/>
          <w:szCs w:val="21"/>
        </w:rPr>
        <w:t>期末积极投资前五名股票中存在流通受限情况的说明</w:t>
      </w:r>
    </w:p>
    <w:p w:rsidR="005705B3" w:rsidRPr="0098332C" w:rsidRDefault="005705B3"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本基金本报告期末前五名积极投资中不存在流通受限情况。</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7.11.6</w:t>
      </w:r>
      <w:r w:rsidRPr="0098332C">
        <w:rPr>
          <w:rFonts w:eastAsiaTheme="minorEastAsia"/>
          <w:b/>
          <w:color w:val="000000"/>
          <w:kern w:val="0"/>
          <w:szCs w:val="21"/>
        </w:rPr>
        <w:t>投资组合报告附注的其他</w:t>
      </w:r>
      <w:r w:rsidR="00D953F2" w:rsidRPr="0098332C">
        <w:rPr>
          <w:rFonts w:eastAsiaTheme="minorEastAsia"/>
          <w:b/>
          <w:color w:val="000000"/>
          <w:kern w:val="0"/>
          <w:szCs w:val="21"/>
        </w:rPr>
        <w:t>需要说明的事项</w:t>
      </w:r>
    </w:p>
    <w:p w:rsidR="008A5A5D" w:rsidRPr="0098332C" w:rsidRDefault="008A5A5D" w:rsidP="006313B1">
      <w:pPr>
        <w:widowControl/>
        <w:spacing w:line="360" w:lineRule="auto"/>
        <w:ind w:firstLineChars="200" w:firstLine="420"/>
        <w:rPr>
          <w:rFonts w:eastAsiaTheme="minorEastAsia"/>
          <w:kern w:val="0"/>
          <w:szCs w:val="21"/>
        </w:rPr>
      </w:pPr>
      <w:r w:rsidRPr="0098332C">
        <w:rPr>
          <w:rFonts w:eastAsiaTheme="minorEastAsia"/>
          <w:kern w:val="0"/>
          <w:szCs w:val="21"/>
        </w:rPr>
        <w:t>因四舍五入原因</w:t>
      </w:r>
      <w:r w:rsidRPr="0098332C">
        <w:rPr>
          <w:rFonts w:eastAsiaTheme="minorEastAsia"/>
          <w:kern w:val="0"/>
          <w:szCs w:val="21"/>
        </w:rPr>
        <w:t>,</w:t>
      </w:r>
      <w:r w:rsidRPr="0098332C">
        <w:rPr>
          <w:rFonts w:eastAsiaTheme="minorEastAsia"/>
          <w:kern w:val="0"/>
          <w:szCs w:val="21"/>
        </w:rPr>
        <w:t>投资组合报告中分项之和与合计可能存在尾差。</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35" w:name="_Toc225500050"/>
      <w:bookmarkStart w:id="236" w:name="_Toc352256006"/>
      <w:bookmarkStart w:id="237" w:name="_Toc352256074"/>
      <w:bookmarkStart w:id="238" w:name="_Toc352331252"/>
      <w:bookmarkStart w:id="239" w:name="_Toc390164834"/>
      <w:r w:rsidRPr="0098332C">
        <w:rPr>
          <w:rFonts w:eastAsiaTheme="minorEastAsia"/>
          <w:b/>
          <w:bCs/>
          <w:sz w:val="21"/>
          <w:szCs w:val="21"/>
          <w:lang w:val="en-US"/>
        </w:rPr>
        <w:t>8</w:t>
      </w:r>
      <w:r w:rsidR="00E909F1">
        <w:rPr>
          <w:rFonts w:eastAsiaTheme="minorEastAsia"/>
          <w:b/>
          <w:bCs/>
          <w:sz w:val="21"/>
          <w:szCs w:val="21"/>
          <w:lang w:val="en-US"/>
        </w:rPr>
        <w:t xml:space="preserve">  </w:t>
      </w:r>
      <w:r w:rsidRPr="0098332C">
        <w:rPr>
          <w:rFonts w:eastAsiaTheme="minorEastAsia"/>
          <w:b/>
          <w:bCs/>
          <w:sz w:val="21"/>
          <w:szCs w:val="21"/>
          <w:lang w:val="en-US"/>
        </w:rPr>
        <w:t>基金份额持有人信息</w:t>
      </w:r>
      <w:bookmarkEnd w:id="235"/>
      <w:bookmarkEnd w:id="236"/>
      <w:bookmarkEnd w:id="237"/>
      <w:bookmarkEnd w:id="238"/>
      <w:bookmarkEnd w:id="239"/>
    </w:p>
    <w:p w:rsidR="008A5A5D" w:rsidRPr="0098332C" w:rsidRDefault="008A5A5D" w:rsidP="006313B1">
      <w:pPr>
        <w:pStyle w:val="20"/>
        <w:spacing w:before="0" w:after="0"/>
        <w:rPr>
          <w:rFonts w:ascii="Times New Roman" w:eastAsiaTheme="minorEastAsia" w:hAnsi="Times New Roman"/>
          <w:kern w:val="0"/>
          <w:sz w:val="21"/>
          <w:szCs w:val="21"/>
        </w:rPr>
      </w:pPr>
      <w:bookmarkStart w:id="240" w:name="_Toc225500051"/>
      <w:bookmarkStart w:id="241" w:name="_Toc352256007"/>
      <w:bookmarkStart w:id="242" w:name="_Toc352256075"/>
      <w:bookmarkStart w:id="243" w:name="_Toc352331253"/>
      <w:bookmarkStart w:id="244" w:name="_Toc390164835"/>
      <w:r w:rsidRPr="0098332C">
        <w:rPr>
          <w:rFonts w:ascii="Times New Roman" w:eastAsiaTheme="minorEastAsia" w:hAnsi="Times New Roman"/>
          <w:kern w:val="0"/>
          <w:sz w:val="21"/>
          <w:szCs w:val="21"/>
        </w:rPr>
        <w:t xml:space="preserve">8.1 </w:t>
      </w:r>
      <w:r w:rsidRPr="0098332C">
        <w:rPr>
          <w:rFonts w:ascii="Times New Roman" w:eastAsiaTheme="minorEastAsia" w:hAnsi="Times New Roman"/>
          <w:kern w:val="0"/>
          <w:sz w:val="21"/>
          <w:szCs w:val="21"/>
        </w:rPr>
        <w:t>期末基金份额持有人户数及持有人结构</w:t>
      </w:r>
      <w:bookmarkEnd w:id="240"/>
      <w:bookmarkEnd w:id="241"/>
      <w:bookmarkEnd w:id="242"/>
      <w:bookmarkEnd w:id="243"/>
      <w:bookmarkEnd w:id="244"/>
    </w:p>
    <w:p w:rsidR="002716BD" w:rsidRPr="0098332C" w:rsidRDefault="002716BD" w:rsidP="002716BD">
      <w:pPr>
        <w:autoSpaceDE w:val="0"/>
        <w:autoSpaceDN w:val="0"/>
        <w:adjustRightInd w:val="0"/>
        <w:spacing w:before="29" w:line="360" w:lineRule="auto"/>
        <w:ind w:left="15"/>
        <w:jc w:val="right"/>
        <w:rPr>
          <w:rFonts w:eastAsiaTheme="minorEastAsia"/>
          <w:color w:val="000000"/>
          <w:szCs w:val="21"/>
        </w:rPr>
      </w:pPr>
      <w:bookmarkStart w:id="245" w:name="_Toc352256008"/>
      <w:bookmarkStart w:id="246" w:name="_Toc352256076"/>
      <w:bookmarkStart w:id="247" w:name="_Toc352331254"/>
      <w:r w:rsidRPr="0098332C">
        <w:rPr>
          <w:rFonts w:eastAsiaTheme="minorEastAsia"/>
          <w:color w:val="000000"/>
          <w:szCs w:val="21"/>
        </w:rPr>
        <w:t>份额单位：份</w:t>
      </w:r>
    </w:p>
    <w:p w:rsidR="002716BD" w:rsidRPr="0098332C" w:rsidRDefault="002716BD" w:rsidP="002716BD">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3502BE" w:rsidRPr="0098332C" w:rsidTr="003502BE">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122FB4" w:rsidRDefault="003502BE">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持有人结构</w:t>
            </w:r>
          </w:p>
        </w:tc>
      </w:tr>
      <w:tr w:rsidR="003502BE" w:rsidRPr="0098332C" w:rsidTr="003502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2FB4" w:rsidRDefault="00122FB4">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个人投资者</w:t>
            </w:r>
          </w:p>
        </w:tc>
      </w:tr>
      <w:tr w:rsidR="003502BE" w:rsidRPr="0098332C" w:rsidTr="003502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2FB4" w:rsidRDefault="00122FB4">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r>
      <w:tr w:rsidR="003502BE" w:rsidRPr="0098332C" w:rsidTr="003502BE">
        <w:tc>
          <w:tcPr>
            <w:tcW w:w="964" w:type="pct"/>
            <w:tcBorders>
              <w:top w:val="single" w:sz="8" w:space="0" w:color="000000"/>
              <w:left w:val="single" w:sz="8" w:space="0" w:color="000000"/>
              <w:bottom w:val="single" w:sz="8" w:space="0" w:color="000000"/>
              <w:right w:val="single" w:sz="8" w:space="0" w:color="000000"/>
            </w:tcBorders>
            <w:hideMark/>
          </w:tcPr>
          <w:p w:rsidR="00122FB4" w:rsidRDefault="003502BE">
            <w:pPr>
              <w:jc w:val="center"/>
            </w:pPr>
            <w:r>
              <w:rPr>
                <w:rFonts w:eastAsiaTheme="minorEastAsia"/>
                <w:bCs/>
                <w:color w:val="000000"/>
                <w:szCs w:val="21"/>
              </w:rPr>
              <w:t>7,641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18,820.56</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1,629,286.14</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1.13%</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142,178,588.10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98.87%</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48" w:name="_Toc390164837"/>
      <w:r w:rsidRPr="0098332C">
        <w:rPr>
          <w:rFonts w:ascii="Times New Roman" w:eastAsiaTheme="minorEastAsia" w:hAnsi="Times New Roman"/>
          <w:kern w:val="0"/>
          <w:sz w:val="21"/>
          <w:szCs w:val="21"/>
        </w:rPr>
        <w:t>8.2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期末基金管理人的从业人员持有本基金的情况</w:t>
      </w:r>
      <w:bookmarkEnd w:id="245"/>
      <w:bookmarkEnd w:id="246"/>
      <w:bookmarkEnd w:id="247"/>
      <w:bookmarkEnd w:id="2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98332C" w:rsidTr="004A4847">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项目</w:t>
            </w:r>
          </w:p>
        </w:tc>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持有份额总数（份）</w:t>
            </w:r>
          </w:p>
        </w:tc>
        <w:tc>
          <w:tcPr>
            <w:tcW w:w="216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占基金总份额比例</w:t>
            </w:r>
          </w:p>
        </w:tc>
      </w:tr>
      <w:tr w:rsidR="008A5A5D" w:rsidRPr="0098332C" w:rsidTr="004A4847">
        <w:tc>
          <w:tcPr>
            <w:tcW w:w="3420"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基金管理人所有从业人员持有本基金</w:t>
            </w:r>
          </w:p>
        </w:tc>
        <w:tc>
          <w:tcPr>
            <w:tcW w:w="3420" w:type="dxa"/>
            <w:vAlign w:val="center"/>
          </w:tcPr>
          <w:p w:rsidR="008A5A5D" w:rsidRPr="0098332C" w:rsidRDefault="00FB03B9" w:rsidP="00AF2896">
            <w:pPr>
              <w:widowControl/>
              <w:jc w:val="right"/>
              <w:rPr>
                <w:rFonts w:eastAsiaTheme="minorEastAsia"/>
                <w:color w:val="000000"/>
                <w:kern w:val="0"/>
                <w:szCs w:val="21"/>
              </w:rPr>
            </w:pPr>
            <w:r>
              <w:rPr>
                <w:rFonts w:eastAsiaTheme="minorEastAsia" w:hint="eastAsia"/>
                <w:color w:val="000000"/>
                <w:kern w:val="0"/>
                <w:szCs w:val="21"/>
              </w:rPr>
              <w:t>9</w:t>
            </w:r>
            <w:r>
              <w:rPr>
                <w:rFonts w:eastAsiaTheme="minorEastAsia"/>
                <w:color w:val="000000"/>
                <w:kern w:val="0"/>
                <w:szCs w:val="21"/>
              </w:rPr>
              <w:t>,</w:t>
            </w:r>
            <w:r>
              <w:rPr>
                <w:rFonts w:eastAsiaTheme="minorEastAsia" w:hint="eastAsia"/>
                <w:color w:val="000000"/>
                <w:kern w:val="0"/>
                <w:szCs w:val="21"/>
              </w:rPr>
              <w:t>392.75</w:t>
            </w:r>
          </w:p>
        </w:tc>
        <w:tc>
          <w:tcPr>
            <w:tcW w:w="2160" w:type="dxa"/>
            <w:vAlign w:val="center"/>
          </w:tcPr>
          <w:p w:rsidR="008A5A5D" w:rsidRPr="0098332C" w:rsidRDefault="008A5A5D" w:rsidP="00FB03B9">
            <w:pPr>
              <w:widowControl/>
              <w:jc w:val="right"/>
              <w:rPr>
                <w:rFonts w:eastAsiaTheme="minorEastAsia"/>
                <w:color w:val="000000"/>
                <w:kern w:val="0"/>
                <w:szCs w:val="21"/>
              </w:rPr>
            </w:pPr>
            <w:r w:rsidRPr="0098332C">
              <w:rPr>
                <w:rFonts w:eastAsiaTheme="minorEastAsia"/>
                <w:color w:val="000000"/>
                <w:kern w:val="0"/>
                <w:szCs w:val="21"/>
              </w:rPr>
              <w:t>0.006</w:t>
            </w:r>
            <w:r w:rsidR="00FB03B9">
              <w:rPr>
                <w:rFonts w:eastAsiaTheme="minorEastAsia"/>
                <w:color w:val="000000"/>
                <w:kern w:val="0"/>
                <w:szCs w:val="21"/>
              </w:rPr>
              <w:t>5</w:t>
            </w:r>
            <w:r w:rsidRPr="0098332C">
              <w:rPr>
                <w:rFonts w:eastAsiaTheme="minorEastAsia"/>
                <w:color w:val="000000"/>
                <w:kern w:val="0"/>
                <w:szCs w:val="21"/>
              </w:rPr>
              <w:t>%</w:t>
            </w:r>
          </w:p>
        </w:tc>
      </w:tr>
    </w:tbl>
    <w:p w:rsidR="000B6328" w:rsidRPr="0098332C" w:rsidRDefault="00251D61" w:rsidP="000B6328">
      <w:pPr>
        <w:pStyle w:val="20"/>
        <w:spacing w:before="0" w:after="0" w:line="240" w:lineRule="auto"/>
        <w:rPr>
          <w:rFonts w:ascii="Times New Roman" w:eastAsiaTheme="minorEastAsia" w:hAnsi="Times New Roman"/>
          <w:sz w:val="21"/>
          <w:szCs w:val="21"/>
        </w:rPr>
      </w:pPr>
      <w:r w:rsidRPr="0098332C">
        <w:rPr>
          <w:rFonts w:ascii="Times New Roman" w:eastAsiaTheme="minorEastAsia" w:hAnsi="Times New Roman"/>
          <w:kern w:val="0"/>
          <w:sz w:val="21"/>
          <w:szCs w:val="21"/>
        </w:rPr>
        <w:t>8.3</w:t>
      </w:r>
      <w:r w:rsidR="00E74A64">
        <w:rPr>
          <w:rFonts w:ascii="Times New Roman" w:eastAsiaTheme="minorEastAsia" w:hAnsi="Times New Roman" w:hint="eastAsia"/>
          <w:kern w:val="0"/>
          <w:sz w:val="21"/>
          <w:szCs w:val="21"/>
        </w:rPr>
        <w:t xml:space="preserve"> </w:t>
      </w:r>
      <w:r w:rsidR="000B6328" w:rsidRPr="0098332C">
        <w:rPr>
          <w:rFonts w:ascii="Times New Roman" w:eastAsiaTheme="minorEastAsia" w:hAnsi="Times New Roman"/>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持有基金份额总量的数量区间（万份）</w:t>
            </w:r>
          </w:p>
        </w:tc>
      </w:tr>
      <w:tr w:rsidR="00B25A79" w:rsidRPr="0098332C" w:rsidTr="00C42949">
        <w:trPr>
          <w:trHeight w:val="713"/>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本公司高级管理人员、基金投资和研究部门负责人</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本基金基金经理</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49" w:name="_Toc225500053"/>
      <w:bookmarkStart w:id="250" w:name="_Toc352256009"/>
      <w:bookmarkStart w:id="251" w:name="_Toc352256077"/>
      <w:bookmarkStart w:id="252" w:name="_Toc352331255"/>
      <w:bookmarkStart w:id="253" w:name="_Toc390164839"/>
      <w:r w:rsidRPr="0098332C">
        <w:rPr>
          <w:rFonts w:eastAsiaTheme="minorEastAsia"/>
          <w:b/>
          <w:bCs/>
          <w:sz w:val="21"/>
          <w:szCs w:val="21"/>
          <w:lang w:val="en-US"/>
        </w:rPr>
        <w:t>9</w:t>
      </w:r>
      <w:r w:rsidR="00E909F1">
        <w:rPr>
          <w:rFonts w:eastAsiaTheme="minorEastAsia"/>
          <w:b/>
          <w:bCs/>
          <w:sz w:val="21"/>
          <w:szCs w:val="21"/>
          <w:lang w:val="en-US"/>
        </w:rPr>
        <w:t xml:space="preserve">  </w:t>
      </w:r>
      <w:r w:rsidRPr="0098332C">
        <w:rPr>
          <w:rFonts w:eastAsiaTheme="minorEastAsia"/>
          <w:b/>
          <w:bCs/>
          <w:sz w:val="21"/>
          <w:szCs w:val="21"/>
          <w:lang w:val="en-US"/>
        </w:rPr>
        <w:t>开放式基金份额变动</w:t>
      </w:r>
      <w:bookmarkEnd w:id="249"/>
      <w:bookmarkEnd w:id="250"/>
      <w:bookmarkEnd w:id="251"/>
      <w:bookmarkEnd w:id="252"/>
      <w:bookmarkEnd w:id="253"/>
    </w:p>
    <w:p w:rsidR="008A5A5D" w:rsidRPr="0098332C" w:rsidRDefault="008A5A5D" w:rsidP="002116B9">
      <w:pPr>
        <w:jc w:val="right"/>
        <w:rPr>
          <w:rFonts w:eastAsiaTheme="minorEastAsia"/>
          <w:szCs w:val="21"/>
        </w:rPr>
      </w:pPr>
      <w:r w:rsidRPr="0098332C">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基金合同生效日（</w:t>
            </w:r>
            <w:r w:rsidR="00AC4A34" w:rsidRPr="0098332C">
              <w:rPr>
                <w:rFonts w:eastAsiaTheme="minorEastAsia"/>
                <w:szCs w:val="21"/>
              </w:rPr>
              <w:t>2018</w:t>
            </w:r>
            <w:r w:rsidR="00AC4A34" w:rsidRPr="0098332C">
              <w:rPr>
                <w:rFonts w:eastAsiaTheme="minorEastAsia"/>
                <w:szCs w:val="21"/>
              </w:rPr>
              <w:t>年</w:t>
            </w:r>
            <w:r w:rsidR="00AC4A34" w:rsidRPr="0098332C">
              <w:rPr>
                <w:rFonts w:eastAsiaTheme="minorEastAsia"/>
                <w:szCs w:val="21"/>
              </w:rPr>
              <w:t>4</w:t>
            </w:r>
            <w:r w:rsidR="00AC4A34" w:rsidRPr="0098332C">
              <w:rPr>
                <w:rFonts w:eastAsiaTheme="minorEastAsia"/>
                <w:szCs w:val="21"/>
              </w:rPr>
              <w:t>月</w:t>
            </w:r>
            <w:r w:rsidR="00AC4A34" w:rsidRPr="0098332C">
              <w:rPr>
                <w:rFonts w:eastAsiaTheme="minorEastAsia"/>
                <w:szCs w:val="21"/>
              </w:rPr>
              <w:t>26</w:t>
            </w:r>
            <w:r w:rsidR="00AC4A34" w:rsidRPr="0098332C">
              <w:rPr>
                <w:rFonts w:eastAsiaTheme="minorEastAsia"/>
                <w:szCs w:val="21"/>
              </w:rPr>
              <w:t>日</w:t>
            </w:r>
            <w:r w:rsidRPr="0098332C">
              <w:rPr>
                <w:rFonts w:eastAsiaTheme="minorEastAsia"/>
                <w:szCs w:val="21"/>
              </w:rPr>
              <w:t>）基金份额总额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217,433,561.84</w:t>
            </w:r>
          </w:p>
        </w:tc>
      </w:tr>
      <w:tr w:rsidR="008A5A5D" w:rsidRPr="0098332C" w:rsidTr="00C42949">
        <w:tc>
          <w:tcPr>
            <w:tcW w:w="4928" w:type="dxa"/>
          </w:tcPr>
          <w:p w:rsidR="008A5A5D" w:rsidRPr="0098332C" w:rsidRDefault="004576F7" w:rsidP="004A4847">
            <w:pPr>
              <w:rPr>
                <w:rFonts w:eastAsiaTheme="minorEastAsia"/>
                <w:szCs w:val="21"/>
              </w:rPr>
            </w:pPr>
            <w:r w:rsidRPr="0098332C">
              <w:rPr>
                <w:rFonts w:eastAsiaTheme="minorEastAsia"/>
                <w:szCs w:val="21"/>
              </w:rPr>
              <w:t>本报告期期初基金份额总额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177,091,479.68</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基金总申购份额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43,452,406.29</w:t>
            </w:r>
          </w:p>
        </w:tc>
      </w:tr>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减：</w:t>
            </w:r>
            <w:r w:rsidR="00107C33" w:rsidRPr="0098332C">
              <w:rPr>
                <w:rFonts w:eastAsiaTheme="minorEastAsia"/>
                <w:szCs w:val="21"/>
              </w:rPr>
              <w:t>本报告期</w:t>
            </w:r>
            <w:r w:rsidRPr="0098332C">
              <w:rPr>
                <w:rFonts w:eastAsiaTheme="minorEastAsia"/>
                <w:szCs w:val="21"/>
              </w:rPr>
              <w:t>基金总赎回份额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76,736,011.73</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基金拆分变动份额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w:t>
            </w:r>
          </w:p>
        </w:tc>
      </w:tr>
      <w:tr w:rsidR="008A5A5D" w:rsidRPr="0098332C" w:rsidTr="00C42949">
        <w:tc>
          <w:tcPr>
            <w:tcW w:w="4928" w:type="dxa"/>
          </w:tcPr>
          <w:p w:rsidR="008A5A5D" w:rsidRPr="0098332C" w:rsidRDefault="00B73DCE" w:rsidP="004A4847">
            <w:pPr>
              <w:rPr>
                <w:rFonts w:eastAsiaTheme="minorEastAsia"/>
                <w:szCs w:val="21"/>
              </w:rPr>
            </w:pPr>
            <w:r w:rsidRPr="0098332C">
              <w:rPr>
                <w:rFonts w:eastAsiaTheme="minorEastAsia" w:hint="eastAsia"/>
                <w:szCs w:val="21"/>
              </w:rPr>
              <w:t>本报告期</w:t>
            </w:r>
            <w:r w:rsidR="008A5A5D" w:rsidRPr="0098332C">
              <w:rPr>
                <w:rFonts w:eastAsiaTheme="minorEastAsia"/>
                <w:szCs w:val="21"/>
              </w:rPr>
              <w:t>期末基金份额总额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143,807,874.24</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54" w:name="_Toc225500054"/>
      <w:bookmarkStart w:id="255" w:name="_Toc352256010"/>
      <w:bookmarkStart w:id="256" w:name="_Toc352256078"/>
      <w:bookmarkStart w:id="257" w:name="_Toc352331256"/>
      <w:bookmarkStart w:id="258" w:name="_Toc390164840"/>
      <w:r w:rsidRPr="0098332C">
        <w:rPr>
          <w:rFonts w:eastAsiaTheme="minorEastAsia"/>
          <w:b/>
          <w:bCs/>
          <w:sz w:val="21"/>
          <w:szCs w:val="21"/>
          <w:lang w:val="en-US"/>
        </w:rPr>
        <w:t>10</w:t>
      </w:r>
      <w:r w:rsidR="00E909F1">
        <w:rPr>
          <w:rFonts w:eastAsiaTheme="minorEastAsia"/>
          <w:b/>
          <w:bCs/>
          <w:sz w:val="21"/>
          <w:szCs w:val="21"/>
          <w:lang w:val="en-US"/>
        </w:rPr>
        <w:t xml:space="preserve">  </w:t>
      </w:r>
      <w:r w:rsidRPr="0098332C">
        <w:rPr>
          <w:rFonts w:eastAsiaTheme="minorEastAsia"/>
          <w:b/>
          <w:bCs/>
          <w:sz w:val="21"/>
          <w:szCs w:val="21"/>
          <w:lang w:val="en-US"/>
        </w:rPr>
        <w:t>重大事件揭示</w:t>
      </w:r>
      <w:bookmarkEnd w:id="254"/>
      <w:bookmarkEnd w:id="255"/>
      <w:bookmarkEnd w:id="256"/>
      <w:bookmarkEnd w:id="257"/>
      <w:bookmarkEnd w:id="258"/>
    </w:p>
    <w:p w:rsidR="00130843" w:rsidRDefault="006C629E" w:rsidP="00130843">
      <w:pPr>
        <w:pStyle w:val="20"/>
        <w:spacing w:before="29" w:after="0" w:line="288" w:lineRule="auto"/>
        <w:rPr>
          <w:rFonts w:ascii="Times New Roman" w:hAnsi="Times New Roman"/>
          <w:kern w:val="0"/>
          <w:sz w:val="21"/>
          <w:szCs w:val="21"/>
        </w:rPr>
      </w:pPr>
      <w:bookmarkStart w:id="259" w:name="_Toc374438161"/>
      <w:bookmarkStart w:id="260" w:name="_Toc361324894"/>
      <w:bookmarkStart w:id="261" w:name="_Toc352256018"/>
      <w:bookmarkStart w:id="262" w:name="_Toc352256086"/>
      <w:bookmarkStart w:id="263" w:name="_Toc352331264"/>
      <w:bookmarkStart w:id="264" w:name="_Toc390164848"/>
      <w:r>
        <w:rPr>
          <w:rFonts w:ascii="Times New Roman" w:hAnsi="Times New Roman"/>
          <w:kern w:val="0"/>
          <w:sz w:val="21"/>
          <w:szCs w:val="21"/>
        </w:rPr>
        <w:t xml:space="preserve">10.1 </w:t>
      </w:r>
      <w:r w:rsidR="00130843">
        <w:rPr>
          <w:rFonts w:ascii="Times New Roman" w:hAnsi="Times New Roman" w:hint="eastAsia"/>
          <w:kern w:val="0"/>
          <w:sz w:val="21"/>
          <w:szCs w:val="21"/>
        </w:rPr>
        <w:t>基金份额持有人大会决议</w:t>
      </w:r>
      <w:bookmarkEnd w:id="259"/>
      <w:bookmarkEnd w:id="260"/>
    </w:p>
    <w:p w:rsidR="00130843" w:rsidRDefault="00130843" w:rsidP="00130843">
      <w:pPr>
        <w:tabs>
          <w:tab w:val="left" w:pos="426"/>
        </w:tabs>
        <w:spacing w:before="29" w:line="288" w:lineRule="auto"/>
        <w:jc w:val="left"/>
        <w:rPr>
          <w:kern w:val="0"/>
          <w:szCs w:val="21"/>
        </w:rPr>
      </w:pPr>
      <w:r>
        <w:rPr>
          <w:kern w:val="0"/>
          <w:szCs w:val="21"/>
        </w:rPr>
        <w:t>本报告期内无基金份额持有人大会决议。</w:t>
      </w:r>
    </w:p>
    <w:p w:rsidR="00130843" w:rsidRDefault="006C629E" w:rsidP="00130843">
      <w:pPr>
        <w:pStyle w:val="20"/>
        <w:spacing w:before="29" w:after="0" w:line="288" w:lineRule="auto"/>
        <w:rPr>
          <w:rFonts w:ascii="Times New Roman" w:hAnsi="Times New Roman"/>
          <w:kern w:val="0"/>
          <w:sz w:val="21"/>
          <w:szCs w:val="21"/>
        </w:rPr>
      </w:pPr>
      <w:bookmarkStart w:id="265" w:name="_Toc374438162"/>
      <w:bookmarkStart w:id="266" w:name="_Toc361324895"/>
      <w:r>
        <w:rPr>
          <w:rFonts w:ascii="Times New Roman" w:hAnsi="Times New Roman"/>
          <w:kern w:val="0"/>
          <w:sz w:val="21"/>
          <w:szCs w:val="21"/>
        </w:rPr>
        <w:t xml:space="preserve">10.2 </w:t>
      </w:r>
      <w:r w:rsidR="00130843">
        <w:rPr>
          <w:rFonts w:ascii="Times New Roman" w:hAnsi="Times New Roman" w:hint="eastAsia"/>
          <w:kern w:val="0"/>
          <w:sz w:val="21"/>
          <w:szCs w:val="21"/>
        </w:rPr>
        <w:t>基金管理人、基金托管人的专门基金托管部门的重大人事变动</w:t>
      </w:r>
      <w:bookmarkEnd w:id="265"/>
      <w:bookmarkEnd w:id="266"/>
    </w:p>
    <w:p w:rsidR="00122FB4" w:rsidRDefault="003502BE">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122FB4" w:rsidRDefault="003502BE">
      <w:pPr>
        <w:tabs>
          <w:tab w:val="left" w:pos="426"/>
        </w:tabs>
        <w:spacing w:before="29" w:line="288" w:lineRule="auto"/>
        <w:jc w:val="left"/>
        <w:rPr>
          <w:kern w:val="0"/>
          <w:szCs w:val="21"/>
        </w:rPr>
      </w:pPr>
      <w:r>
        <w:rPr>
          <w:kern w:val="0"/>
          <w:szCs w:val="21"/>
        </w:rPr>
        <w:t>基金托管人：</w:t>
      </w:r>
    </w:p>
    <w:p w:rsidR="00130843" w:rsidRDefault="00130843" w:rsidP="00130843">
      <w:pPr>
        <w:tabs>
          <w:tab w:val="left" w:pos="426"/>
        </w:tabs>
        <w:spacing w:before="29" w:line="288" w:lineRule="auto"/>
        <w:jc w:val="left"/>
        <w:rPr>
          <w:kern w:val="0"/>
          <w:szCs w:val="21"/>
        </w:rPr>
      </w:pPr>
      <w:r>
        <w:rPr>
          <w:kern w:val="0"/>
          <w:szCs w:val="21"/>
        </w:rPr>
        <w:t>无。</w:t>
      </w:r>
    </w:p>
    <w:p w:rsidR="00130843" w:rsidRDefault="006C629E" w:rsidP="00130843">
      <w:pPr>
        <w:pStyle w:val="20"/>
        <w:spacing w:before="29" w:after="0" w:line="288" w:lineRule="auto"/>
        <w:rPr>
          <w:rFonts w:ascii="Times New Roman" w:hAnsi="Times New Roman"/>
          <w:kern w:val="0"/>
          <w:sz w:val="21"/>
          <w:szCs w:val="21"/>
        </w:rPr>
      </w:pPr>
      <w:bookmarkStart w:id="267" w:name="_Toc374438163"/>
      <w:bookmarkStart w:id="268" w:name="_Toc361324896"/>
      <w:r>
        <w:rPr>
          <w:rFonts w:ascii="Times New Roman" w:hAnsi="Times New Roman"/>
          <w:kern w:val="0"/>
          <w:sz w:val="21"/>
          <w:szCs w:val="21"/>
        </w:rPr>
        <w:t xml:space="preserve">10.3 </w:t>
      </w:r>
      <w:r w:rsidR="00130843">
        <w:rPr>
          <w:rFonts w:ascii="Times New Roman" w:hAnsi="Times New Roman" w:hint="eastAsia"/>
          <w:kern w:val="0"/>
          <w:sz w:val="21"/>
          <w:szCs w:val="21"/>
        </w:rPr>
        <w:t>涉及基金管理人、基金财产、基金托管业务的诉讼</w:t>
      </w:r>
      <w:bookmarkEnd w:id="267"/>
      <w:bookmarkEnd w:id="268"/>
    </w:p>
    <w:p w:rsidR="00130843" w:rsidRDefault="00130843" w:rsidP="00130843">
      <w:pPr>
        <w:tabs>
          <w:tab w:val="left" w:pos="426"/>
        </w:tabs>
        <w:spacing w:before="29" w:line="288" w:lineRule="auto"/>
        <w:jc w:val="left"/>
        <w:rPr>
          <w:kern w:val="0"/>
          <w:szCs w:val="21"/>
        </w:rPr>
      </w:pPr>
      <w:r>
        <w:rPr>
          <w:kern w:val="0"/>
          <w:szCs w:val="21"/>
        </w:rPr>
        <w:t>本报告期内无涉及基金管理人、基金财产、基金托管业务的诉讼。</w:t>
      </w:r>
    </w:p>
    <w:p w:rsidR="00130843" w:rsidRDefault="006C629E" w:rsidP="00130843">
      <w:pPr>
        <w:pStyle w:val="20"/>
        <w:spacing w:before="29" w:after="0" w:line="288" w:lineRule="auto"/>
        <w:rPr>
          <w:rFonts w:ascii="Times New Roman" w:hAnsi="Times New Roman"/>
          <w:kern w:val="0"/>
          <w:sz w:val="21"/>
          <w:szCs w:val="21"/>
        </w:rPr>
      </w:pPr>
      <w:bookmarkStart w:id="269" w:name="_Toc374438164"/>
      <w:bookmarkStart w:id="270" w:name="_Toc361324897"/>
      <w:r>
        <w:rPr>
          <w:rFonts w:ascii="Times New Roman" w:hAnsi="Times New Roman"/>
          <w:kern w:val="0"/>
          <w:sz w:val="21"/>
          <w:szCs w:val="21"/>
        </w:rPr>
        <w:t xml:space="preserve">10.4 </w:t>
      </w:r>
      <w:r w:rsidR="00130843">
        <w:rPr>
          <w:rFonts w:ascii="Times New Roman" w:hAnsi="Times New Roman" w:hint="eastAsia"/>
          <w:kern w:val="0"/>
          <w:sz w:val="21"/>
          <w:szCs w:val="21"/>
        </w:rPr>
        <w:t>基金投资策略的改变</w:t>
      </w:r>
      <w:bookmarkEnd w:id="269"/>
      <w:bookmarkEnd w:id="270"/>
    </w:p>
    <w:p w:rsidR="00130843" w:rsidRDefault="00130843" w:rsidP="00130843">
      <w:pPr>
        <w:tabs>
          <w:tab w:val="left" w:pos="426"/>
        </w:tabs>
        <w:spacing w:before="29" w:line="288" w:lineRule="auto"/>
        <w:jc w:val="left"/>
        <w:rPr>
          <w:kern w:val="0"/>
          <w:szCs w:val="21"/>
        </w:rPr>
      </w:pPr>
      <w:r>
        <w:rPr>
          <w:kern w:val="0"/>
          <w:szCs w:val="21"/>
        </w:rPr>
        <w:t>本报告期内无基金投资策略的改变。</w:t>
      </w:r>
    </w:p>
    <w:p w:rsidR="00130843" w:rsidRDefault="00130843" w:rsidP="00130843">
      <w:pPr>
        <w:pStyle w:val="20"/>
        <w:spacing w:before="29" w:after="0" w:line="288" w:lineRule="auto"/>
        <w:rPr>
          <w:rFonts w:ascii="Times New Roman" w:hAnsi="Times New Roman"/>
          <w:kern w:val="0"/>
          <w:sz w:val="21"/>
          <w:szCs w:val="21"/>
        </w:rPr>
      </w:pPr>
      <w:bookmarkStart w:id="271" w:name="_Toc409100103"/>
      <w:bookmarkStart w:id="272" w:name="_Toc409100466"/>
      <w:r>
        <w:rPr>
          <w:rFonts w:ascii="Times New Roman" w:hAnsi="Times New Roman"/>
          <w:kern w:val="0"/>
          <w:sz w:val="21"/>
          <w:szCs w:val="21"/>
        </w:rPr>
        <w:t>10.5</w:t>
      </w:r>
      <w:r w:rsidR="00E74A64">
        <w:rPr>
          <w:rFonts w:ascii="Times New Roman" w:hAnsi="Times New Roman" w:hint="eastAsia"/>
          <w:kern w:val="0"/>
          <w:sz w:val="21"/>
          <w:szCs w:val="21"/>
        </w:rPr>
        <w:t xml:space="preserve"> </w:t>
      </w:r>
      <w:r>
        <w:rPr>
          <w:rFonts w:ascii="Times New Roman" w:hAnsi="Times New Roman" w:hint="eastAsia"/>
          <w:kern w:val="0"/>
          <w:sz w:val="21"/>
          <w:szCs w:val="21"/>
        </w:rPr>
        <w:t>为基金进行审计的会计师事务所情况</w:t>
      </w:r>
      <w:bookmarkEnd w:id="271"/>
      <w:bookmarkEnd w:id="272"/>
    </w:p>
    <w:p w:rsidR="00130843" w:rsidRDefault="00130843" w:rsidP="00130843">
      <w:pPr>
        <w:tabs>
          <w:tab w:val="left" w:pos="426"/>
        </w:tabs>
        <w:spacing w:before="29" w:line="288" w:lineRule="auto"/>
        <w:jc w:val="left"/>
        <w:rPr>
          <w:kern w:val="0"/>
          <w:szCs w:val="21"/>
        </w:rPr>
      </w:pPr>
      <w:r>
        <w:rPr>
          <w:kern w:val="0"/>
          <w:szCs w:val="21"/>
        </w:rPr>
        <w:t>本报告期内，本基金未发生改聘为其审计的会计师事务所的情况。</w:t>
      </w:r>
    </w:p>
    <w:p w:rsidR="00130843" w:rsidRDefault="00130843" w:rsidP="00130843">
      <w:pPr>
        <w:pStyle w:val="20"/>
        <w:spacing w:before="29" w:after="0" w:line="288" w:lineRule="auto"/>
        <w:rPr>
          <w:rFonts w:ascii="Times New Roman" w:hAnsi="Times New Roman"/>
          <w:kern w:val="0"/>
          <w:sz w:val="21"/>
          <w:szCs w:val="21"/>
        </w:rPr>
      </w:pPr>
      <w:bookmarkStart w:id="273" w:name="_Toc361324899"/>
      <w:bookmarkStart w:id="274" w:name="_Toc409100467"/>
      <w:bookmarkStart w:id="275" w:name="_Toc409100104"/>
      <w:r>
        <w:rPr>
          <w:rFonts w:ascii="Times New Roman" w:hAnsi="Times New Roman"/>
          <w:kern w:val="0"/>
          <w:sz w:val="21"/>
          <w:szCs w:val="21"/>
        </w:rPr>
        <w:t>10.6</w:t>
      </w:r>
      <w:r w:rsidR="00E74A64">
        <w:rPr>
          <w:rFonts w:ascii="Times New Roman" w:hAnsi="Times New Roman" w:hint="eastAsia"/>
          <w:kern w:val="0"/>
          <w:sz w:val="21"/>
          <w:szCs w:val="21"/>
        </w:rPr>
        <w:t xml:space="preserve"> </w:t>
      </w:r>
      <w:r>
        <w:rPr>
          <w:rFonts w:ascii="Times New Roman" w:hAnsi="Times New Roman" w:hint="eastAsia"/>
          <w:kern w:val="0"/>
          <w:sz w:val="21"/>
          <w:szCs w:val="21"/>
        </w:rPr>
        <w:t>管理人、托管人及其高级管理人员受稽查或处罚等情况</w:t>
      </w:r>
      <w:bookmarkEnd w:id="273"/>
      <w:bookmarkEnd w:id="274"/>
      <w:bookmarkEnd w:id="275"/>
    </w:p>
    <w:p w:rsidR="00130843" w:rsidRDefault="00130843" w:rsidP="00130843">
      <w:pPr>
        <w:tabs>
          <w:tab w:val="left" w:pos="426"/>
        </w:tabs>
        <w:spacing w:before="29" w:line="288" w:lineRule="auto"/>
        <w:jc w:val="left"/>
        <w:rPr>
          <w:kern w:val="0"/>
          <w:szCs w:val="21"/>
        </w:rPr>
      </w:pPr>
      <w:r>
        <w:rPr>
          <w:kern w:val="0"/>
          <w:szCs w:val="21"/>
        </w:rPr>
        <w:t>报告期内，管理人、托管人未受稽查或处罚，亦未发现管理人、托管人的高级管理人员受稽查或处罚。</w:t>
      </w:r>
    </w:p>
    <w:p w:rsidR="00130843" w:rsidRDefault="00130843" w:rsidP="00130843">
      <w:pPr>
        <w:pStyle w:val="20"/>
        <w:spacing w:before="29" w:after="0" w:line="288" w:lineRule="auto"/>
        <w:rPr>
          <w:rFonts w:ascii="Times New Roman" w:hAnsi="Times New Roman"/>
          <w:kern w:val="0"/>
          <w:sz w:val="21"/>
          <w:szCs w:val="21"/>
        </w:rPr>
      </w:pPr>
      <w:bookmarkStart w:id="276" w:name="_Toc409100105"/>
      <w:bookmarkStart w:id="277" w:name="_Toc409100468"/>
      <w:bookmarkStart w:id="278" w:name="_Toc361324900"/>
      <w:r>
        <w:rPr>
          <w:rFonts w:ascii="Times New Roman" w:hAnsi="Times New Roman"/>
          <w:kern w:val="0"/>
          <w:sz w:val="21"/>
          <w:szCs w:val="21"/>
        </w:rPr>
        <w:t>10.7</w:t>
      </w:r>
      <w:r w:rsidR="00E74A64">
        <w:rPr>
          <w:rFonts w:ascii="Times New Roman" w:hAnsi="Times New Roman" w:hint="eastAsia"/>
          <w:kern w:val="0"/>
          <w:sz w:val="21"/>
          <w:szCs w:val="21"/>
        </w:rPr>
        <w:t xml:space="preserve"> </w:t>
      </w:r>
      <w:r>
        <w:rPr>
          <w:rFonts w:ascii="Times New Roman" w:hAnsi="Times New Roman" w:hint="eastAsia"/>
          <w:kern w:val="0"/>
          <w:sz w:val="21"/>
          <w:szCs w:val="21"/>
        </w:rPr>
        <w:t>基金租用证券公司交易单元的有关情况</w:t>
      </w:r>
      <w:bookmarkEnd w:id="276"/>
      <w:bookmarkEnd w:id="277"/>
      <w:bookmarkEnd w:id="278"/>
    </w:p>
    <w:p w:rsidR="00130843" w:rsidRDefault="00130843" w:rsidP="00130843">
      <w:pPr>
        <w:tabs>
          <w:tab w:val="left" w:pos="426"/>
        </w:tabs>
        <w:spacing w:before="29" w:line="288" w:lineRule="auto"/>
        <w:jc w:val="left"/>
        <w:rPr>
          <w:b/>
          <w:kern w:val="0"/>
          <w:szCs w:val="21"/>
        </w:rPr>
      </w:pPr>
      <w:bookmarkStart w:id="279" w:name="_Toc249760070"/>
      <w:r>
        <w:rPr>
          <w:b/>
          <w:kern w:val="0"/>
          <w:szCs w:val="21"/>
        </w:rPr>
        <w:t>10.7.1</w:t>
      </w:r>
      <w:r>
        <w:rPr>
          <w:rFonts w:hint="eastAsia"/>
          <w:b/>
          <w:kern w:val="0"/>
          <w:szCs w:val="21"/>
        </w:rPr>
        <w:t>基金租用证券公司交易单元进行股票投资及佣金支付情况</w:t>
      </w:r>
      <w:bookmarkEnd w:id="279"/>
    </w:p>
    <w:p w:rsidR="00270B6C" w:rsidRPr="0098332C" w:rsidRDefault="00270B6C" w:rsidP="00270B6C">
      <w:pPr>
        <w:pStyle w:val="a0"/>
        <w:spacing w:line="360" w:lineRule="auto"/>
        <w:ind w:firstLineChars="2600" w:firstLine="5460"/>
        <w:jc w:val="right"/>
        <w:rPr>
          <w:rFonts w:eastAsiaTheme="minorEastAsia"/>
          <w:szCs w:val="21"/>
        </w:rPr>
      </w:pPr>
      <w:r w:rsidRPr="0098332C">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98332C" w:rsidTr="00AC740E">
        <w:tc>
          <w:tcPr>
            <w:tcW w:w="1560" w:type="dxa"/>
            <w:vMerge w:val="restart"/>
            <w:vAlign w:val="center"/>
          </w:tcPr>
          <w:p w:rsidR="00270B6C" w:rsidRPr="0098332C" w:rsidRDefault="00270B6C" w:rsidP="00AC740E">
            <w:pPr>
              <w:spacing w:line="276" w:lineRule="auto"/>
              <w:jc w:val="center"/>
              <w:rPr>
                <w:rFonts w:eastAsiaTheme="minorEastAsia"/>
                <w:szCs w:val="21"/>
              </w:rPr>
            </w:pPr>
            <w:bookmarkStart w:id="280" w:name="_Toc249760071"/>
            <w:r w:rsidRPr="0098332C">
              <w:rPr>
                <w:rFonts w:eastAsiaTheme="minorEastAsia"/>
                <w:szCs w:val="21"/>
              </w:rPr>
              <w:t>券商名称</w:t>
            </w:r>
          </w:p>
        </w:tc>
        <w:tc>
          <w:tcPr>
            <w:tcW w:w="780" w:type="dxa"/>
            <w:vMerge w:val="restart"/>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交易单元数量</w:t>
            </w:r>
          </w:p>
        </w:tc>
        <w:tc>
          <w:tcPr>
            <w:tcW w:w="288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股票交易</w:t>
            </w:r>
          </w:p>
        </w:tc>
        <w:tc>
          <w:tcPr>
            <w:tcW w:w="270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应支付该券商的佣金</w:t>
            </w:r>
          </w:p>
        </w:tc>
        <w:tc>
          <w:tcPr>
            <w:tcW w:w="1080" w:type="dxa"/>
            <w:vMerge w:val="restart"/>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备注</w:t>
            </w:r>
          </w:p>
        </w:tc>
      </w:tr>
      <w:tr w:rsidR="00270B6C" w:rsidRPr="0098332C" w:rsidTr="00AC740E">
        <w:tc>
          <w:tcPr>
            <w:tcW w:w="1560" w:type="dxa"/>
            <w:vMerge/>
            <w:vAlign w:val="center"/>
          </w:tcPr>
          <w:p w:rsidR="00270B6C" w:rsidRPr="0098332C" w:rsidRDefault="00270B6C" w:rsidP="00AC740E">
            <w:pPr>
              <w:widowControl/>
              <w:spacing w:line="276" w:lineRule="auto"/>
              <w:jc w:val="left"/>
              <w:rPr>
                <w:rFonts w:eastAsiaTheme="minorEastAsia"/>
                <w:szCs w:val="21"/>
              </w:rPr>
            </w:pPr>
          </w:p>
        </w:tc>
        <w:tc>
          <w:tcPr>
            <w:tcW w:w="780" w:type="dxa"/>
            <w:vMerge/>
            <w:vAlign w:val="center"/>
          </w:tcPr>
          <w:p w:rsidR="00270B6C" w:rsidRPr="0098332C" w:rsidRDefault="00270B6C" w:rsidP="00AC740E">
            <w:pPr>
              <w:widowControl/>
              <w:spacing w:line="276" w:lineRule="auto"/>
              <w:jc w:val="left"/>
              <w:rPr>
                <w:rFonts w:eastAsiaTheme="minorEastAsia"/>
                <w:szCs w:val="21"/>
              </w:rPr>
            </w:pPr>
          </w:p>
        </w:tc>
        <w:tc>
          <w:tcPr>
            <w:tcW w:w="180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成交金额</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占当期股票成交总额的比例</w:t>
            </w:r>
          </w:p>
        </w:tc>
        <w:tc>
          <w:tcPr>
            <w:tcW w:w="1620" w:type="dxa"/>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佣金</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占当期佣金总量的比例</w:t>
            </w:r>
          </w:p>
        </w:tc>
        <w:tc>
          <w:tcPr>
            <w:tcW w:w="1080" w:type="dxa"/>
            <w:vMerge/>
            <w:vAlign w:val="center"/>
          </w:tcPr>
          <w:p w:rsidR="00270B6C" w:rsidRPr="0098332C" w:rsidRDefault="00270B6C" w:rsidP="00AC740E">
            <w:pPr>
              <w:widowControl/>
              <w:spacing w:line="276" w:lineRule="auto"/>
              <w:jc w:val="left"/>
              <w:rPr>
                <w:rFonts w:eastAsiaTheme="minorEastAsia"/>
                <w:kern w:val="0"/>
                <w:szCs w:val="21"/>
              </w:rPr>
            </w:pPr>
          </w:p>
        </w:tc>
      </w:tr>
      <w:tr w:rsidR="00122FB4">
        <w:tc>
          <w:tcPr>
            <w:tcW w:w="1560" w:type="dxa"/>
            <w:vAlign w:val="center"/>
          </w:tcPr>
          <w:p w:rsidR="00122FB4" w:rsidRDefault="003502BE">
            <w:pPr>
              <w:jc w:val="left"/>
            </w:pPr>
            <w:r>
              <w:rPr>
                <w:rFonts w:eastAsiaTheme="minorEastAsia"/>
                <w:szCs w:val="21"/>
              </w:rPr>
              <w:t>安信证券</w:t>
            </w:r>
          </w:p>
        </w:tc>
        <w:tc>
          <w:tcPr>
            <w:tcW w:w="780" w:type="dxa"/>
            <w:vAlign w:val="center"/>
          </w:tcPr>
          <w:p w:rsidR="00122FB4" w:rsidRDefault="003502BE">
            <w:pPr>
              <w:jc w:val="right"/>
            </w:pPr>
            <w:r>
              <w:rPr>
                <w:rFonts w:eastAsiaTheme="minorEastAsia"/>
                <w:szCs w:val="21"/>
              </w:rPr>
              <w:t>-</w:t>
            </w:r>
          </w:p>
        </w:tc>
        <w:tc>
          <w:tcPr>
            <w:tcW w:w="1800" w:type="dxa"/>
            <w:vAlign w:val="center"/>
          </w:tcPr>
          <w:p w:rsidR="00122FB4" w:rsidRDefault="003502BE">
            <w:pPr>
              <w:jc w:val="right"/>
            </w:pPr>
            <w:r>
              <w:rPr>
                <w:rFonts w:eastAsiaTheme="minorEastAsia"/>
                <w:szCs w:val="21"/>
              </w:rPr>
              <w:t>-</w:t>
            </w:r>
          </w:p>
        </w:tc>
        <w:tc>
          <w:tcPr>
            <w:tcW w:w="1080" w:type="dxa"/>
            <w:vAlign w:val="center"/>
          </w:tcPr>
          <w:p w:rsidR="00122FB4" w:rsidRDefault="003502BE">
            <w:pPr>
              <w:jc w:val="right"/>
            </w:pPr>
            <w:r>
              <w:rPr>
                <w:rFonts w:eastAsiaTheme="minorEastAsia"/>
                <w:szCs w:val="21"/>
              </w:rPr>
              <w:t>-</w:t>
            </w:r>
          </w:p>
        </w:tc>
        <w:tc>
          <w:tcPr>
            <w:tcW w:w="1620" w:type="dxa"/>
            <w:vAlign w:val="center"/>
          </w:tcPr>
          <w:p w:rsidR="00122FB4" w:rsidRDefault="003502BE">
            <w:pPr>
              <w:jc w:val="right"/>
            </w:pPr>
            <w:r>
              <w:rPr>
                <w:rFonts w:eastAsiaTheme="minorEastAsia"/>
                <w:szCs w:val="21"/>
              </w:rPr>
              <w:t>-</w:t>
            </w:r>
          </w:p>
        </w:tc>
        <w:tc>
          <w:tcPr>
            <w:tcW w:w="1080" w:type="dxa"/>
            <w:vAlign w:val="center"/>
          </w:tcPr>
          <w:p w:rsidR="00122FB4" w:rsidRDefault="003502BE">
            <w:pPr>
              <w:jc w:val="right"/>
            </w:pPr>
            <w:r>
              <w:rPr>
                <w:rFonts w:eastAsiaTheme="minorEastAsia"/>
                <w:szCs w:val="21"/>
              </w:rPr>
              <w:t>-</w:t>
            </w:r>
          </w:p>
        </w:tc>
        <w:tc>
          <w:tcPr>
            <w:tcW w:w="1080" w:type="dxa"/>
            <w:vAlign w:val="center"/>
          </w:tcPr>
          <w:p w:rsidR="00122FB4" w:rsidRDefault="003502BE">
            <w:pPr>
              <w:jc w:val="left"/>
            </w:pPr>
            <w:r>
              <w:rPr>
                <w:rFonts w:eastAsiaTheme="minorEastAsia"/>
                <w:szCs w:val="21"/>
              </w:rPr>
              <w:t>-</w:t>
            </w:r>
          </w:p>
        </w:tc>
      </w:tr>
      <w:tr w:rsidR="00122FB4">
        <w:tc>
          <w:tcPr>
            <w:tcW w:w="1560" w:type="dxa"/>
            <w:vAlign w:val="center"/>
          </w:tcPr>
          <w:p w:rsidR="00122FB4" w:rsidRDefault="003502BE">
            <w:pPr>
              <w:jc w:val="left"/>
            </w:pPr>
            <w:r>
              <w:rPr>
                <w:rFonts w:eastAsiaTheme="minorEastAsia"/>
                <w:szCs w:val="21"/>
              </w:rPr>
              <w:t>中金公司</w:t>
            </w:r>
          </w:p>
        </w:tc>
        <w:tc>
          <w:tcPr>
            <w:tcW w:w="780" w:type="dxa"/>
            <w:vAlign w:val="center"/>
          </w:tcPr>
          <w:p w:rsidR="00122FB4" w:rsidRDefault="003502BE">
            <w:pPr>
              <w:jc w:val="right"/>
            </w:pPr>
            <w:r>
              <w:rPr>
                <w:rFonts w:eastAsiaTheme="minorEastAsia"/>
                <w:szCs w:val="21"/>
              </w:rPr>
              <w:t>-</w:t>
            </w:r>
          </w:p>
        </w:tc>
        <w:tc>
          <w:tcPr>
            <w:tcW w:w="1800" w:type="dxa"/>
            <w:vAlign w:val="center"/>
          </w:tcPr>
          <w:p w:rsidR="00122FB4" w:rsidRDefault="003502BE">
            <w:pPr>
              <w:jc w:val="right"/>
            </w:pPr>
            <w:r>
              <w:rPr>
                <w:rFonts w:eastAsiaTheme="minorEastAsia"/>
                <w:szCs w:val="21"/>
              </w:rPr>
              <w:t>-</w:t>
            </w:r>
          </w:p>
        </w:tc>
        <w:tc>
          <w:tcPr>
            <w:tcW w:w="1080" w:type="dxa"/>
            <w:vAlign w:val="center"/>
          </w:tcPr>
          <w:p w:rsidR="00122FB4" w:rsidRDefault="003502BE">
            <w:pPr>
              <w:jc w:val="right"/>
            </w:pPr>
            <w:r>
              <w:rPr>
                <w:rFonts w:eastAsiaTheme="minorEastAsia"/>
                <w:szCs w:val="21"/>
              </w:rPr>
              <w:t>-</w:t>
            </w:r>
          </w:p>
        </w:tc>
        <w:tc>
          <w:tcPr>
            <w:tcW w:w="1620" w:type="dxa"/>
            <w:vAlign w:val="center"/>
          </w:tcPr>
          <w:p w:rsidR="00122FB4" w:rsidRDefault="003502BE">
            <w:pPr>
              <w:jc w:val="right"/>
            </w:pPr>
            <w:r>
              <w:rPr>
                <w:rFonts w:eastAsiaTheme="minorEastAsia"/>
                <w:szCs w:val="21"/>
              </w:rPr>
              <w:t>-</w:t>
            </w:r>
          </w:p>
        </w:tc>
        <w:tc>
          <w:tcPr>
            <w:tcW w:w="1080" w:type="dxa"/>
            <w:vAlign w:val="center"/>
          </w:tcPr>
          <w:p w:rsidR="00122FB4" w:rsidRDefault="003502BE">
            <w:pPr>
              <w:jc w:val="right"/>
            </w:pPr>
            <w:r>
              <w:rPr>
                <w:rFonts w:eastAsiaTheme="minorEastAsia"/>
                <w:szCs w:val="21"/>
              </w:rPr>
              <w:t>-</w:t>
            </w:r>
          </w:p>
        </w:tc>
        <w:tc>
          <w:tcPr>
            <w:tcW w:w="1080" w:type="dxa"/>
            <w:vAlign w:val="center"/>
          </w:tcPr>
          <w:p w:rsidR="00122FB4" w:rsidRDefault="003502BE">
            <w:pPr>
              <w:jc w:val="left"/>
            </w:pPr>
            <w:r>
              <w:rPr>
                <w:rFonts w:eastAsiaTheme="minorEastAsia"/>
                <w:szCs w:val="21"/>
              </w:rPr>
              <w:t>-</w:t>
            </w:r>
          </w:p>
        </w:tc>
      </w:tr>
      <w:tr w:rsidR="00122FB4">
        <w:tc>
          <w:tcPr>
            <w:tcW w:w="1560" w:type="dxa"/>
            <w:vAlign w:val="center"/>
          </w:tcPr>
          <w:p w:rsidR="00122FB4" w:rsidRDefault="003502BE">
            <w:pPr>
              <w:jc w:val="left"/>
            </w:pPr>
            <w:r>
              <w:rPr>
                <w:rFonts w:eastAsiaTheme="minorEastAsia"/>
                <w:szCs w:val="21"/>
              </w:rPr>
              <w:t>Instinet LLC New York</w:t>
            </w:r>
          </w:p>
        </w:tc>
        <w:tc>
          <w:tcPr>
            <w:tcW w:w="780" w:type="dxa"/>
            <w:vAlign w:val="center"/>
          </w:tcPr>
          <w:p w:rsidR="00122FB4" w:rsidRDefault="003502BE">
            <w:pPr>
              <w:jc w:val="right"/>
            </w:pPr>
            <w:r>
              <w:rPr>
                <w:rFonts w:eastAsiaTheme="minorEastAsia"/>
                <w:szCs w:val="21"/>
              </w:rPr>
              <w:t>1</w:t>
            </w:r>
          </w:p>
        </w:tc>
        <w:tc>
          <w:tcPr>
            <w:tcW w:w="1800" w:type="dxa"/>
            <w:vAlign w:val="center"/>
          </w:tcPr>
          <w:p w:rsidR="00122FB4" w:rsidRDefault="003502BE">
            <w:pPr>
              <w:jc w:val="right"/>
            </w:pPr>
            <w:r>
              <w:rPr>
                <w:rFonts w:eastAsiaTheme="minorEastAsia"/>
                <w:szCs w:val="21"/>
              </w:rPr>
              <w:t>63,317,662.10</w:t>
            </w:r>
          </w:p>
        </w:tc>
        <w:tc>
          <w:tcPr>
            <w:tcW w:w="1080" w:type="dxa"/>
            <w:vAlign w:val="center"/>
          </w:tcPr>
          <w:p w:rsidR="00122FB4" w:rsidRDefault="003502BE">
            <w:pPr>
              <w:jc w:val="right"/>
            </w:pPr>
            <w:r>
              <w:rPr>
                <w:rFonts w:eastAsiaTheme="minorEastAsia"/>
                <w:szCs w:val="21"/>
              </w:rPr>
              <w:t>70.69%</w:t>
            </w:r>
          </w:p>
        </w:tc>
        <w:tc>
          <w:tcPr>
            <w:tcW w:w="1620" w:type="dxa"/>
            <w:vAlign w:val="center"/>
          </w:tcPr>
          <w:p w:rsidR="00122FB4" w:rsidRDefault="003502BE">
            <w:pPr>
              <w:jc w:val="right"/>
            </w:pPr>
            <w:r>
              <w:rPr>
                <w:rFonts w:eastAsiaTheme="minorEastAsia"/>
                <w:szCs w:val="21"/>
              </w:rPr>
              <w:t>37,231.37</w:t>
            </w:r>
          </w:p>
        </w:tc>
        <w:tc>
          <w:tcPr>
            <w:tcW w:w="1080" w:type="dxa"/>
            <w:vAlign w:val="center"/>
          </w:tcPr>
          <w:p w:rsidR="00122FB4" w:rsidRDefault="003502BE">
            <w:pPr>
              <w:jc w:val="right"/>
            </w:pPr>
            <w:r>
              <w:rPr>
                <w:rFonts w:eastAsiaTheme="minorEastAsia"/>
                <w:szCs w:val="21"/>
              </w:rPr>
              <w:t>62.88%</w:t>
            </w:r>
          </w:p>
        </w:tc>
        <w:tc>
          <w:tcPr>
            <w:tcW w:w="1080" w:type="dxa"/>
            <w:vAlign w:val="center"/>
          </w:tcPr>
          <w:p w:rsidR="00122FB4" w:rsidRDefault="003502BE">
            <w:pPr>
              <w:jc w:val="left"/>
            </w:pPr>
            <w:r>
              <w:rPr>
                <w:rFonts w:eastAsiaTheme="minorEastAsia"/>
                <w:szCs w:val="21"/>
              </w:rPr>
              <w:t>-</w:t>
            </w:r>
          </w:p>
        </w:tc>
      </w:tr>
      <w:tr w:rsidR="00122FB4">
        <w:tc>
          <w:tcPr>
            <w:tcW w:w="1560" w:type="dxa"/>
            <w:vAlign w:val="center"/>
          </w:tcPr>
          <w:p w:rsidR="00122FB4" w:rsidRDefault="003502BE">
            <w:pPr>
              <w:jc w:val="left"/>
            </w:pPr>
            <w:r>
              <w:rPr>
                <w:rFonts w:eastAsiaTheme="minorEastAsia"/>
                <w:szCs w:val="21"/>
              </w:rPr>
              <w:t>Instinet Pacific Ltd Hong Kong</w:t>
            </w:r>
          </w:p>
        </w:tc>
        <w:tc>
          <w:tcPr>
            <w:tcW w:w="780" w:type="dxa"/>
            <w:vAlign w:val="center"/>
          </w:tcPr>
          <w:p w:rsidR="00122FB4" w:rsidRDefault="003502BE">
            <w:pPr>
              <w:jc w:val="right"/>
            </w:pPr>
            <w:r>
              <w:rPr>
                <w:rFonts w:eastAsiaTheme="minorEastAsia"/>
                <w:szCs w:val="21"/>
              </w:rPr>
              <w:t>1</w:t>
            </w:r>
          </w:p>
        </w:tc>
        <w:tc>
          <w:tcPr>
            <w:tcW w:w="1800" w:type="dxa"/>
            <w:vAlign w:val="center"/>
          </w:tcPr>
          <w:p w:rsidR="00122FB4" w:rsidRDefault="003502BE">
            <w:pPr>
              <w:jc w:val="right"/>
            </w:pPr>
            <w:r>
              <w:rPr>
                <w:rFonts w:eastAsiaTheme="minorEastAsia"/>
                <w:szCs w:val="21"/>
              </w:rPr>
              <w:t>9,067,015.49</w:t>
            </w:r>
          </w:p>
        </w:tc>
        <w:tc>
          <w:tcPr>
            <w:tcW w:w="1080" w:type="dxa"/>
            <w:vAlign w:val="center"/>
          </w:tcPr>
          <w:p w:rsidR="00122FB4" w:rsidRDefault="003502BE">
            <w:pPr>
              <w:jc w:val="right"/>
            </w:pPr>
            <w:r>
              <w:rPr>
                <w:rFonts w:eastAsiaTheme="minorEastAsia"/>
                <w:szCs w:val="21"/>
              </w:rPr>
              <w:t>10.12%</w:t>
            </w:r>
          </w:p>
        </w:tc>
        <w:tc>
          <w:tcPr>
            <w:tcW w:w="1620" w:type="dxa"/>
            <w:vAlign w:val="center"/>
          </w:tcPr>
          <w:p w:rsidR="00122FB4" w:rsidRDefault="003502BE">
            <w:pPr>
              <w:jc w:val="right"/>
            </w:pPr>
            <w:r>
              <w:rPr>
                <w:rFonts w:eastAsiaTheme="minorEastAsia"/>
                <w:szCs w:val="21"/>
              </w:rPr>
              <w:t>10,239.36</w:t>
            </w:r>
          </w:p>
        </w:tc>
        <w:tc>
          <w:tcPr>
            <w:tcW w:w="1080" w:type="dxa"/>
            <w:vAlign w:val="center"/>
          </w:tcPr>
          <w:p w:rsidR="00122FB4" w:rsidRDefault="003502BE">
            <w:pPr>
              <w:jc w:val="right"/>
            </w:pPr>
            <w:r>
              <w:rPr>
                <w:rFonts w:eastAsiaTheme="minorEastAsia"/>
                <w:szCs w:val="21"/>
              </w:rPr>
              <w:t>17.29%</w:t>
            </w:r>
          </w:p>
        </w:tc>
        <w:tc>
          <w:tcPr>
            <w:tcW w:w="1080" w:type="dxa"/>
            <w:vAlign w:val="center"/>
          </w:tcPr>
          <w:p w:rsidR="00122FB4" w:rsidRDefault="003502BE">
            <w:pPr>
              <w:jc w:val="left"/>
            </w:pPr>
            <w:r>
              <w:rPr>
                <w:rFonts w:eastAsiaTheme="minorEastAsia"/>
                <w:szCs w:val="21"/>
              </w:rPr>
              <w:t>-</w:t>
            </w:r>
          </w:p>
        </w:tc>
      </w:tr>
      <w:tr w:rsidR="00122FB4">
        <w:tc>
          <w:tcPr>
            <w:tcW w:w="1560" w:type="dxa"/>
            <w:vAlign w:val="center"/>
          </w:tcPr>
          <w:p w:rsidR="00122FB4" w:rsidRDefault="003502BE">
            <w:pPr>
              <w:jc w:val="left"/>
            </w:pPr>
            <w:r>
              <w:rPr>
                <w:rFonts w:eastAsiaTheme="minorEastAsia"/>
                <w:szCs w:val="21"/>
              </w:rPr>
              <w:t>Instinet Europe Limited</w:t>
            </w:r>
          </w:p>
        </w:tc>
        <w:tc>
          <w:tcPr>
            <w:tcW w:w="780" w:type="dxa"/>
            <w:vAlign w:val="center"/>
          </w:tcPr>
          <w:p w:rsidR="00122FB4" w:rsidRDefault="003502BE">
            <w:pPr>
              <w:jc w:val="right"/>
            </w:pPr>
            <w:r>
              <w:rPr>
                <w:rFonts w:eastAsiaTheme="minorEastAsia"/>
                <w:szCs w:val="21"/>
              </w:rPr>
              <w:t>1</w:t>
            </w:r>
          </w:p>
        </w:tc>
        <w:tc>
          <w:tcPr>
            <w:tcW w:w="1800" w:type="dxa"/>
            <w:vAlign w:val="center"/>
          </w:tcPr>
          <w:p w:rsidR="00122FB4" w:rsidRDefault="0052069E">
            <w:pPr>
              <w:jc w:val="right"/>
            </w:pPr>
            <w:r>
              <w:rPr>
                <w:rFonts w:eastAsiaTheme="minorEastAsia"/>
                <w:szCs w:val="21"/>
              </w:rPr>
              <w:t>16,290,121.54</w:t>
            </w:r>
          </w:p>
        </w:tc>
        <w:tc>
          <w:tcPr>
            <w:tcW w:w="1080" w:type="dxa"/>
            <w:vAlign w:val="center"/>
          </w:tcPr>
          <w:p w:rsidR="00122FB4" w:rsidRDefault="003502BE">
            <w:pPr>
              <w:jc w:val="right"/>
            </w:pPr>
            <w:r>
              <w:rPr>
                <w:rFonts w:eastAsiaTheme="minorEastAsia"/>
                <w:szCs w:val="21"/>
              </w:rPr>
              <w:t>18.19%</w:t>
            </w:r>
          </w:p>
        </w:tc>
        <w:tc>
          <w:tcPr>
            <w:tcW w:w="1620" w:type="dxa"/>
            <w:vAlign w:val="center"/>
          </w:tcPr>
          <w:p w:rsidR="00122FB4" w:rsidRDefault="003502BE">
            <w:pPr>
              <w:jc w:val="right"/>
            </w:pPr>
            <w:r>
              <w:rPr>
                <w:rFonts w:eastAsiaTheme="minorEastAsia"/>
                <w:szCs w:val="21"/>
              </w:rPr>
              <w:t>10,648.52</w:t>
            </w:r>
          </w:p>
        </w:tc>
        <w:tc>
          <w:tcPr>
            <w:tcW w:w="1080" w:type="dxa"/>
            <w:vAlign w:val="center"/>
          </w:tcPr>
          <w:p w:rsidR="00122FB4" w:rsidRDefault="003502BE">
            <w:pPr>
              <w:jc w:val="right"/>
            </w:pPr>
            <w:r>
              <w:rPr>
                <w:rFonts w:eastAsiaTheme="minorEastAsia"/>
                <w:szCs w:val="21"/>
              </w:rPr>
              <w:t>17.99%</w:t>
            </w:r>
          </w:p>
        </w:tc>
        <w:tc>
          <w:tcPr>
            <w:tcW w:w="1080" w:type="dxa"/>
            <w:vAlign w:val="center"/>
          </w:tcPr>
          <w:p w:rsidR="00122FB4" w:rsidRDefault="003502BE">
            <w:pPr>
              <w:jc w:val="left"/>
            </w:pPr>
            <w:r>
              <w:rPr>
                <w:rFonts w:eastAsiaTheme="minorEastAsia"/>
                <w:szCs w:val="21"/>
              </w:rPr>
              <w:t>-</w:t>
            </w:r>
          </w:p>
        </w:tc>
      </w:tr>
      <w:tr w:rsidR="00122FB4">
        <w:tc>
          <w:tcPr>
            <w:tcW w:w="1560" w:type="dxa"/>
            <w:vAlign w:val="center"/>
          </w:tcPr>
          <w:p w:rsidR="00122FB4" w:rsidRDefault="003502BE">
            <w:pPr>
              <w:jc w:val="left"/>
            </w:pPr>
            <w:r>
              <w:rPr>
                <w:rFonts w:eastAsiaTheme="minorEastAsia"/>
                <w:szCs w:val="21"/>
              </w:rPr>
              <w:t>Instinet Singapore Services Pte Ltd</w:t>
            </w:r>
          </w:p>
        </w:tc>
        <w:tc>
          <w:tcPr>
            <w:tcW w:w="780" w:type="dxa"/>
            <w:vAlign w:val="center"/>
          </w:tcPr>
          <w:p w:rsidR="00122FB4" w:rsidRDefault="003502BE">
            <w:pPr>
              <w:jc w:val="right"/>
            </w:pPr>
            <w:r>
              <w:rPr>
                <w:rFonts w:eastAsiaTheme="minorEastAsia"/>
                <w:szCs w:val="21"/>
              </w:rPr>
              <w:t>1</w:t>
            </w:r>
          </w:p>
        </w:tc>
        <w:tc>
          <w:tcPr>
            <w:tcW w:w="1800" w:type="dxa"/>
            <w:vAlign w:val="center"/>
          </w:tcPr>
          <w:p w:rsidR="00122FB4" w:rsidRDefault="003502BE">
            <w:pPr>
              <w:jc w:val="right"/>
            </w:pPr>
            <w:r>
              <w:rPr>
                <w:rFonts w:eastAsiaTheme="minorEastAsia"/>
                <w:szCs w:val="21"/>
              </w:rPr>
              <w:t>893,540.57</w:t>
            </w:r>
          </w:p>
        </w:tc>
        <w:tc>
          <w:tcPr>
            <w:tcW w:w="1080" w:type="dxa"/>
            <w:vAlign w:val="center"/>
          </w:tcPr>
          <w:p w:rsidR="00122FB4" w:rsidRDefault="003502BE">
            <w:pPr>
              <w:jc w:val="right"/>
            </w:pPr>
            <w:r>
              <w:rPr>
                <w:rFonts w:eastAsiaTheme="minorEastAsia"/>
                <w:szCs w:val="21"/>
              </w:rPr>
              <w:t>1.00%</w:t>
            </w:r>
          </w:p>
        </w:tc>
        <w:tc>
          <w:tcPr>
            <w:tcW w:w="1620" w:type="dxa"/>
            <w:vAlign w:val="center"/>
          </w:tcPr>
          <w:p w:rsidR="00122FB4" w:rsidRDefault="003502BE">
            <w:pPr>
              <w:jc w:val="right"/>
            </w:pPr>
            <w:r>
              <w:rPr>
                <w:rFonts w:eastAsiaTheme="minorEastAsia"/>
                <w:szCs w:val="21"/>
              </w:rPr>
              <w:t>1,086.70</w:t>
            </w:r>
          </w:p>
        </w:tc>
        <w:tc>
          <w:tcPr>
            <w:tcW w:w="1080" w:type="dxa"/>
            <w:vAlign w:val="center"/>
          </w:tcPr>
          <w:p w:rsidR="00122FB4" w:rsidRDefault="003502BE">
            <w:pPr>
              <w:jc w:val="right"/>
            </w:pPr>
            <w:r>
              <w:rPr>
                <w:rFonts w:eastAsiaTheme="minorEastAsia"/>
                <w:szCs w:val="21"/>
              </w:rPr>
              <w:t>1.84%</w:t>
            </w:r>
          </w:p>
        </w:tc>
        <w:tc>
          <w:tcPr>
            <w:tcW w:w="1080" w:type="dxa"/>
            <w:vAlign w:val="center"/>
          </w:tcPr>
          <w:p w:rsidR="00122FB4" w:rsidRDefault="003502BE">
            <w:pPr>
              <w:jc w:val="left"/>
            </w:pPr>
            <w:r>
              <w:rPr>
                <w:rFonts w:eastAsiaTheme="minorEastAsia"/>
                <w:szCs w:val="21"/>
              </w:rPr>
              <w:t>-</w:t>
            </w:r>
          </w:p>
        </w:tc>
      </w:tr>
    </w:tbl>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122FB4" w:rsidRDefault="003502BE">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98332C" w:rsidRDefault="00270B6C" w:rsidP="00270B6C">
      <w:pPr>
        <w:autoSpaceDE w:val="0"/>
        <w:autoSpaceDN w:val="0"/>
        <w:adjustRightInd w:val="0"/>
        <w:spacing w:line="360" w:lineRule="auto"/>
        <w:ind w:firstLineChars="200" w:firstLine="420"/>
        <w:jc w:val="left"/>
        <w:rPr>
          <w:rFonts w:eastAsiaTheme="minorEastAsia"/>
          <w:szCs w:val="21"/>
        </w:rPr>
      </w:pPr>
      <w:r w:rsidRPr="0098332C">
        <w:rPr>
          <w:rFonts w:eastAsiaTheme="minorEastAsia"/>
          <w:szCs w:val="21"/>
        </w:rPr>
        <w:t xml:space="preserve">4. </w:t>
      </w:r>
      <w:r w:rsidRPr="0098332C">
        <w:rPr>
          <w:rFonts w:eastAsiaTheme="minorEastAsia"/>
          <w:szCs w:val="21"/>
        </w:rPr>
        <w:t>本期无增席位，无注销席位。</w:t>
      </w:r>
    </w:p>
    <w:p w:rsidR="00130843" w:rsidRPr="00245672" w:rsidRDefault="00130843" w:rsidP="00245672">
      <w:pPr>
        <w:tabs>
          <w:tab w:val="left" w:pos="426"/>
        </w:tabs>
        <w:spacing w:before="29" w:line="288" w:lineRule="auto"/>
        <w:jc w:val="left"/>
        <w:rPr>
          <w:b/>
          <w:kern w:val="0"/>
          <w:szCs w:val="21"/>
        </w:rPr>
      </w:pPr>
      <w:bookmarkStart w:id="281" w:name="_Toc249707408"/>
      <w:bookmarkEnd w:id="280"/>
      <w:r w:rsidRPr="00245672">
        <w:rPr>
          <w:b/>
          <w:kern w:val="0"/>
          <w:szCs w:val="21"/>
        </w:rPr>
        <w:t xml:space="preserve">10.7.2 </w:t>
      </w:r>
      <w:r w:rsidRPr="00245672">
        <w:rPr>
          <w:rFonts w:hint="eastAsia"/>
          <w:b/>
          <w:kern w:val="0"/>
          <w:szCs w:val="21"/>
        </w:rPr>
        <w:t>基金租用证券公司交易单元进行其他证券投资的情况</w:t>
      </w:r>
    </w:p>
    <w:p w:rsidR="00270B6C" w:rsidRPr="0098332C" w:rsidRDefault="00270B6C" w:rsidP="00270B6C">
      <w:pPr>
        <w:spacing w:line="360" w:lineRule="auto"/>
        <w:ind w:firstLine="420"/>
        <w:jc w:val="right"/>
        <w:rPr>
          <w:rFonts w:eastAsiaTheme="minorEastAsia"/>
          <w:szCs w:val="21"/>
        </w:rPr>
      </w:pPr>
      <w:r w:rsidRPr="0098332C">
        <w:rPr>
          <w:rFonts w:eastAsiaTheme="minorEastAsia"/>
          <w:szCs w:val="21"/>
        </w:rPr>
        <w:t>金额单位</w:t>
      </w:r>
      <w:r w:rsidRPr="0098332C">
        <w:rPr>
          <w:rFonts w:eastAsiaTheme="minorEastAsia"/>
          <w:kern w:val="0"/>
          <w:szCs w:val="21"/>
        </w:rPr>
        <w:t>：</w:t>
      </w:r>
      <w:r w:rsidRPr="0098332C">
        <w:rPr>
          <w:rFonts w:eastAsiaTheme="minorEastAsia"/>
          <w:kern w:val="0"/>
          <w:szCs w:val="21"/>
          <w:lang w:val="zh-CN"/>
        </w:rPr>
        <w:t>人民币元</w:t>
      </w:r>
      <w:bookmarkEnd w:id="281"/>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A06611" w:rsidTr="00B25C38">
        <w:tc>
          <w:tcPr>
            <w:tcW w:w="709" w:type="dxa"/>
            <w:vMerge w:val="restart"/>
            <w:vAlign w:val="center"/>
          </w:tcPr>
          <w:p w:rsidR="00894883" w:rsidRPr="00A06611" w:rsidRDefault="00894883" w:rsidP="008D66F5">
            <w:pPr>
              <w:jc w:val="center"/>
              <w:rPr>
                <w:rFonts w:eastAsiaTheme="minorEastAsia"/>
                <w:color w:val="000000"/>
                <w:kern w:val="0"/>
                <w:szCs w:val="21"/>
              </w:rPr>
            </w:pPr>
            <w:r w:rsidRPr="00A06611">
              <w:rPr>
                <w:rFonts w:eastAsiaTheme="minorEastAsia"/>
                <w:color w:val="000000"/>
                <w:szCs w:val="21"/>
              </w:rPr>
              <w:t>券商名称</w:t>
            </w:r>
          </w:p>
        </w:tc>
        <w:tc>
          <w:tcPr>
            <w:tcW w:w="1985"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债券交易</w:t>
            </w:r>
          </w:p>
        </w:tc>
        <w:tc>
          <w:tcPr>
            <w:tcW w:w="2023"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回购交易</w:t>
            </w:r>
          </w:p>
        </w:tc>
        <w:tc>
          <w:tcPr>
            <w:tcW w:w="2164"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权证交易</w:t>
            </w:r>
          </w:p>
        </w:tc>
        <w:tc>
          <w:tcPr>
            <w:tcW w:w="1962" w:type="dxa"/>
            <w:gridSpan w:val="2"/>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基金交易</w:t>
            </w:r>
          </w:p>
        </w:tc>
      </w:tr>
      <w:tr w:rsidR="00894883" w:rsidRPr="00A06611" w:rsidTr="00B25C38">
        <w:tc>
          <w:tcPr>
            <w:tcW w:w="709" w:type="dxa"/>
            <w:vMerge/>
            <w:vAlign w:val="center"/>
          </w:tcPr>
          <w:p w:rsidR="00894883" w:rsidRPr="00A06611" w:rsidRDefault="00894883" w:rsidP="00B25C38">
            <w:pPr>
              <w:widowControl/>
              <w:jc w:val="left"/>
              <w:rPr>
                <w:rFonts w:eastAsiaTheme="minorEastAsia"/>
                <w:color w:val="000000"/>
                <w:kern w:val="0"/>
                <w:szCs w:val="21"/>
              </w:rPr>
            </w:pP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51"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占当期债券成交总额的比例</w:t>
            </w: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89"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占当期回购成交总额的比例</w:t>
            </w:r>
          </w:p>
        </w:tc>
        <w:tc>
          <w:tcPr>
            <w:tcW w:w="123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2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占当期权证成交总额的比例</w:t>
            </w:r>
          </w:p>
        </w:tc>
        <w:tc>
          <w:tcPr>
            <w:tcW w:w="105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05"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占当期基金成交总额的比例</w:t>
            </w:r>
          </w:p>
        </w:tc>
      </w:tr>
      <w:tr w:rsidR="00122FB4">
        <w:tc>
          <w:tcPr>
            <w:tcW w:w="709" w:type="dxa"/>
            <w:vAlign w:val="center"/>
          </w:tcPr>
          <w:p w:rsidR="00122FB4" w:rsidRDefault="003502BE">
            <w:pPr>
              <w:jc w:val="left"/>
            </w:pPr>
            <w:r>
              <w:rPr>
                <w:rFonts w:eastAsiaTheme="minorEastAsia"/>
                <w:color w:val="000000"/>
                <w:szCs w:val="21"/>
              </w:rPr>
              <w:t>安信证券</w:t>
            </w:r>
          </w:p>
        </w:tc>
        <w:tc>
          <w:tcPr>
            <w:tcW w:w="1134" w:type="dxa"/>
            <w:vAlign w:val="center"/>
          </w:tcPr>
          <w:p w:rsidR="00122FB4" w:rsidRDefault="003502BE">
            <w:pPr>
              <w:jc w:val="right"/>
            </w:pPr>
            <w:r>
              <w:rPr>
                <w:rFonts w:eastAsiaTheme="minorEastAsia"/>
                <w:color w:val="000000"/>
                <w:szCs w:val="21"/>
              </w:rPr>
              <w:t>-</w:t>
            </w:r>
          </w:p>
        </w:tc>
        <w:tc>
          <w:tcPr>
            <w:tcW w:w="851" w:type="dxa"/>
            <w:vAlign w:val="center"/>
          </w:tcPr>
          <w:p w:rsidR="00122FB4" w:rsidRDefault="003502BE">
            <w:pPr>
              <w:jc w:val="right"/>
            </w:pPr>
            <w:r>
              <w:rPr>
                <w:rFonts w:eastAsiaTheme="minorEastAsia"/>
                <w:color w:val="000000"/>
                <w:szCs w:val="21"/>
              </w:rPr>
              <w:t>-</w:t>
            </w:r>
          </w:p>
        </w:tc>
        <w:tc>
          <w:tcPr>
            <w:tcW w:w="1134" w:type="dxa"/>
            <w:vAlign w:val="center"/>
          </w:tcPr>
          <w:p w:rsidR="00122FB4" w:rsidRDefault="003502BE">
            <w:pPr>
              <w:jc w:val="right"/>
            </w:pPr>
            <w:r>
              <w:rPr>
                <w:rFonts w:eastAsiaTheme="minorEastAsia"/>
                <w:color w:val="000000"/>
                <w:szCs w:val="21"/>
              </w:rPr>
              <w:t>-</w:t>
            </w:r>
          </w:p>
        </w:tc>
        <w:tc>
          <w:tcPr>
            <w:tcW w:w="889" w:type="dxa"/>
            <w:vAlign w:val="center"/>
          </w:tcPr>
          <w:p w:rsidR="00122FB4" w:rsidRDefault="003502BE">
            <w:pPr>
              <w:jc w:val="right"/>
            </w:pPr>
            <w:r>
              <w:rPr>
                <w:rFonts w:eastAsiaTheme="minorEastAsia"/>
                <w:color w:val="000000"/>
                <w:szCs w:val="21"/>
              </w:rPr>
              <w:t>-</w:t>
            </w:r>
          </w:p>
        </w:tc>
        <w:tc>
          <w:tcPr>
            <w:tcW w:w="1237" w:type="dxa"/>
            <w:vAlign w:val="center"/>
          </w:tcPr>
          <w:p w:rsidR="00122FB4" w:rsidRDefault="003502BE">
            <w:pPr>
              <w:jc w:val="right"/>
            </w:pPr>
            <w:r>
              <w:rPr>
                <w:rFonts w:eastAsiaTheme="minorEastAsia"/>
                <w:color w:val="000000"/>
                <w:szCs w:val="21"/>
              </w:rPr>
              <w:t>-</w:t>
            </w:r>
          </w:p>
        </w:tc>
        <w:tc>
          <w:tcPr>
            <w:tcW w:w="927" w:type="dxa"/>
            <w:vAlign w:val="center"/>
          </w:tcPr>
          <w:p w:rsidR="00122FB4" w:rsidRDefault="003502BE">
            <w:pPr>
              <w:jc w:val="right"/>
            </w:pPr>
            <w:r>
              <w:rPr>
                <w:rFonts w:eastAsiaTheme="minorEastAsia"/>
                <w:color w:val="000000"/>
                <w:szCs w:val="21"/>
              </w:rPr>
              <w:t>-</w:t>
            </w:r>
          </w:p>
        </w:tc>
        <w:tc>
          <w:tcPr>
            <w:tcW w:w="1057" w:type="dxa"/>
            <w:vAlign w:val="center"/>
          </w:tcPr>
          <w:p w:rsidR="00122FB4" w:rsidRDefault="003502BE">
            <w:pPr>
              <w:jc w:val="right"/>
            </w:pPr>
            <w:r>
              <w:rPr>
                <w:rFonts w:eastAsiaTheme="minorEastAsia"/>
                <w:color w:val="000000"/>
                <w:szCs w:val="21"/>
              </w:rPr>
              <w:t>-</w:t>
            </w:r>
          </w:p>
        </w:tc>
        <w:tc>
          <w:tcPr>
            <w:tcW w:w="905" w:type="dxa"/>
            <w:vAlign w:val="center"/>
          </w:tcPr>
          <w:p w:rsidR="00122FB4" w:rsidRDefault="003502BE">
            <w:pPr>
              <w:jc w:val="right"/>
            </w:pPr>
            <w:r>
              <w:rPr>
                <w:rFonts w:eastAsiaTheme="minorEastAsia"/>
                <w:color w:val="000000"/>
                <w:szCs w:val="21"/>
              </w:rPr>
              <w:t>-</w:t>
            </w:r>
          </w:p>
        </w:tc>
      </w:tr>
      <w:tr w:rsidR="00122FB4">
        <w:tc>
          <w:tcPr>
            <w:tcW w:w="709" w:type="dxa"/>
            <w:vAlign w:val="center"/>
          </w:tcPr>
          <w:p w:rsidR="00122FB4" w:rsidRDefault="003502BE">
            <w:pPr>
              <w:jc w:val="left"/>
            </w:pPr>
            <w:r>
              <w:rPr>
                <w:rFonts w:eastAsiaTheme="minorEastAsia"/>
                <w:color w:val="000000"/>
                <w:szCs w:val="21"/>
              </w:rPr>
              <w:t>中金公司</w:t>
            </w:r>
          </w:p>
        </w:tc>
        <w:tc>
          <w:tcPr>
            <w:tcW w:w="1134" w:type="dxa"/>
            <w:vAlign w:val="center"/>
          </w:tcPr>
          <w:p w:rsidR="00122FB4" w:rsidRDefault="003502BE">
            <w:pPr>
              <w:jc w:val="right"/>
            </w:pPr>
            <w:r>
              <w:rPr>
                <w:rFonts w:eastAsiaTheme="minorEastAsia"/>
                <w:color w:val="000000"/>
                <w:szCs w:val="21"/>
              </w:rPr>
              <w:t>-</w:t>
            </w:r>
          </w:p>
        </w:tc>
        <w:tc>
          <w:tcPr>
            <w:tcW w:w="851" w:type="dxa"/>
            <w:vAlign w:val="center"/>
          </w:tcPr>
          <w:p w:rsidR="00122FB4" w:rsidRDefault="003502BE">
            <w:pPr>
              <w:jc w:val="right"/>
            </w:pPr>
            <w:r>
              <w:rPr>
                <w:rFonts w:eastAsiaTheme="minorEastAsia"/>
                <w:color w:val="000000"/>
                <w:szCs w:val="21"/>
              </w:rPr>
              <w:t>-</w:t>
            </w:r>
          </w:p>
        </w:tc>
        <w:tc>
          <w:tcPr>
            <w:tcW w:w="1134" w:type="dxa"/>
            <w:vAlign w:val="center"/>
          </w:tcPr>
          <w:p w:rsidR="00122FB4" w:rsidRDefault="003502BE">
            <w:pPr>
              <w:jc w:val="right"/>
            </w:pPr>
            <w:r>
              <w:rPr>
                <w:rFonts w:eastAsiaTheme="minorEastAsia"/>
                <w:color w:val="000000"/>
                <w:szCs w:val="21"/>
              </w:rPr>
              <w:t>-</w:t>
            </w:r>
          </w:p>
        </w:tc>
        <w:tc>
          <w:tcPr>
            <w:tcW w:w="889" w:type="dxa"/>
            <w:vAlign w:val="center"/>
          </w:tcPr>
          <w:p w:rsidR="00122FB4" w:rsidRDefault="003502BE">
            <w:pPr>
              <w:jc w:val="right"/>
            </w:pPr>
            <w:r>
              <w:rPr>
                <w:rFonts w:eastAsiaTheme="minorEastAsia"/>
                <w:color w:val="000000"/>
                <w:szCs w:val="21"/>
              </w:rPr>
              <w:t>-</w:t>
            </w:r>
          </w:p>
        </w:tc>
        <w:tc>
          <w:tcPr>
            <w:tcW w:w="1237" w:type="dxa"/>
            <w:vAlign w:val="center"/>
          </w:tcPr>
          <w:p w:rsidR="00122FB4" w:rsidRDefault="003502BE">
            <w:pPr>
              <w:jc w:val="right"/>
            </w:pPr>
            <w:r>
              <w:rPr>
                <w:rFonts w:eastAsiaTheme="minorEastAsia"/>
                <w:color w:val="000000"/>
                <w:szCs w:val="21"/>
              </w:rPr>
              <w:t>-</w:t>
            </w:r>
          </w:p>
        </w:tc>
        <w:tc>
          <w:tcPr>
            <w:tcW w:w="927" w:type="dxa"/>
            <w:vAlign w:val="center"/>
          </w:tcPr>
          <w:p w:rsidR="00122FB4" w:rsidRDefault="003502BE">
            <w:pPr>
              <w:jc w:val="right"/>
            </w:pPr>
            <w:r>
              <w:rPr>
                <w:rFonts w:eastAsiaTheme="minorEastAsia"/>
                <w:color w:val="000000"/>
                <w:szCs w:val="21"/>
              </w:rPr>
              <w:t>-</w:t>
            </w:r>
          </w:p>
        </w:tc>
        <w:tc>
          <w:tcPr>
            <w:tcW w:w="1057" w:type="dxa"/>
            <w:vAlign w:val="center"/>
          </w:tcPr>
          <w:p w:rsidR="00122FB4" w:rsidRDefault="003502BE">
            <w:pPr>
              <w:jc w:val="right"/>
            </w:pPr>
            <w:r>
              <w:rPr>
                <w:rFonts w:eastAsiaTheme="minorEastAsia"/>
                <w:color w:val="000000"/>
                <w:szCs w:val="21"/>
              </w:rPr>
              <w:t>-</w:t>
            </w:r>
          </w:p>
        </w:tc>
        <w:tc>
          <w:tcPr>
            <w:tcW w:w="905" w:type="dxa"/>
            <w:vAlign w:val="center"/>
          </w:tcPr>
          <w:p w:rsidR="00122FB4" w:rsidRDefault="003502BE">
            <w:pPr>
              <w:jc w:val="right"/>
            </w:pPr>
            <w:r>
              <w:rPr>
                <w:rFonts w:eastAsiaTheme="minorEastAsia"/>
                <w:color w:val="000000"/>
                <w:szCs w:val="21"/>
              </w:rPr>
              <w:t>-</w:t>
            </w:r>
          </w:p>
        </w:tc>
      </w:tr>
      <w:tr w:rsidR="00122FB4">
        <w:tc>
          <w:tcPr>
            <w:tcW w:w="709" w:type="dxa"/>
            <w:vAlign w:val="center"/>
          </w:tcPr>
          <w:p w:rsidR="00122FB4" w:rsidRDefault="003502BE">
            <w:pPr>
              <w:jc w:val="left"/>
            </w:pPr>
            <w:r>
              <w:rPr>
                <w:rFonts w:eastAsiaTheme="minorEastAsia"/>
                <w:color w:val="000000"/>
                <w:szCs w:val="21"/>
              </w:rPr>
              <w:t>Instinet LLC New York</w:t>
            </w:r>
          </w:p>
        </w:tc>
        <w:tc>
          <w:tcPr>
            <w:tcW w:w="1134" w:type="dxa"/>
            <w:vAlign w:val="center"/>
          </w:tcPr>
          <w:p w:rsidR="00122FB4" w:rsidRDefault="003502BE">
            <w:pPr>
              <w:jc w:val="right"/>
            </w:pPr>
            <w:r>
              <w:rPr>
                <w:rFonts w:eastAsiaTheme="minorEastAsia"/>
                <w:color w:val="000000"/>
                <w:szCs w:val="21"/>
              </w:rPr>
              <w:t>-</w:t>
            </w:r>
          </w:p>
        </w:tc>
        <w:tc>
          <w:tcPr>
            <w:tcW w:w="851" w:type="dxa"/>
            <w:vAlign w:val="center"/>
          </w:tcPr>
          <w:p w:rsidR="00122FB4" w:rsidRDefault="003502BE">
            <w:pPr>
              <w:jc w:val="right"/>
            </w:pPr>
            <w:r>
              <w:rPr>
                <w:rFonts w:eastAsiaTheme="minorEastAsia"/>
                <w:color w:val="000000"/>
                <w:szCs w:val="21"/>
              </w:rPr>
              <w:t>-</w:t>
            </w:r>
          </w:p>
        </w:tc>
        <w:tc>
          <w:tcPr>
            <w:tcW w:w="1134" w:type="dxa"/>
            <w:vAlign w:val="center"/>
          </w:tcPr>
          <w:p w:rsidR="00122FB4" w:rsidRDefault="003502BE">
            <w:pPr>
              <w:jc w:val="right"/>
            </w:pPr>
            <w:r>
              <w:rPr>
                <w:rFonts w:eastAsiaTheme="minorEastAsia"/>
                <w:color w:val="000000"/>
                <w:szCs w:val="21"/>
              </w:rPr>
              <w:t>-</w:t>
            </w:r>
          </w:p>
        </w:tc>
        <w:tc>
          <w:tcPr>
            <w:tcW w:w="889" w:type="dxa"/>
            <w:vAlign w:val="center"/>
          </w:tcPr>
          <w:p w:rsidR="00122FB4" w:rsidRDefault="003502BE">
            <w:pPr>
              <w:jc w:val="right"/>
            </w:pPr>
            <w:r>
              <w:rPr>
                <w:rFonts w:eastAsiaTheme="minorEastAsia"/>
                <w:color w:val="000000"/>
                <w:szCs w:val="21"/>
              </w:rPr>
              <w:t>-</w:t>
            </w:r>
          </w:p>
        </w:tc>
        <w:tc>
          <w:tcPr>
            <w:tcW w:w="1237" w:type="dxa"/>
            <w:vAlign w:val="center"/>
          </w:tcPr>
          <w:p w:rsidR="00122FB4" w:rsidRDefault="003502BE">
            <w:pPr>
              <w:jc w:val="right"/>
            </w:pPr>
            <w:r>
              <w:rPr>
                <w:rFonts w:eastAsiaTheme="minorEastAsia"/>
                <w:color w:val="000000"/>
                <w:szCs w:val="21"/>
              </w:rPr>
              <w:t>-</w:t>
            </w:r>
          </w:p>
        </w:tc>
        <w:tc>
          <w:tcPr>
            <w:tcW w:w="927" w:type="dxa"/>
            <w:vAlign w:val="center"/>
          </w:tcPr>
          <w:p w:rsidR="00122FB4" w:rsidRDefault="003502BE">
            <w:pPr>
              <w:jc w:val="right"/>
            </w:pPr>
            <w:r>
              <w:rPr>
                <w:rFonts w:eastAsiaTheme="minorEastAsia"/>
                <w:color w:val="000000"/>
                <w:szCs w:val="21"/>
              </w:rPr>
              <w:t>-</w:t>
            </w:r>
          </w:p>
        </w:tc>
        <w:tc>
          <w:tcPr>
            <w:tcW w:w="1057" w:type="dxa"/>
            <w:vAlign w:val="center"/>
          </w:tcPr>
          <w:p w:rsidR="00122FB4" w:rsidRDefault="003502BE">
            <w:pPr>
              <w:jc w:val="right"/>
            </w:pPr>
            <w:r>
              <w:rPr>
                <w:rFonts w:eastAsiaTheme="minorEastAsia"/>
                <w:color w:val="000000"/>
                <w:szCs w:val="21"/>
              </w:rPr>
              <w:t>-</w:t>
            </w:r>
          </w:p>
        </w:tc>
        <w:tc>
          <w:tcPr>
            <w:tcW w:w="905" w:type="dxa"/>
            <w:vAlign w:val="center"/>
          </w:tcPr>
          <w:p w:rsidR="00122FB4" w:rsidRDefault="003502BE">
            <w:pPr>
              <w:jc w:val="right"/>
            </w:pPr>
            <w:r>
              <w:rPr>
                <w:rFonts w:eastAsiaTheme="minorEastAsia"/>
                <w:color w:val="000000"/>
                <w:szCs w:val="21"/>
              </w:rPr>
              <w:t>-</w:t>
            </w:r>
          </w:p>
        </w:tc>
      </w:tr>
      <w:tr w:rsidR="00122FB4">
        <w:tc>
          <w:tcPr>
            <w:tcW w:w="709" w:type="dxa"/>
            <w:vAlign w:val="center"/>
          </w:tcPr>
          <w:p w:rsidR="00122FB4" w:rsidRDefault="003502BE">
            <w:pPr>
              <w:jc w:val="left"/>
            </w:pPr>
            <w:r>
              <w:rPr>
                <w:rFonts w:eastAsiaTheme="minorEastAsia"/>
                <w:color w:val="000000"/>
                <w:szCs w:val="21"/>
              </w:rPr>
              <w:t>Instinet Pacific Ltd Hong Kong</w:t>
            </w:r>
          </w:p>
        </w:tc>
        <w:tc>
          <w:tcPr>
            <w:tcW w:w="1134" w:type="dxa"/>
            <w:vAlign w:val="center"/>
          </w:tcPr>
          <w:p w:rsidR="00122FB4" w:rsidRDefault="003502BE">
            <w:pPr>
              <w:jc w:val="right"/>
            </w:pPr>
            <w:r>
              <w:rPr>
                <w:rFonts w:eastAsiaTheme="minorEastAsia"/>
                <w:color w:val="000000"/>
                <w:szCs w:val="21"/>
              </w:rPr>
              <w:t>-</w:t>
            </w:r>
          </w:p>
        </w:tc>
        <w:tc>
          <w:tcPr>
            <w:tcW w:w="851" w:type="dxa"/>
            <w:vAlign w:val="center"/>
          </w:tcPr>
          <w:p w:rsidR="00122FB4" w:rsidRDefault="003502BE">
            <w:pPr>
              <w:jc w:val="right"/>
            </w:pPr>
            <w:r>
              <w:rPr>
                <w:rFonts w:eastAsiaTheme="minorEastAsia"/>
                <w:color w:val="000000"/>
                <w:szCs w:val="21"/>
              </w:rPr>
              <w:t>-</w:t>
            </w:r>
          </w:p>
        </w:tc>
        <w:tc>
          <w:tcPr>
            <w:tcW w:w="1134" w:type="dxa"/>
            <w:vAlign w:val="center"/>
          </w:tcPr>
          <w:p w:rsidR="00122FB4" w:rsidRDefault="003502BE">
            <w:pPr>
              <w:jc w:val="right"/>
            </w:pPr>
            <w:r>
              <w:rPr>
                <w:rFonts w:eastAsiaTheme="minorEastAsia"/>
                <w:color w:val="000000"/>
                <w:szCs w:val="21"/>
              </w:rPr>
              <w:t>-</w:t>
            </w:r>
          </w:p>
        </w:tc>
        <w:tc>
          <w:tcPr>
            <w:tcW w:w="889" w:type="dxa"/>
            <w:vAlign w:val="center"/>
          </w:tcPr>
          <w:p w:rsidR="00122FB4" w:rsidRDefault="003502BE">
            <w:pPr>
              <w:jc w:val="right"/>
            </w:pPr>
            <w:r>
              <w:rPr>
                <w:rFonts w:eastAsiaTheme="minorEastAsia"/>
                <w:color w:val="000000"/>
                <w:szCs w:val="21"/>
              </w:rPr>
              <w:t>-</w:t>
            </w:r>
          </w:p>
        </w:tc>
        <w:tc>
          <w:tcPr>
            <w:tcW w:w="1237" w:type="dxa"/>
            <w:vAlign w:val="center"/>
          </w:tcPr>
          <w:p w:rsidR="00122FB4" w:rsidRDefault="003502BE">
            <w:pPr>
              <w:jc w:val="right"/>
            </w:pPr>
            <w:r>
              <w:rPr>
                <w:rFonts w:eastAsiaTheme="minorEastAsia"/>
                <w:color w:val="000000"/>
                <w:szCs w:val="21"/>
              </w:rPr>
              <w:t>-</w:t>
            </w:r>
          </w:p>
        </w:tc>
        <w:tc>
          <w:tcPr>
            <w:tcW w:w="927" w:type="dxa"/>
            <w:vAlign w:val="center"/>
          </w:tcPr>
          <w:p w:rsidR="00122FB4" w:rsidRDefault="003502BE">
            <w:pPr>
              <w:jc w:val="right"/>
            </w:pPr>
            <w:r>
              <w:rPr>
                <w:rFonts w:eastAsiaTheme="minorEastAsia"/>
                <w:color w:val="000000"/>
                <w:szCs w:val="21"/>
              </w:rPr>
              <w:t>-</w:t>
            </w:r>
          </w:p>
        </w:tc>
        <w:tc>
          <w:tcPr>
            <w:tcW w:w="1057" w:type="dxa"/>
            <w:vAlign w:val="center"/>
          </w:tcPr>
          <w:p w:rsidR="00122FB4" w:rsidRDefault="003502BE">
            <w:pPr>
              <w:jc w:val="right"/>
            </w:pPr>
            <w:r>
              <w:rPr>
                <w:rFonts w:eastAsiaTheme="minorEastAsia"/>
                <w:color w:val="000000"/>
                <w:szCs w:val="21"/>
              </w:rPr>
              <w:t>-</w:t>
            </w:r>
          </w:p>
        </w:tc>
        <w:tc>
          <w:tcPr>
            <w:tcW w:w="905" w:type="dxa"/>
            <w:vAlign w:val="center"/>
          </w:tcPr>
          <w:p w:rsidR="00122FB4" w:rsidRDefault="003502BE">
            <w:pPr>
              <w:jc w:val="right"/>
            </w:pPr>
            <w:r>
              <w:rPr>
                <w:rFonts w:eastAsiaTheme="minorEastAsia"/>
                <w:color w:val="000000"/>
                <w:szCs w:val="21"/>
              </w:rPr>
              <w:t>-</w:t>
            </w:r>
          </w:p>
        </w:tc>
      </w:tr>
      <w:tr w:rsidR="00122FB4">
        <w:tc>
          <w:tcPr>
            <w:tcW w:w="709" w:type="dxa"/>
            <w:vAlign w:val="center"/>
          </w:tcPr>
          <w:p w:rsidR="00122FB4" w:rsidRDefault="003502BE">
            <w:pPr>
              <w:jc w:val="left"/>
            </w:pPr>
            <w:r>
              <w:rPr>
                <w:rFonts w:eastAsiaTheme="minorEastAsia"/>
                <w:color w:val="000000"/>
                <w:szCs w:val="21"/>
              </w:rPr>
              <w:t>Instinet Europe Limited</w:t>
            </w:r>
          </w:p>
        </w:tc>
        <w:tc>
          <w:tcPr>
            <w:tcW w:w="1134" w:type="dxa"/>
            <w:vAlign w:val="center"/>
          </w:tcPr>
          <w:p w:rsidR="00122FB4" w:rsidRDefault="003502BE">
            <w:pPr>
              <w:jc w:val="right"/>
            </w:pPr>
            <w:r>
              <w:rPr>
                <w:rFonts w:eastAsiaTheme="minorEastAsia"/>
                <w:color w:val="000000"/>
                <w:szCs w:val="21"/>
              </w:rPr>
              <w:t>-</w:t>
            </w:r>
          </w:p>
        </w:tc>
        <w:tc>
          <w:tcPr>
            <w:tcW w:w="851" w:type="dxa"/>
            <w:vAlign w:val="center"/>
          </w:tcPr>
          <w:p w:rsidR="00122FB4" w:rsidRDefault="003502BE">
            <w:pPr>
              <w:jc w:val="right"/>
            </w:pPr>
            <w:r>
              <w:rPr>
                <w:rFonts w:eastAsiaTheme="minorEastAsia"/>
                <w:color w:val="000000"/>
                <w:szCs w:val="21"/>
              </w:rPr>
              <w:t>-</w:t>
            </w:r>
          </w:p>
        </w:tc>
        <w:tc>
          <w:tcPr>
            <w:tcW w:w="1134" w:type="dxa"/>
            <w:vAlign w:val="center"/>
          </w:tcPr>
          <w:p w:rsidR="00122FB4" w:rsidRDefault="003502BE">
            <w:pPr>
              <w:jc w:val="right"/>
            </w:pPr>
            <w:r>
              <w:rPr>
                <w:rFonts w:eastAsiaTheme="minorEastAsia"/>
                <w:color w:val="000000"/>
                <w:szCs w:val="21"/>
              </w:rPr>
              <w:t>-</w:t>
            </w:r>
          </w:p>
        </w:tc>
        <w:tc>
          <w:tcPr>
            <w:tcW w:w="889" w:type="dxa"/>
            <w:vAlign w:val="center"/>
          </w:tcPr>
          <w:p w:rsidR="00122FB4" w:rsidRDefault="003502BE">
            <w:pPr>
              <w:jc w:val="right"/>
            </w:pPr>
            <w:r>
              <w:rPr>
                <w:rFonts w:eastAsiaTheme="minorEastAsia"/>
                <w:color w:val="000000"/>
                <w:szCs w:val="21"/>
              </w:rPr>
              <w:t>-</w:t>
            </w:r>
          </w:p>
        </w:tc>
        <w:tc>
          <w:tcPr>
            <w:tcW w:w="1237" w:type="dxa"/>
            <w:vAlign w:val="center"/>
          </w:tcPr>
          <w:p w:rsidR="00122FB4" w:rsidRDefault="003502BE">
            <w:pPr>
              <w:jc w:val="right"/>
            </w:pPr>
            <w:r>
              <w:rPr>
                <w:rFonts w:eastAsiaTheme="minorEastAsia"/>
                <w:color w:val="000000"/>
                <w:szCs w:val="21"/>
              </w:rPr>
              <w:t>-</w:t>
            </w:r>
          </w:p>
        </w:tc>
        <w:tc>
          <w:tcPr>
            <w:tcW w:w="927" w:type="dxa"/>
            <w:vAlign w:val="center"/>
          </w:tcPr>
          <w:p w:rsidR="00122FB4" w:rsidRDefault="003502BE">
            <w:pPr>
              <w:jc w:val="right"/>
            </w:pPr>
            <w:r>
              <w:rPr>
                <w:rFonts w:eastAsiaTheme="minorEastAsia"/>
                <w:color w:val="000000"/>
                <w:szCs w:val="21"/>
              </w:rPr>
              <w:t>-</w:t>
            </w:r>
          </w:p>
        </w:tc>
        <w:tc>
          <w:tcPr>
            <w:tcW w:w="1057" w:type="dxa"/>
            <w:vAlign w:val="center"/>
          </w:tcPr>
          <w:p w:rsidR="00122FB4" w:rsidRDefault="003502BE">
            <w:pPr>
              <w:jc w:val="right"/>
            </w:pPr>
            <w:r>
              <w:rPr>
                <w:rFonts w:eastAsiaTheme="minorEastAsia"/>
                <w:color w:val="000000"/>
                <w:szCs w:val="21"/>
              </w:rPr>
              <w:t>-</w:t>
            </w:r>
          </w:p>
        </w:tc>
        <w:tc>
          <w:tcPr>
            <w:tcW w:w="905" w:type="dxa"/>
            <w:vAlign w:val="center"/>
          </w:tcPr>
          <w:p w:rsidR="00122FB4" w:rsidRDefault="003502BE">
            <w:pPr>
              <w:jc w:val="right"/>
            </w:pPr>
            <w:r>
              <w:rPr>
                <w:rFonts w:eastAsiaTheme="minorEastAsia"/>
                <w:color w:val="000000"/>
                <w:szCs w:val="21"/>
              </w:rPr>
              <w:t>-</w:t>
            </w:r>
          </w:p>
        </w:tc>
      </w:tr>
      <w:tr w:rsidR="00122FB4">
        <w:tc>
          <w:tcPr>
            <w:tcW w:w="709" w:type="dxa"/>
            <w:vAlign w:val="center"/>
          </w:tcPr>
          <w:p w:rsidR="00122FB4" w:rsidRDefault="003502BE">
            <w:pPr>
              <w:jc w:val="left"/>
            </w:pPr>
            <w:r>
              <w:rPr>
                <w:rFonts w:eastAsiaTheme="minorEastAsia"/>
                <w:color w:val="000000"/>
                <w:szCs w:val="21"/>
              </w:rPr>
              <w:t>Instinet Singapore Services Pte Ltd</w:t>
            </w:r>
          </w:p>
        </w:tc>
        <w:tc>
          <w:tcPr>
            <w:tcW w:w="1134" w:type="dxa"/>
            <w:vAlign w:val="center"/>
          </w:tcPr>
          <w:p w:rsidR="00122FB4" w:rsidRDefault="003502BE">
            <w:pPr>
              <w:jc w:val="right"/>
            </w:pPr>
            <w:r>
              <w:rPr>
                <w:rFonts w:eastAsiaTheme="minorEastAsia"/>
                <w:color w:val="000000"/>
                <w:szCs w:val="21"/>
              </w:rPr>
              <w:t>-</w:t>
            </w:r>
          </w:p>
        </w:tc>
        <w:tc>
          <w:tcPr>
            <w:tcW w:w="851" w:type="dxa"/>
            <w:vAlign w:val="center"/>
          </w:tcPr>
          <w:p w:rsidR="00122FB4" w:rsidRDefault="003502BE">
            <w:pPr>
              <w:jc w:val="right"/>
            </w:pPr>
            <w:r>
              <w:rPr>
                <w:rFonts w:eastAsiaTheme="minorEastAsia"/>
                <w:color w:val="000000"/>
                <w:szCs w:val="21"/>
              </w:rPr>
              <w:t>-</w:t>
            </w:r>
          </w:p>
        </w:tc>
        <w:tc>
          <w:tcPr>
            <w:tcW w:w="1134" w:type="dxa"/>
            <w:vAlign w:val="center"/>
          </w:tcPr>
          <w:p w:rsidR="00122FB4" w:rsidRDefault="003502BE">
            <w:pPr>
              <w:jc w:val="right"/>
            </w:pPr>
            <w:r>
              <w:rPr>
                <w:rFonts w:eastAsiaTheme="minorEastAsia"/>
                <w:color w:val="000000"/>
                <w:szCs w:val="21"/>
              </w:rPr>
              <w:t>-</w:t>
            </w:r>
          </w:p>
        </w:tc>
        <w:tc>
          <w:tcPr>
            <w:tcW w:w="889" w:type="dxa"/>
            <w:vAlign w:val="center"/>
          </w:tcPr>
          <w:p w:rsidR="00122FB4" w:rsidRDefault="003502BE">
            <w:pPr>
              <w:jc w:val="right"/>
            </w:pPr>
            <w:r>
              <w:rPr>
                <w:rFonts w:eastAsiaTheme="minorEastAsia"/>
                <w:color w:val="000000"/>
                <w:szCs w:val="21"/>
              </w:rPr>
              <w:t>-</w:t>
            </w:r>
          </w:p>
        </w:tc>
        <w:tc>
          <w:tcPr>
            <w:tcW w:w="1237" w:type="dxa"/>
            <w:vAlign w:val="center"/>
          </w:tcPr>
          <w:p w:rsidR="00122FB4" w:rsidRDefault="003502BE">
            <w:pPr>
              <w:jc w:val="right"/>
            </w:pPr>
            <w:r>
              <w:rPr>
                <w:rFonts w:eastAsiaTheme="minorEastAsia"/>
                <w:color w:val="000000"/>
                <w:szCs w:val="21"/>
              </w:rPr>
              <w:t>-</w:t>
            </w:r>
          </w:p>
        </w:tc>
        <w:tc>
          <w:tcPr>
            <w:tcW w:w="927" w:type="dxa"/>
            <w:vAlign w:val="center"/>
          </w:tcPr>
          <w:p w:rsidR="00122FB4" w:rsidRDefault="003502BE">
            <w:pPr>
              <w:jc w:val="right"/>
            </w:pPr>
            <w:r>
              <w:rPr>
                <w:rFonts w:eastAsiaTheme="minorEastAsia"/>
                <w:color w:val="000000"/>
                <w:szCs w:val="21"/>
              </w:rPr>
              <w:t>-</w:t>
            </w:r>
          </w:p>
        </w:tc>
        <w:tc>
          <w:tcPr>
            <w:tcW w:w="1057" w:type="dxa"/>
            <w:vAlign w:val="center"/>
          </w:tcPr>
          <w:p w:rsidR="00122FB4" w:rsidRDefault="003502BE">
            <w:pPr>
              <w:jc w:val="right"/>
            </w:pPr>
            <w:r>
              <w:rPr>
                <w:rFonts w:eastAsiaTheme="minorEastAsia"/>
                <w:color w:val="000000"/>
                <w:szCs w:val="21"/>
              </w:rPr>
              <w:t>-</w:t>
            </w:r>
          </w:p>
        </w:tc>
        <w:tc>
          <w:tcPr>
            <w:tcW w:w="905" w:type="dxa"/>
            <w:vAlign w:val="center"/>
          </w:tcPr>
          <w:p w:rsidR="00122FB4" w:rsidRDefault="003502BE">
            <w:pPr>
              <w:jc w:val="right"/>
            </w:pPr>
            <w:r>
              <w:rPr>
                <w:rFonts w:eastAsiaTheme="minorEastAsia"/>
                <w:color w:val="000000"/>
                <w:szCs w:val="21"/>
              </w:rPr>
              <w:t>-</w:t>
            </w:r>
          </w:p>
        </w:tc>
      </w:tr>
    </w:tbl>
    <w:p w:rsidR="00270B6C" w:rsidRPr="0098332C" w:rsidRDefault="00270B6C" w:rsidP="00270B6C">
      <w:pPr>
        <w:autoSpaceDE w:val="0"/>
        <w:autoSpaceDN w:val="0"/>
        <w:adjustRightInd w:val="0"/>
        <w:spacing w:line="360" w:lineRule="auto"/>
        <w:ind w:firstLineChars="200" w:firstLine="420"/>
        <w:jc w:val="left"/>
        <w:rPr>
          <w:rFonts w:eastAsiaTheme="minorEastAsia"/>
          <w:color w:val="000000" w:themeColor="text1"/>
          <w:szCs w:val="21"/>
        </w:rPr>
      </w:pPr>
      <w:r w:rsidRPr="0098332C">
        <w:rPr>
          <w:rFonts w:eastAsiaTheme="minorEastAsia"/>
          <w:color w:val="000000" w:themeColor="text1"/>
          <w:szCs w:val="21"/>
        </w:rPr>
        <w:t>注：无。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82" w:name="_Toc352256019"/>
      <w:bookmarkStart w:id="283" w:name="_Toc352256087"/>
      <w:bookmarkStart w:id="284" w:name="_Toc352331265"/>
      <w:bookmarkStart w:id="285" w:name="_Toc390164849"/>
      <w:bookmarkEnd w:id="261"/>
      <w:bookmarkEnd w:id="262"/>
      <w:bookmarkEnd w:id="263"/>
      <w:bookmarkEnd w:id="264"/>
      <w:r w:rsidRPr="0098332C">
        <w:rPr>
          <w:rFonts w:eastAsiaTheme="minorEastAsia"/>
          <w:b/>
          <w:bCs/>
          <w:sz w:val="21"/>
          <w:szCs w:val="21"/>
          <w:lang w:val="en-US"/>
        </w:rPr>
        <w:t>11</w:t>
      </w:r>
      <w:r w:rsidR="00506065">
        <w:rPr>
          <w:rFonts w:eastAsiaTheme="minorEastAsia"/>
          <w:b/>
          <w:bCs/>
          <w:sz w:val="21"/>
          <w:szCs w:val="21"/>
          <w:lang w:val="en-US"/>
        </w:rPr>
        <w:t xml:space="preserve">  </w:t>
      </w:r>
      <w:r w:rsidRPr="0098332C">
        <w:rPr>
          <w:rFonts w:eastAsiaTheme="minorEastAsia"/>
          <w:b/>
          <w:bCs/>
          <w:sz w:val="21"/>
          <w:szCs w:val="21"/>
          <w:lang w:val="en-US"/>
        </w:rPr>
        <w:t>影响投资者决策的其他重要信息</w:t>
      </w:r>
      <w:bookmarkEnd w:id="282"/>
      <w:bookmarkEnd w:id="283"/>
      <w:bookmarkEnd w:id="284"/>
      <w:bookmarkEnd w:id="285"/>
    </w:p>
    <w:p w:rsidR="00281860" w:rsidRPr="0098332C" w:rsidRDefault="00281860" w:rsidP="00281860">
      <w:pPr>
        <w:autoSpaceDE w:val="0"/>
        <w:autoSpaceDN w:val="0"/>
        <w:adjustRightInd w:val="0"/>
        <w:spacing w:line="360" w:lineRule="auto"/>
        <w:jc w:val="left"/>
        <w:rPr>
          <w:rFonts w:ascii="宋体" w:hAnsi="宋体"/>
          <w:b/>
          <w:bCs/>
          <w:color w:val="000000"/>
          <w:kern w:val="0"/>
          <w:szCs w:val="21"/>
        </w:rPr>
      </w:pPr>
      <w:r w:rsidRPr="0098332C">
        <w:rPr>
          <w:rFonts w:ascii="宋体" w:hAnsi="宋体" w:hint="eastAsia"/>
          <w:b/>
          <w:bCs/>
          <w:color w:val="000000"/>
          <w:kern w:val="0"/>
          <w:szCs w:val="21"/>
        </w:rPr>
        <w:t>11.1 影响投资者决策的其他重要信息</w:t>
      </w:r>
    </w:p>
    <w:p w:rsidR="00281860" w:rsidRPr="0098332C" w:rsidRDefault="00281860" w:rsidP="00281860">
      <w:pPr>
        <w:spacing w:line="360" w:lineRule="auto"/>
        <w:ind w:firstLineChars="200" w:firstLine="420"/>
        <w:rPr>
          <w:rFonts w:ascii="宋体" w:hAnsi="宋体"/>
          <w:color w:val="000000"/>
          <w:szCs w:val="21"/>
        </w:rPr>
      </w:pPr>
      <w:r w:rsidRPr="0098332C">
        <w:rPr>
          <w:rFonts w:ascii="宋体" w:hAnsi="宋体"/>
          <w:color w:val="000000"/>
          <w:szCs w:val="21"/>
        </w:rPr>
        <w:t>无。</w:t>
      </w: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2116B9">
      <w:pPr>
        <w:spacing w:line="360" w:lineRule="auto"/>
        <w:ind w:left="840"/>
        <w:jc w:val="right"/>
        <w:rPr>
          <w:rFonts w:eastAsiaTheme="minorEastAsia"/>
          <w:b/>
          <w:bCs/>
          <w:szCs w:val="21"/>
        </w:rPr>
      </w:pPr>
      <w:r w:rsidRPr="0098332C">
        <w:rPr>
          <w:rFonts w:eastAsiaTheme="minorEastAsia"/>
          <w:b/>
          <w:bCs/>
          <w:szCs w:val="21"/>
        </w:rPr>
        <w:t>上投摩根基金管理有限公司</w:t>
      </w:r>
    </w:p>
    <w:p w:rsidR="008A5A5D" w:rsidRPr="00862636" w:rsidRDefault="00025106" w:rsidP="002116B9">
      <w:pPr>
        <w:spacing w:line="360" w:lineRule="auto"/>
        <w:ind w:left="840"/>
        <w:jc w:val="right"/>
        <w:rPr>
          <w:rFonts w:eastAsiaTheme="minorEastAsia"/>
          <w:b/>
          <w:bCs/>
          <w:szCs w:val="21"/>
        </w:rPr>
      </w:pPr>
      <w:r w:rsidRPr="0098332C">
        <w:rPr>
          <w:rFonts w:eastAsiaTheme="minorEastAsia"/>
          <w:b/>
          <w:bCs/>
          <w:szCs w:val="21"/>
        </w:rPr>
        <w:t>二〇一九年八月二十四日</w:t>
      </w:r>
    </w:p>
    <w:sectPr w:rsidR="008A5A5D" w:rsidRPr="00862636"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CF" w:rsidRDefault="00B803CF">
      <w:r>
        <w:separator/>
      </w:r>
    </w:p>
  </w:endnote>
  <w:endnote w:type="continuationSeparator" w:id="0">
    <w:p w:rsidR="00B803CF" w:rsidRDefault="00B8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A371B2" w:rsidP="00C03B3A">
    <w:pPr>
      <w:pStyle w:val="aa"/>
      <w:framePr w:wrap="around" w:vAnchor="text" w:hAnchor="margin" w:xAlign="right" w:y="1"/>
      <w:rPr>
        <w:rStyle w:val="ac"/>
      </w:rPr>
    </w:pPr>
    <w:r>
      <w:rPr>
        <w:rStyle w:val="ac"/>
      </w:rPr>
      <w:fldChar w:fldCharType="begin"/>
    </w:r>
    <w:r w:rsidR="00862636">
      <w:rPr>
        <w:rStyle w:val="ac"/>
      </w:rPr>
      <w:instrText xml:space="preserve">PAGE  </w:instrText>
    </w:r>
    <w:r>
      <w:rPr>
        <w:rStyle w:val="ac"/>
      </w:rPr>
      <w:fldChar w:fldCharType="end"/>
    </w:r>
  </w:p>
  <w:p w:rsidR="00862636" w:rsidRDefault="00862636" w:rsidP="00C03B3A">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862636" w:rsidP="00C03B3A">
    <w:pPr>
      <w:pStyle w:val="aa"/>
      <w:ind w:right="360"/>
      <w:jc w:val="center"/>
    </w:pPr>
    <w:r>
      <w:rPr>
        <w:rFonts w:hint="eastAsia"/>
        <w:kern w:val="0"/>
        <w:szCs w:val="21"/>
      </w:rPr>
      <w:t>第</w:t>
    </w:r>
    <w:r w:rsidR="00A371B2">
      <w:rPr>
        <w:kern w:val="0"/>
        <w:szCs w:val="21"/>
      </w:rPr>
      <w:fldChar w:fldCharType="begin"/>
    </w:r>
    <w:r>
      <w:rPr>
        <w:kern w:val="0"/>
        <w:szCs w:val="21"/>
      </w:rPr>
      <w:instrText xml:space="preserve"> PAGE </w:instrText>
    </w:r>
    <w:r w:rsidR="00A371B2">
      <w:rPr>
        <w:kern w:val="0"/>
        <w:szCs w:val="21"/>
      </w:rPr>
      <w:fldChar w:fldCharType="separate"/>
    </w:r>
    <w:r w:rsidR="00227731">
      <w:rPr>
        <w:noProof/>
        <w:kern w:val="0"/>
        <w:szCs w:val="21"/>
      </w:rPr>
      <w:t>25</w:t>
    </w:r>
    <w:r w:rsidR="00A371B2">
      <w:rPr>
        <w:kern w:val="0"/>
        <w:szCs w:val="21"/>
      </w:rPr>
      <w:fldChar w:fldCharType="end"/>
    </w:r>
    <w:r>
      <w:rPr>
        <w:rFonts w:hint="eastAsia"/>
        <w:kern w:val="0"/>
        <w:szCs w:val="21"/>
      </w:rPr>
      <w:t>页共</w:t>
    </w:r>
    <w:r w:rsidR="00A371B2">
      <w:rPr>
        <w:kern w:val="0"/>
        <w:szCs w:val="21"/>
      </w:rPr>
      <w:fldChar w:fldCharType="begin"/>
    </w:r>
    <w:r>
      <w:rPr>
        <w:kern w:val="0"/>
        <w:szCs w:val="21"/>
      </w:rPr>
      <w:instrText xml:space="preserve"> NUMPAGES </w:instrText>
    </w:r>
    <w:r w:rsidR="00A371B2">
      <w:rPr>
        <w:kern w:val="0"/>
        <w:szCs w:val="21"/>
      </w:rPr>
      <w:fldChar w:fldCharType="separate"/>
    </w:r>
    <w:r w:rsidR="00227731">
      <w:rPr>
        <w:noProof/>
        <w:kern w:val="0"/>
        <w:szCs w:val="21"/>
      </w:rPr>
      <w:t>28</w:t>
    </w:r>
    <w:r w:rsidR="00A371B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CF" w:rsidRDefault="00B803CF">
      <w:r>
        <w:separator/>
      </w:r>
    </w:p>
  </w:footnote>
  <w:footnote w:type="continuationSeparator" w:id="0">
    <w:p w:rsidR="00B803CF" w:rsidRDefault="00B80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Pr="00483A13" w:rsidRDefault="00862636" w:rsidP="009D66C1">
    <w:pPr>
      <w:pStyle w:val="ae"/>
      <w:pBdr>
        <w:bottom w:val="single" w:sz="6" w:space="0" w:color="auto"/>
      </w:pBdr>
      <w:jc w:val="right"/>
    </w:pPr>
    <w:r w:rsidRPr="00483A13">
      <w:t>上投摩根富时发达市场</w:t>
    </w:r>
    <w:r w:rsidRPr="00483A13">
      <w:t>REITs</w:t>
    </w:r>
    <w:r w:rsidRPr="00483A13">
      <w:t>指数型证券投资基金（</w:t>
    </w:r>
    <w:r w:rsidRPr="00483A13">
      <w:t>QDII</w:t>
    </w:r>
    <w:r w:rsidRPr="00483A13">
      <w:t>）</w:t>
    </w:r>
    <w:r w:rsidRPr="00483A13">
      <w:t>2019</w:t>
    </w:r>
    <w:r w:rsidRPr="00483A13">
      <w:t>年半年度报告</w:t>
    </w:r>
    <w:r w:rsidR="00CF7242">
      <w:rPr>
        <w:rFonts w:hint="eastAsia"/>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FEF"/>
    <w:rsid w:val="000A53FD"/>
    <w:rsid w:val="000A549A"/>
    <w:rsid w:val="000A578A"/>
    <w:rsid w:val="000A6557"/>
    <w:rsid w:val="000A72F2"/>
    <w:rsid w:val="000B019A"/>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2FB4"/>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731"/>
    <w:rsid w:val="00227ABF"/>
    <w:rsid w:val="002318F3"/>
    <w:rsid w:val="0023323F"/>
    <w:rsid w:val="00233A86"/>
    <w:rsid w:val="00234202"/>
    <w:rsid w:val="00235842"/>
    <w:rsid w:val="002359EB"/>
    <w:rsid w:val="002363AB"/>
    <w:rsid w:val="00236412"/>
    <w:rsid w:val="00236933"/>
    <w:rsid w:val="0023727B"/>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9C4"/>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C03E0"/>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C5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02BE"/>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5251"/>
    <w:rsid w:val="00475D19"/>
    <w:rsid w:val="00477400"/>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69E"/>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5B77"/>
    <w:rsid w:val="005A65F0"/>
    <w:rsid w:val="005A7758"/>
    <w:rsid w:val="005A7DB8"/>
    <w:rsid w:val="005B011E"/>
    <w:rsid w:val="005B028B"/>
    <w:rsid w:val="005B0764"/>
    <w:rsid w:val="005B14CF"/>
    <w:rsid w:val="005B2E84"/>
    <w:rsid w:val="005B352F"/>
    <w:rsid w:val="005B36DA"/>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32"/>
    <w:rsid w:val="006413B3"/>
    <w:rsid w:val="0064185E"/>
    <w:rsid w:val="00642072"/>
    <w:rsid w:val="00642088"/>
    <w:rsid w:val="006440ED"/>
    <w:rsid w:val="0064467C"/>
    <w:rsid w:val="00644F1E"/>
    <w:rsid w:val="00645213"/>
    <w:rsid w:val="00645293"/>
    <w:rsid w:val="006468CB"/>
    <w:rsid w:val="006469D9"/>
    <w:rsid w:val="00646CF8"/>
    <w:rsid w:val="00650A2D"/>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D79"/>
    <w:rsid w:val="006B30BF"/>
    <w:rsid w:val="006B38C6"/>
    <w:rsid w:val="006B3940"/>
    <w:rsid w:val="006B45A6"/>
    <w:rsid w:val="006B47D3"/>
    <w:rsid w:val="006B62F0"/>
    <w:rsid w:val="006B6C6B"/>
    <w:rsid w:val="006C09B6"/>
    <w:rsid w:val="006C168D"/>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4D4"/>
    <w:rsid w:val="0082002E"/>
    <w:rsid w:val="0082083C"/>
    <w:rsid w:val="00820C54"/>
    <w:rsid w:val="00820F37"/>
    <w:rsid w:val="00820FE6"/>
    <w:rsid w:val="00821A66"/>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4DC"/>
    <w:rsid w:val="008B2BDF"/>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817"/>
    <w:rsid w:val="00A00902"/>
    <w:rsid w:val="00A0098B"/>
    <w:rsid w:val="00A01A28"/>
    <w:rsid w:val="00A0294E"/>
    <w:rsid w:val="00A0327A"/>
    <w:rsid w:val="00A039FF"/>
    <w:rsid w:val="00A04524"/>
    <w:rsid w:val="00A046F6"/>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29C7"/>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D0707"/>
    <w:rsid w:val="00BD0ECF"/>
    <w:rsid w:val="00BD13C1"/>
    <w:rsid w:val="00BD1DA6"/>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774"/>
    <w:rsid w:val="00C3180E"/>
    <w:rsid w:val="00C32AF2"/>
    <w:rsid w:val="00C33051"/>
    <w:rsid w:val="00C33204"/>
    <w:rsid w:val="00C338EB"/>
    <w:rsid w:val="00C34389"/>
    <w:rsid w:val="00C3465D"/>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54"/>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5927"/>
    <w:rsid w:val="00CA5D23"/>
    <w:rsid w:val="00CA635E"/>
    <w:rsid w:val="00CA6BB0"/>
    <w:rsid w:val="00CA70CE"/>
    <w:rsid w:val="00CA79EC"/>
    <w:rsid w:val="00CB002C"/>
    <w:rsid w:val="00CB1E4B"/>
    <w:rsid w:val="00CB258B"/>
    <w:rsid w:val="00CB259F"/>
    <w:rsid w:val="00CB389B"/>
    <w:rsid w:val="00CB39C2"/>
    <w:rsid w:val="00CB45FC"/>
    <w:rsid w:val="00CB4C8C"/>
    <w:rsid w:val="00CB4E90"/>
    <w:rsid w:val="00CB5850"/>
    <w:rsid w:val="00CB5C99"/>
    <w:rsid w:val="00CB633B"/>
    <w:rsid w:val="00CB6782"/>
    <w:rsid w:val="00CB6E3E"/>
    <w:rsid w:val="00CB72CD"/>
    <w:rsid w:val="00CC080A"/>
    <w:rsid w:val="00CC09EB"/>
    <w:rsid w:val="00CC0D0F"/>
    <w:rsid w:val="00CC1275"/>
    <w:rsid w:val="00CC12EE"/>
    <w:rsid w:val="00CC576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BA2"/>
    <w:rsid w:val="00CD7DF8"/>
    <w:rsid w:val="00CE04BC"/>
    <w:rsid w:val="00CE0A6E"/>
    <w:rsid w:val="00CE148E"/>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CF7242"/>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271F"/>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EE7"/>
    <w:rsid w:val="00DB5102"/>
    <w:rsid w:val="00DB521D"/>
    <w:rsid w:val="00DB5971"/>
    <w:rsid w:val="00DB5D51"/>
    <w:rsid w:val="00DB5F53"/>
    <w:rsid w:val="00DB6E27"/>
    <w:rsid w:val="00DB7B69"/>
    <w:rsid w:val="00DC0A2F"/>
    <w:rsid w:val="00DC0DBE"/>
    <w:rsid w:val="00DC1C8F"/>
    <w:rsid w:val="00DC1F57"/>
    <w:rsid w:val="00DC234A"/>
    <w:rsid w:val="00DC35DD"/>
    <w:rsid w:val="00DC41E4"/>
    <w:rsid w:val="00DC496E"/>
    <w:rsid w:val="00DC5116"/>
    <w:rsid w:val="00DC59DF"/>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117F"/>
    <w:rsid w:val="00DE22D3"/>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65F9"/>
    <w:rsid w:val="00E86682"/>
    <w:rsid w:val="00E86E79"/>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1D18"/>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59"/>
    <w:rsid w:val="00FA7F6F"/>
    <w:rsid w:val="00FB03B9"/>
    <w:rsid w:val="00FB10EC"/>
    <w:rsid w:val="00FB2D17"/>
    <w:rsid w:val="00FB2F69"/>
    <w:rsid w:val="00FB368B"/>
    <w:rsid w:val="00FB3A3A"/>
    <w:rsid w:val="00FB4217"/>
    <w:rsid w:val="00FB4379"/>
    <w:rsid w:val="00FB45FF"/>
    <w:rsid w:val="00FB55D8"/>
    <w:rsid w:val="00FB5D97"/>
    <w:rsid w:val="00FB61EA"/>
    <w:rsid w:val="00FB6C7A"/>
    <w:rsid w:val="00FB732E"/>
    <w:rsid w:val="00FB79F7"/>
    <w:rsid w:val="00FC09E7"/>
    <w:rsid w:val="00FC1CA5"/>
    <w:rsid w:val="00FC1D8E"/>
    <w:rsid w:val="00FC24EB"/>
    <w:rsid w:val="00FC2733"/>
    <w:rsid w:val="00FC2979"/>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1DE7C7E"/>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5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542137677">
      <w:bodyDiv w:val="1"/>
      <w:marLeft w:val="0"/>
      <w:marRight w:val="0"/>
      <w:marTop w:val="0"/>
      <w:marBottom w:val="0"/>
      <w:divBdr>
        <w:top w:val="none" w:sz="0" w:space="0" w:color="auto"/>
        <w:left w:val="none" w:sz="0" w:space="0" w:color="auto"/>
        <w:bottom w:val="none" w:sz="0" w:space="0" w:color="auto"/>
        <w:right w:val="none" w:sz="0" w:space="0" w:color="auto"/>
      </w:divBdr>
    </w:div>
    <w:div w:id="775322128">
      <w:bodyDiv w:val="1"/>
      <w:marLeft w:val="0"/>
      <w:marRight w:val="0"/>
      <w:marTop w:val="0"/>
      <w:marBottom w:val="0"/>
      <w:divBdr>
        <w:top w:val="none" w:sz="0" w:space="0" w:color="auto"/>
        <w:left w:val="none" w:sz="0" w:space="0" w:color="auto"/>
        <w:bottom w:val="none" w:sz="0" w:space="0" w:color="auto"/>
        <w:right w:val="none" w:sz="0" w:space="0" w:color="auto"/>
      </w:divBdr>
    </w:div>
    <w:div w:id="941378610">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42294917">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432D-C69A-42D0-8A70-50F9D18D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28</Pages>
  <Words>3319</Words>
  <Characters>18921</Characters>
  <Application>Microsoft Office Word</Application>
  <DocSecurity>0</DocSecurity>
  <Lines>157</Lines>
  <Paragraphs>44</Paragraphs>
  <ScaleCrop>false</ScaleCrop>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467</cp:revision>
  <cp:lastPrinted>2007-07-19T00:46:00Z</cp:lastPrinted>
  <dcterms:created xsi:type="dcterms:W3CDTF">2013-08-19T07:44:00Z</dcterms:created>
  <dcterms:modified xsi:type="dcterms:W3CDTF">2019-08-22T03:03:00Z</dcterms:modified>
</cp:coreProperties>
</file>