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摩根创新商业模式灵活配置混合型证券投资基金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摩根创新商业模式混合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005593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62,132,699.57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在严格的风险控制的前提下，通过自下而上的选股方式挖掘市场上具有创新商业模式且未来成长空间巨大的公司，力争实现基金资产的长期增值。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950F5A" w:rsidRDefault="002764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950F5A" w:rsidRDefault="002764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w:t>
            </w:r>
          </w:p>
          <w:p w:rsidR="00950F5A" w:rsidRDefault="002764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950F5A" w:rsidRDefault="002764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）创新商业模式的界定</w:t>
            </w:r>
          </w:p>
          <w:p w:rsidR="00950F5A" w:rsidRDefault="002764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商业模式是一种包含了一系列要素及其关系的概念性工具，用以阐明某个特定实体的商业逻辑。商业模式的核心就是资源的有效整合，其一系列构成要素包括了公司的产品研发、分销渠道、核心战略、品牌管理、市场定位等等。本基金管理人认为，商业模式的创新，实际是企业对盈利模式的审视以及再设计，它意味着企业需要发掘出新的客户需求，创造新的消费群体以及赢利模式，用全新的方法来完成经营任务。因此，本管理人将从以下几个方面重点挖掘具有创新商业模式的企业：一是产品发生创新或变革，包括产品形态的转变等。二是企业盈利模式的创新，包括涉足新的业务领域或平台、由单一的业务环节转变成整体产业链和生态圈等。三是企业销售渠道的创新，如由单一销售渠道转变为线上线下多维度渠道、由自主销售转变为第三方代理销售、由直营变为加盟、由固定佣金销售变为销售利润分成等。</w:t>
            </w:r>
          </w:p>
          <w:p w:rsidR="00950F5A" w:rsidRDefault="002764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）行业配置策略</w:t>
            </w:r>
          </w:p>
          <w:p w:rsidR="00950F5A" w:rsidRDefault="002764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关注在产品定位、盈利模式、销售渠道等方面具有特殊性、创新性模式的行业和企业。优秀的商业模式通常伴随新业务、新业态的出现而出现。在当前市场环境下，依据申银万国行业分类一级行业分类标准，本管理人认为传媒、电子、银行、非银金融、计算机、汽车、商业贸易、通信、休闲服务、医药生物、电气设备、化工、食品饮料、国防军工、房地产、纺织服装、家用电器、轻工制造、机械设备、交通运输等行业出现商业模式创新的可能性较大。</w:t>
            </w:r>
          </w:p>
          <w:p w:rsidR="00950F5A" w:rsidRDefault="002764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）个股精选策略</w:t>
            </w:r>
          </w:p>
          <w:p w:rsidR="00950F5A" w:rsidRDefault="002764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1</w:t>
            </w:r>
            <w:r>
              <w:rPr>
                <w:rFonts w:eastAsiaTheme="minorEastAsia"/>
                <w:color w:val="000000" w:themeColor="text1"/>
                <w:kern w:val="0"/>
                <w:szCs w:val="21"/>
              </w:rPr>
              <w:t>）</w:t>
            </w:r>
            <w:r>
              <w:rPr>
                <w:rFonts w:eastAsiaTheme="minorEastAsia"/>
                <w:color w:val="000000" w:themeColor="text1"/>
                <w:kern w:val="0"/>
                <w:szCs w:val="21"/>
              </w:rPr>
              <w:t>A</w:t>
            </w:r>
            <w:r>
              <w:rPr>
                <w:rFonts w:eastAsiaTheme="minorEastAsia"/>
                <w:color w:val="000000" w:themeColor="text1"/>
                <w:kern w:val="0"/>
                <w:szCs w:val="21"/>
              </w:rPr>
              <w:t>股投资策略</w:t>
            </w:r>
          </w:p>
          <w:p w:rsidR="00950F5A" w:rsidRDefault="002764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密切关注在商业模式上有重大创新和变革的优质企业。结合优秀的商业模式，本基金将重点投资于符合中国经济转型未来发展方向、运用新技术、创造新模式、引领新的生活方式和消费习惯的相关行业及公司。</w:t>
            </w:r>
          </w:p>
          <w:p w:rsidR="00950F5A" w:rsidRDefault="002764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）港股投资策略</w:t>
            </w:r>
          </w:p>
          <w:p w:rsidR="00950F5A" w:rsidRDefault="002764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本基金将仅通过内地与香港股票市场交易互联互通机制投资于香港股票市场，不使用合格境内机构投资者（</w:t>
            </w:r>
            <w:r>
              <w:rPr>
                <w:rFonts w:eastAsiaTheme="minorEastAsia"/>
                <w:color w:val="000000" w:themeColor="text1"/>
                <w:kern w:val="0"/>
                <w:szCs w:val="21"/>
              </w:rPr>
              <w:t>QDII</w:t>
            </w:r>
            <w:r>
              <w:rPr>
                <w:rFonts w:eastAsiaTheme="minorEastAsia"/>
                <w:color w:val="000000" w:themeColor="text1"/>
                <w:kern w:val="0"/>
                <w:szCs w:val="21"/>
              </w:rPr>
              <w:t>）境外投资额度进行境外投资。受到行业发展阶段和水平的限制，一些行业在内地市场仍采用传统模式；而香港与国际接轨，市场环境鼓励自由创新，各行业中存在众多内地稀缺的创新、领先的商业模式，提供大量优质可投资创新商业模式主题标的，蕴含巨大增值空间。</w:t>
            </w:r>
          </w:p>
          <w:p w:rsidR="00950F5A" w:rsidRDefault="002764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950F5A" w:rsidRDefault="002764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对于固定收益类资产的选择，本基金将以价值分析为主线，在综合研究的基础上实施积极主动的组合管理，自上而下进行组合构建，自下而上进行个券选择。</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恒生综合指数收益率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950F5A" w:rsidRDefault="002764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本基金属于混合型基金产品，预期风险和预期收益水平高于债券型基金和货币市场基金，低于股票型基金，属于中等风险收益水平的基金产品。</w:t>
            </w:r>
          </w:p>
          <w:p w:rsidR="00950F5A" w:rsidRDefault="002764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本基金除了投资</w:t>
            </w:r>
            <w:r>
              <w:rPr>
                <w:rFonts w:eastAsiaTheme="minorEastAsia"/>
                <w:color w:val="000000" w:themeColor="text1"/>
                <w:kern w:val="0"/>
                <w:szCs w:val="21"/>
              </w:rPr>
              <w:t>A</w:t>
            </w:r>
            <w:r>
              <w:rPr>
                <w:rFonts w:eastAsiaTheme="minorEastAsia"/>
                <w:color w:val="000000" w:themeColor="text1"/>
                <w:kern w:val="0"/>
                <w:szCs w:val="21"/>
              </w:rPr>
              <w:t>股外，还可根据法律法规规定投资香港联合交易所上市的股票。除了需要承担与境内证券投资基金类似的市场波动风险等一般投资风险之外，本基金还面</w:t>
            </w:r>
            <w:r>
              <w:rPr>
                <w:rFonts w:eastAsiaTheme="minorEastAsia"/>
                <w:color w:val="000000" w:themeColor="text1"/>
                <w:kern w:val="0"/>
                <w:szCs w:val="21"/>
              </w:rPr>
              <w:lastRenderedPageBreak/>
              <w:t>临汇率风险、香港市场风险等境外证券市场投资所面临的特别投资风险。</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005593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016418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62,045,636.27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87,063.30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-5,042,146.39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-1,543.45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-1,049,000.10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2,438.26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0.0402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65,661,139.18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91,251.51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1.0583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1.0481</w:t>
            </w:r>
          </w:p>
        </w:tc>
      </w:tr>
    </w:tbl>
    <w:p w:rsidR="00950F5A" w:rsidRDefault="002764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w:t>
      </w:r>
      <w:r>
        <w:rPr>
          <w:rFonts w:eastAsiaTheme="minorEastAsia"/>
          <w:color w:val="000000" w:themeColor="text1"/>
          <w:szCs w:val="21"/>
        </w:rPr>
        <w:lastRenderedPageBreak/>
        <w:t>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摩根创新商业模式混合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764BE">
        <w:tc>
          <w:tcPr>
            <w:tcW w:w="1290" w:type="dxa"/>
            <w:vAlign w:val="center"/>
          </w:tcPr>
          <w:p w:rsidR="002764BE" w:rsidRDefault="002764BE" w:rsidP="002764BE">
            <w:pPr>
              <w:jc w:val="left"/>
            </w:pPr>
            <w:r>
              <w:rPr>
                <w:rFonts w:eastAsiaTheme="minorEastAsia"/>
                <w:color w:val="000000" w:themeColor="text1"/>
                <w:szCs w:val="21"/>
              </w:rPr>
              <w:t>过去三个月</w:t>
            </w:r>
          </w:p>
        </w:tc>
        <w:tc>
          <w:tcPr>
            <w:tcW w:w="1291" w:type="dxa"/>
            <w:vAlign w:val="center"/>
          </w:tcPr>
          <w:p w:rsidR="002764BE" w:rsidRDefault="002764BE" w:rsidP="002764BE">
            <w:pPr>
              <w:jc w:val="right"/>
            </w:pPr>
            <w:r>
              <w:rPr>
                <w:rFonts w:eastAsiaTheme="minorEastAsia"/>
                <w:color w:val="000000" w:themeColor="text1"/>
                <w:szCs w:val="21"/>
              </w:rPr>
              <w:t>-1.33%</w:t>
            </w:r>
          </w:p>
        </w:tc>
        <w:tc>
          <w:tcPr>
            <w:tcW w:w="1291" w:type="dxa"/>
            <w:vAlign w:val="center"/>
          </w:tcPr>
          <w:p w:rsidR="002764BE" w:rsidRDefault="002764BE" w:rsidP="002764BE">
            <w:pPr>
              <w:jc w:val="right"/>
            </w:pPr>
            <w:r>
              <w:rPr>
                <w:rFonts w:eastAsiaTheme="minorEastAsia"/>
                <w:color w:val="000000" w:themeColor="text1"/>
                <w:szCs w:val="21"/>
              </w:rPr>
              <w:t>2.15%</w:t>
            </w:r>
          </w:p>
        </w:tc>
        <w:tc>
          <w:tcPr>
            <w:tcW w:w="1291" w:type="dxa"/>
            <w:vAlign w:val="center"/>
          </w:tcPr>
          <w:p w:rsidR="002764BE" w:rsidRDefault="002764BE" w:rsidP="002764BE">
            <w:pPr>
              <w:jc w:val="right"/>
            </w:pPr>
            <w:r>
              <w:rPr>
                <w:rFonts w:eastAsiaTheme="minorEastAsia"/>
                <w:color w:val="000000" w:themeColor="text1"/>
                <w:szCs w:val="21"/>
              </w:rPr>
              <w:t>0.96%</w:t>
            </w:r>
          </w:p>
        </w:tc>
        <w:tc>
          <w:tcPr>
            <w:tcW w:w="1291" w:type="dxa"/>
            <w:vAlign w:val="center"/>
          </w:tcPr>
          <w:p w:rsidR="002764BE" w:rsidRDefault="002764BE" w:rsidP="002764BE">
            <w:pPr>
              <w:jc w:val="right"/>
            </w:pPr>
            <w:r>
              <w:rPr>
                <w:rFonts w:eastAsiaTheme="minorEastAsia"/>
                <w:color w:val="000000" w:themeColor="text1"/>
                <w:szCs w:val="21"/>
              </w:rPr>
              <w:t>0.71%</w:t>
            </w:r>
          </w:p>
        </w:tc>
        <w:tc>
          <w:tcPr>
            <w:tcW w:w="1291" w:type="dxa"/>
            <w:vAlign w:val="center"/>
          </w:tcPr>
          <w:p w:rsidR="002764BE" w:rsidRDefault="002764BE" w:rsidP="002764BE">
            <w:pPr>
              <w:jc w:val="right"/>
            </w:pPr>
            <w:r>
              <w:rPr>
                <w:rFonts w:eastAsiaTheme="minorEastAsia"/>
                <w:color w:val="000000" w:themeColor="text1"/>
                <w:szCs w:val="21"/>
              </w:rPr>
              <w:t>-2.29%</w:t>
            </w:r>
          </w:p>
        </w:tc>
        <w:tc>
          <w:tcPr>
            <w:tcW w:w="1291" w:type="dxa"/>
            <w:vAlign w:val="center"/>
          </w:tcPr>
          <w:p w:rsidR="002764BE" w:rsidRDefault="002764BE" w:rsidP="002764BE">
            <w:pPr>
              <w:jc w:val="right"/>
            </w:pPr>
            <w:r>
              <w:rPr>
                <w:rFonts w:eastAsiaTheme="minorEastAsia"/>
                <w:color w:val="000000" w:themeColor="text1"/>
                <w:szCs w:val="21"/>
              </w:rPr>
              <w:t>1.44%</w:t>
            </w:r>
          </w:p>
        </w:tc>
      </w:tr>
      <w:tr w:rsidR="002764BE">
        <w:tc>
          <w:tcPr>
            <w:tcW w:w="1290" w:type="dxa"/>
            <w:vAlign w:val="center"/>
          </w:tcPr>
          <w:p w:rsidR="002764BE" w:rsidRDefault="002764BE" w:rsidP="002764BE">
            <w:pPr>
              <w:jc w:val="left"/>
            </w:pPr>
            <w:r>
              <w:rPr>
                <w:rFonts w:eastAsiaTheme="minorEastAsia"/>
                <w:color w:val="000000" w:themeColor="text1"/>
                <w:szCs w:val="21"/>
              </w:rPr>
              <w:t>过去六个月</w:t>
            </w:r>
          </w:p>
        </w:tc>
        <w:tc>
          <w:tcPr>
            <w:tcW w:w="1291" w:type="dxa"/>
            <w:vAlign w:val="center"/>
          </w:tcPr>
          <w:p w:rsidR="002764BE" w:rsidRDefault="002764BE" w:rsidP="002764BE">
            <w:pPr>
              <w:jc w:val="right"/>
            </w:pPr>
            <w:r>
              <w:rPr>
                <w:rFonts w:eastAsiaTheme="minorEastAsia"/>
                <w:color w:val="000000" w:themeColor="text1"/>
                <w:szCs w:val="21"/>
              </w:rPr>
              <w:t>-7.58%</w:t>
            </w:r>
          </w:p>
        </w:tc>
        <w:tc>
          <w:tcPr>
            <w:tcW w:w="1291" w:type="dxa"/>
            <w:vAlign w:val="center"/>
          </w:tcPr>
          <w:p w:rsidR="002764BE" w:rsidRDefault="002764BE" w:rsidP="002764BE">
            <w:pPr>
              <w:jc w:val="right"/>
            </w:pPr>
            <w:r>
              <w:rPr>
                <w:rFonts w:eastAsiaTheme="minorEastAsia"/>
                <w:color w:val="000000" w:themeColor="text1"/>
                <w:szCs w:val="21"/>
              </w:rPr>
              <w:t>1.77%</w:t>
            </w:r>
          </w:p>
        </w:tc>
        <w:tc>
          <w:tcPr>
            <w:tcW w:w="1291" w:type="dxa"/>
            <w:vAlign w:val="center"/>
          </w:tcPr>
          <w:p w:rsidR="002764BE" w:rsidRDefault="002764BE" w:rsidP="002764BE">
            <w:pPr>
              <w:jc w:val="right"/>
            </w:pPr>
            <w:r>
              <w:rPr>
                <w:rFonts w:eastAsiaTheme="minorEastAsia"/>
                <w:color w:val="000000" w:themeColor="text1"/>
                <w:szCs w:val="21"/>
              </w:rPr>
              <w:t>-2.48%</w:t>
            </w:r>
          </w:p>
        </w:tc>
        <w:tc>
          <w:tcPr>
            <w:tcW w:w="1291" w:type="dxa"/>
            <w:vAlign w:val="center"/>
          </w:tcPr>
          <w:p w:rsidR="002764BE" w:rsidRDefault="002764BE" w:rsidP="002764BE">
            <w:pPr>
              <w:jc w:val="right"/>
            </w:pPr>
            <w:r>
              <w:rPr>
                <w:rFonts w:eastAsiaTheme="minorEastAsia"/>
                <w:color w:val="000000" w:themeColor="text1"/>
                <w:szCs w:val="21"/>
              </w:rPr>
              <w:t>0.60%</w:t>
            </w:r>
          </w:p>
        </w:tc>
        <w:tc>
          <w:tcPr>
            <w:tcW w:w="1291" w:type="dxa"/>
            <w:vAlign w:val="center"/>
          </w:tcPr>
          <w:p w:rsidR="002764BE" w:rsidRDefault="002764BE" w:rsidP="002764BE">
            <w:pPr>
              <w:jc w:val="right"/>
            </w:pPr>
            <w:r>
              <w:rPr>
                <w:rFonts w:eastAsiaTheme="minorEastAsia"/>
                <w:color w:val="000000" w:themeColor="text1"/>
                <w:szCs w:val="21"/>
              </w:rPr>
              <w:t>-5.10%</w:t>
            </w:r>
          </w:p>
        </w:tc>
        <w:tc>
          <w:tcPr>
            <w:tcW w:w="1291" w:type="dxa"/>
            <w:vAlign w:val="center"/>
          </w:tcPr>
          <w:p w:rsidR="002764BE" w:rsidRDefault="002764BE" w:rsidP="002764BE">
            <w:pPr>
              <w:jc w:val="right"/>
            </w:pPr>
            <w:r>
              <w:rPr>
                <w:rFonts w:eastAsiaTheme="minorEastAsia"/>
                <w:color w:val="000000" w:themeColor="text1"/>
                <w:szCs w:val="21"/>
              </w:rPr>
              <w:t>1.17%</w:t>
            </w:r>
          </w:p>
        </w:tc>
      </w:tr>
      <w:tr w:rsidR="002764BE">
        <w:tc>
          <w:tcPr>
            <w:tcW w:w="1290" w:type="dxa"/>
            <w:vAlign w:val="center"/>
          </w:tcPr>
          <w:p w:rsidR="002764BE" w:rsidRDefault="002764BE" w:rsidP="002764BE">
            <w:pPr>
              <w:jc w:val="left"/>
            </w:pPr>
            <w:r>
              <w:rPr>
                <w:rFonts w:eastAsiaTheme="minorEastAsia"/>
                <w:color w:val="000000" w:themeColor="text1"/>
                <w:szCs w:val="21"/>
              </w:rPr>
              <w:t>过去一年</w:t>
            </w:r>
          </w:p>
        </w:tc>
        <w:tc>
          <w:tcPr>
            <w:tcW w:w="1291" w:type="dxa"/>
            <w:vAlign w:val="center"/>
          </w:tcPr>
          <w:p w:rsidR="002764BE" w:rsidRDefault="002764BE" w:rsidP="002764BE">
            <w:pPr>
              <w:jc w:val="right"/>
            </w:pPr>
            <w:r>
              <w:rPr>
                <w:rFonts w:eastAsiaTheme="minorEastAsia"/>
                <w:color w:val="000000" w:themeColor="text1"/>
                <w:szCs w:val="21"/>
              </w:rPr>
              <w:t>-25.16%</w:t>
            </w:r>
          </w:p>
        </w:tc>
        <w:tc>
          <w:tcPr>
            <w:tcW w:w="1291" w:type="dxa"/>
            <w:vAlign w:val="center"/>
          </w:tcPr>
          <w:p w:rsidR="002764BE" w:rsidRDefault="002764BE" w:rsidP="002764BE">
            <w:pPr>
              <w:jc w:val="right"/>
            </w:pPr>
            <w:r>
              <w:rPr>
                <w:rFonts w:eastAsiaTheme="minorEastAsia"/>
                <w:color w:val="000000" w:themeColor="text1"/>
                <w:szCs w:val="21"/>
              </w:rPr>
              <w:t>1.86%</w:t>
            </w:r>
          </w:p>
        </w:tc>
        <w:tc>
          <w:tcPr>
            <w:tcW w:w="1291" w:type="dxa"/>
            <w:vAlign w:val="center"/>
          </w:tcPr>
          <w:p w:rsidR="002764BE" w:rsidRDefault="002764BE" w:rsidP="002764BE">
            <w:pPr>
              <w:jc w:val="right"/>
            </w:pPr>
            <w:r>
              <w:rPr>
                <w:rFonts w:eastAsiaTheme="minorEastAsia"/>
                <w:color w:val="000000" w:themeColor="text1"/>
                <w:szCs w:val="21"/>
              </w:rPr>
              <w:t>-7.26%</w:t>
            </w:r>
          </w:p>
        </w:tc>
        <w:tc>
          <w:tcPr>
            <w:tcW w:w="1291" w:type="dxa"/>
            <w:vAlign w:val="center"/>
          </w:tcPr>
          <w:p w:rsidR="002764BE" w:rsidRDefault="002764BE" w:rsidP="002764BE">
            <w:pPr>
              <w:jc w:val="right"/>
            </w:pPr>
            <w:r>
              <w:rPr>
                <w:rFonts w:eastAsiaTheme="minorEastAsia"/>
                <w:color w:val="000000" w:themeColor="text1"/>
                <w:szCs w:val="21"/>
              </w:rPr>
              <w:t>0.56%</w:t>
            </w:r>
          </w:p>
        </w:tc>
        <w:tc>
          <w:tcPr>
            <w:tcW w:w="1291" w:type="dxa"/>
            <w:vAlign w:val="center"/>
          </w:tcPr>
          <w:p w:rsidR="002764BE" w:rsidRDefault="002764BE" w:rsidP="002764BE">
            <w:pPr>
              <w:jc w:val="right"/>
            </w:pPr>
            <w:r>
              <w:rPr>
                <w:rFonts w:eastAsiaTheme="minorEastAsia"/>
                <w:color w:val="000000" w:themeColor="text1"/>
                <w:szCs w:val="21"/>
              </w:rPr>
              <w:t>-17.90%</w:t>
            </w:r>
          </w:p>
        </w:tc>
        <w:tc>
          <w:tcPr>
            <w:tcW w:w="1291" w:type="dxa"/>
            <w:vAlign w:val="center"/>
          </w:tcPr>
          <w:p w:rsidR="002764BE" w:rsidRDefault="002764BE" w:rsidP="002764BE">
            <w:pPr>
              <w:jc w:val="right"/>
            </w:pPr>
            <w:r>
              <w:rPr>
                <w:rFonts w:eastAsiaTheme="minorEastAsia"/>
                <w:color w:val="000000" w:themeColor="text1"/>
                <w:szCs w:val="21"/>
              </w:rPr>
              <w:t>1.30%</w:t>
            </w:r>
          </w:p>
        </w:tc>
      </w:tr>
      <w:tr w:rsidR="002764BE">
        <w:tc>
          <w:tcPr>
            <w:tcW w:w="1290" w:type="dxa"/>
            <w:vAlign w:val="center"/>
          </w:tcPr>
          <w:p w:rsidR="002764BE" w:rsidRDefault="002764BE" w:rsidP="002764BE">
            <w:pPr>
              <w:jc w:val="left"/>
            </w:pPr>
            <w:r>
              <w:rPr>
                <w:rFonts w:eastAsiaTheme="minorEastAsia"/>
                <w:color w:val="000000" w:themeColor="text1"/>
                <w:szCs w:val="21"/>
              </w:rPr>
              <w:t>过去三年</w:t>
            </w:r>
          </w:p>
        </w:tc>
        <w:tc>
          <w:tcPr>
            <w:tcW w:w="1291" w:type="dxa"/>
            <w:vAlign w:val="center"/>
          </w:tcPr>
          <w:p w:rsidR="002764BE" w:rsidRDefault="002764BE" w:rsidP="002764BE">
            <w:pPr>
              <w:jc w:val="right"/>
            </w:pPr>
            <w:r>
              <w:rPr>
                <w:rFonts w:eastAsiaTheme="minorEastAsia"/>
                <w:color w:val="000000" w:themeColor="text1"/>
                <w:szCs w:val="21"/>
              </w:rPr>
              <w:t>-46.97%</w:t>
            </w:r>
          </w:p>
        </w:tc>
        <w:tc>
          <w:tcPr>
            <w:tcW w:w="1291" w:type="dxa"/>
            <w:vAlign w:val="center"/>
          </w:tcPr>
          <w:p w:rsidR="002764BE" w:rsidRDefault="002764BE" w:rsidP="002764BE">
            <w:pPr>
              <w:jc w:val="right"/>
            </w:pPr>
            <w:r>
              <w:rPr>
                <w:rFonts w:eastAsiaTheme="minorEastAsia"/>
                <w:color w:val="000000" w:themeColor="text1"/>
                <w:szCs w:val="21"/>
              </w:rPr>
              <w:t>1.80%</w:t>
            </w:r>
          </w:p>
        </w:tc>
        <w:tc>
          <w:tcPr>
            <w:tcW w:w="1291" w:type="dxa"/>
            <w:vAlign w:val="center"/>
          </w:tcPr>
          <w:p w:rsidR="002764BE" w:rsidRDefault="002764BE" w:rsidP="002764BE">
            <w:pPr>
              <w:jc w:val="right"/>
            </w:pPr>
            <w:r>
              <w:rPr>
                <w:rFonts w:eastAsiaTheme="minorEastAsia"/>
                <w:color w:val="000000" w:themeColor="text1"/>
                <w:szCs w:val="21"/>
              </w:rPr>
              <w:t>-15.16%</w:t>
            </w:r>
          </w:p>
        </w:tc>
        <w:tc>
          <w:tcPr>
            <w:tcW w:w="1291" w:type="dxa"/>
            <w:vAlign w:val="center"/>
          </w:tcPr>
          <w:p w:rsidR="002764BE" w:rsidRDefault="002764BE" w:rsidP="002764BE">
            <w:pPr>
              <w:jc w:val="right"/>
            </w:pPr>
            <w:r>
              <w:rPr>
                <w:rFonts w:eastAsiaTheme="minorEastAsia"/>
                <w:color w:val="000000" w:themeColor="text1"/>
                <w:szCs w:val="21"/>
              </w:rPr>
              <w:t>0.64%</w:t>
            </w:r>
          </w:p>
        </w:tc>
        <w:tc>
          <w:tcPr>
            <w:tcW w:w="1291" w:type="dxa"/>
            <w:vAlign w:val="center"/>
          </w:tcPr>
          <w:p w:rsidR="002764BE" w:rsidRDefault="002764BE" w:rsidP="002764BE">
            <w:pPr>
              <w:jc w:val="right"/>
            </w:pPr>
            <w:r>
              <w:rPr>
                <w:rFonts w:eastAsiaTheme="minorEastAsia"/>
                <w:color w:val="000000" w:themeColor="text1"/>
                <w:szCs w:val="21"/>
              </w:rPr>
              <w:t>-31.81%</w:t>
            </w:r>
          </w:p>
        </w:tc>
        <w:tc>
          <w:tcPr>
            <w:tcW w:w="1291" w:type="dxa"/>
            <w:vAlign w:val="center"/>
          </w:tcPr>
          <w:p w:rsidR="002764BE" w:rsidRDefault="002764BE" w:rsidP="002764BE">
            <w:pPr>
              <w:jc w:val="right"/>
            </w:pPr>
            <w:r>
              <w:rPr>
                <w:rFonts w:eastAsiaTheme="minorEastAsia"/>
                <w:color w:val="000000" w:themeColor="text1"/>
                <w:szCs w:val="21"/>
              </w:rPr>
              <w:t>1.16%</w:t>
            </w:r>
          </w:p>
        </w:tc>
      </w:tr>
      <w:tr w:rsidR="002764BE">
        <w:tc>
          <w:tcPr>
            <w:tcW w:w="1290" w:type="dxa"/>
            <w:vAlign w:val="center"/>
          </w:tcPr>
          <w:p w:rsidR="002764BE" w:rsidRDefault="002764BE" w:rsidP="002764BE">
            <w:pPr>
              <w:jc w:val="left"/>
            </w:pPr>
            <w:r>
              <w:rPr>
                <w:rFonts w:eastAsiaTheme="minorEastAsia"/>
                <w:color w:val="000000" w:themeColor="text1"/>
                <w:szCs w:val="21"/>
              </w:rPr>
              <w:t>过去五年</w:t>
            </w:r>
          </w:p>
        </w:tc>
        <w:tc>
          <w:tcPr>
            <w:tcW w:w="1291" w:type="dxa"/>
            <w:vAlign w:val="center"/>
          </w:tcPr>
          <w:p w:rsidR="002764BE" w:rsidRDefault="002764BE" w:rsidP="002764BE">
            <w:pPr>
              <w:jc w:val="right"/>
            </w:pPr>
            <w:r>
              <w:rPr>
                <w:rFonts w:eastAsiaTheme="minorEastAsia"/>
                <w:color w:val="000000" w:themeColor="text1"/>
                <w:szCs w:val="21"/>
              </w:rPr>
              <w:t>7.38%</w:t>
            </w:r>
          </w:p>
        </w:tc>
        <w:tc>
          <w:tcPr>
            <w:tcW w:w="1291" w:type="dxa"/>
            <w:vAlign w:val="center"/>
          </w:tcPr>
          <w:p w:rsidR="002764BE" w:rsidRDefault="002764BE" w:rsidP="002764BE">
            <w:pPr>
              <w:jc w:val="right"/>
            </w:pPr>
            <w:r>
              <w:rPr>
                <w:rFonts w:eastAsiaTheme="minorEastAsia"/>
                <w:color w:val="000000" w:themeColor="text1"/>
                <w:szCs w:val="21"/>
              </w:rPr>
              <w:t>1.83%</w:t>
            </w:r>
          </w:p>
        </w:tc>
        <w:tc>
          <w:tcPr>
            <w:tcW w:w="1291" w:type="dxa"/>
            <w:vAlign w:val="center"/>
          </w:tcPr>
          <w:p w:rsidR="002764BE" w:rsidRDefault="002764BE" w:rsidP="002764BE">
            <w:pPr>
              <w:jc w:val="right"/>
            </w:pPr>
            <w:r>
              <w:rPr>
                <w:rFonts w:eastAsiaTheme="minorEastAsia"/>
                <w:color w:val="000000" w:themeColor="text1"/>
                <w:szCs w:val="21"/>
              </w:rPr>
              <w:t>-4.66%</w:t>
            </w:r>
          </w:p>
        </w:tc>
        <w:tc>
          <w:tcPr>
            <w:tcW w:w="1291" w:type="dxa"/>
            <w:vAlign w:val="center"/>
          </w:tcPr>
          <w:p w:rsidR="002764BE" w:rsidRDefault="002764BE" w:rsidP="002764BE">
            <w:pPr>
              <w:jc w:val="right"/>
            </w:pPr>
            <w:r>
              <w:rPr>
                <w:rFonts w:eastAsiaTheme="minorEastAsia"/>
                <w:color w:val="000000" w:themeColor="text1"/>
                <w:szCs w:val="21"/>
              </w:rPr>
              <w:t>0.69%</w:t>
            </w:r>
          </w:p>
        </w:tc>
        <w:tc>
          <w:tcPr>
            <w:tcW w:w="1291" w:type="dxa"/>
            <w:vAlign w:val="center"/>
          </w:tcPr>
          <w:p w:rsidR="002764BE" w:rsidRDefault="002764BE" w:rsidP="002764BE">
            <w:pPr>
              <w:jc w:val="right"/>
            </w:pPr>
            <w:r>
              <w:rPr>
                <w:rFonts w:eastAsiaTheme="minorEastAsia"/>
                <w:color w:val="000000" w:themeColor="text1"/>
                <w:szCs w:val="21"/>
              </w:rPr>
              <w:t>12.04%</w:t>
            </w:r>
          </w:p>
        </w:tc>
        <w:tc>
          <w:tcPr>
            <w:tcW w:w="1291" w:type="dxa"/>
            <w:vAlign w:val="center"/>
          </w:tcPr>
          <w:p w:rsidR="002764BE" w:rsidRDefault="002764BE" w:rsidP="002764BE">
            <w:pPr>
              <w:jc w:val="right"/>
            </w:pPr>
            <w:r>
              <w:rPr>
                <w:rFonts w:eastAsiaTheme="minorEastAsia"/>
                <w:color w:val="000000" w:themeColor="text1"/>
                <w:szCs w:val="21"/>
              </w:rPr>
              <w:t>1.14%</w:t>
            </w:r>
          </w:p>
        </w:tc>
      </w:tr>
      <w:tr w:rsidR="002764BE">
        <w:tc>
          <w:tcPr>
            <w:tcW w:w="1290" w:type="dxa"/>
            <w:vAlign w:val="center"/>
          </w:tcPr>
          <w:p w:rsidR="002764BE" w:rsidRDefault="002764BE" w:rsidP="002764BE">
            <w:pPr>
              <w:jc w:val="left"/>
            </w:pPr>
            <w:r>
              <w:rPr>
                <w:rFonts w:eastAsiaTheme="minorEastAsia"/>
                <w:color w:val="000000" w:themeColor="text1"/>
                <w:szCs w:val="21"/>
              </w:rPr>
              <w:t>自基金合同生效起至今</w:t>
            </w:r>
          </w:p>
        </w:tc>
        <w:tc>
          <w:tcPr>
            <w:tcW w:w="1291" w:type="dxa"/>
            <w:vAlign w:val="center"/>
          </w:tcPr>
          <w:p w:rsidR="002764BE" w:rsidRDefault="002764BE" w:rsidP="002764BE">
            <w:pPr>
              <w:jc w:val="right"/>
            </w:pPr>
            <w:r>
              <w:rPr>
                <w:rFonts w:eastAsiaTheme="minorEastAsia"/>
                <w:color w:val="000000" w:themeColor="text1"/>
                <w:szCs w:val="21"/>
              </w:rPr>
              <w:t>5.83%</w:t>
            </w:r>
          </w:p>
        </w:tc>
        <w:tc>
          <w:tcPr>
            <w:tcW w:w="1291" w:type="dxa"/>
            <w:vAlign w:val="center"/>
          </w:tcPr>
          <w:p w:rsidR="002764BE" w:rsidRDefault="002764BE" w:rsidP="002764BE">
            <w:pPr>
              <w:jc w:val="right"/>
            </w:pPr>
            <w:r>
              <w:rPr>
                <w:rFonts w:eastAsiaTheme="minorEastAsia"/>
                <w:color w:val="000000" w:themeColor="text1"/>
                <w:szCs w:val="21"/>
              </w:rPr>
              <w:t>1.77%</w:t>
            </w:r>
          </w:p>
        </w:tc>
        <w:tc>
          <w:tcPr>
            <w:tcW w:w="1291" w:type="dxa"/>
            <w:vAlign w:val="center"/>
          </w:tcPr>
          <w:p w:rsidR="002764BE" w:rsidRDefault="002764BE" w:rsidP="002764BE">
            <w:pPr>
              <w:jc w:val="right"/>
            </w:pPr>
            <w:r>
              <w:rPr>
                <w:rFonts w:eastAsiaTheme="minorEastAsia"/>
                <w:color w:val="000000" w:themeColor="text1"/>
                <w:szCs w:val="21"/>
              </w:rPr>
              <w:t>-3.83%</w:t>
            </w:r>
          </w:p>
        </w:tc>
        <w:tc>
          <w:tcPr>
            <w:tcW w:w="1291" w:type="dxa"/>
            <w:vAlign w:val="center"/>
          </w:tcPr>
          <w:p w:rsidR="002764BE" w:rsidRDefault="002764BE" w:rsidP="002764BE">
            <w:pPr>
              <w:jc w:val="right"/>
            </w:pPr>
            <w:r>
              <w:rPr>
                <w:rFonts w:eastAsiaTheme="minorEastAsia"/>
                <w:color w:val="000000" w:themeColor="text1"/>
                <w:szCs w:val="21"/>
              </w:rPr>
              <w:t>0.71%</w:t>
            </w:r>
          </w:p>
        </w:tc>
        <w:tc>
          <w:tcPr>
            <w:tcW w:w="1291" w:type="dxa"/>
            <w:vAlign w:val="center"/>
          </w:tcPr>
          <w:p w:rsidR="002764BE" w:rsidRDefault="002764BE" w:rsidP="002764BE">
            <w:pPr>
              <w:jc w:val="right"/>
            </w:pPr>
            <w:r>
              <w:rPr>
                <w:rFonts w:eastAsiaTheme="minorEastAsia"/>
                <w:color w:val="000000" w:themeColor="text1"/>
                <w:szCs w:val="21"/>
              </w:rPr>
              <w:t>9.66%</w:t>
            </w:r>
          </w:p>
        </w:tc>
        <w:tc>
          <w:tcPr>
            <w:tcW w:w="1291" w:type="dxa"/>
            <w:vAlign w:val="center"/>
          </w:tcPr>
          <w:p w:rsidR="002764BE" w:rsidRDefault="002764BE" w:rsidP="002764BE">
            <w:pPr>
              <w:jc w:val="right"/>
            </w:pPr>
            <w:r>
              <w:rPr>
                <w:rFonts w:eastAsiaTheme="minorEastAsia"/>
                <w:color w:val="000000" w:themeColor="text1"/>
                <w:szCs w:val="21"/>
              </w:rPr>
              <w:t>1.06%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摩根创新商业模式混合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764BE">
        <w:tc>
          <w:tcPr>
            <w:tcW w:w="1290" w:type="dxa"/>
            <w:vAlign w:val="center"/>
          </w:tcPr>
          <w:p w:rsidR="002764BE" w:rsidRDefault="002764BE" w:rsidP="002764BE">
            <w:pPr>
              <w:jc w:val="left"/>
            </w:pPr>
            <w:r>
              <w:rPr>
                <w:rFonts w:eastAsiaTheme="minorEastAsia"/>
                <w:color w:val="000000" w:themeColor="text1"/>
                <w:szCs w:val="21"/>
              </w:rPr>
              <w:t>过去三个月</w:t>
            </w:r>
          </w:p>
        </w:tc>
        <w:tc>
          <w:tcPr>
            <w:tcW w:w="1291" w:type="dxa"/>
            <w:vAlign w:val="center"/>
          </w:tcPr>
          <w:p w:rsidR="002764BE" w:rsidRDefault="002764BE" w:rsidP="002764BE">
            <w:pPr>
              <w:jc w:val="right"/>
            </w:pPr>
            <w:r>
              <w:rPr>
                <w:rFonts w:eastAsiaTheme="minorEastAsia"/>
                <w:color w:val="000000" w:themeColor="text1"/>
                <w:szCs w:val="21"/>
              </w:rPr>
              <w:t>-1.49%</w:t>
            </w:r>
          </w:p>
        </w:tc>
        <w:tc>
          <w:tcPr>
            <w:tcW w:w="1291" w:type="dxa"/>
            <w:vAlign w:val="center"/>
          </w:tcPr>
          <w:p w:rsidR="002764BE" w:rsidRDefault="002764BE" w:rsidP="002764BE">
            <w:pPr>
              <w:jc w:val="right"/>
            </w:pPr>
            <w:r>
              <w:rPr>
                <w:rFonts w:eastAsiaTheme="minorEastAsia"/>
                <w:color w:val="000000" w:themeColor="text1"/>
                <w:szCs w:val="21"/>
              </w:rPr>
              <w:t>2.15%</w:t>
            </w:r>
          </w:p>
        </w:tc>
        <w:tc>
          <w:tcPr>
            <w:tcW w:w="1291" w:type="dxa"/>
            <w:vAlign w:val="center"/>
          </w:tcPr>
          <w:p w:rsidR="002764BE" w:rsidRDefault="002764BE" w:rsidP="002764BE">
            <w:pPr>
              <w:jc w:val="right"/>
            </w:pPr>
            <w:r>
              <w:rPr>
                <w:rFonts w:eastAsiaTheme="minorEastAsia"/>
                <w:color w:val="000000" w:themeColor="text1"/>
                <w:szCs w:val="21"/>
              </w:rPr>
              <w:t>0.96%</w:t>
            </w:r>
          </w:p>
        </w:tc>
        <w:tc>
          <w:tcPr>
            <w:tcW w:w="1291" w:type="dxa"/>
            <w:vAlign w:val="center"/>
          </w:tcPr>
          <w:p w:rsidR="002764BE" w:rsidRDefault="002764BE" w:rsidP="002764BE">
            <w:pPr>
              <w:jc w:val="right"/>
            </w:pPr>
            <w:r>
              <w:rPr>
                <w:rFonts w:eastAsiaTheme="minorEastAsia"/>
                <w:color w:val="000000" w:themeColor="text1"/>
                <w:szCs w:val="21"/>
              </w:rPr>
              <w:t>0.71%</w:t>
            </w:r>
          </w:p>
        </w:tc>
        <w:tc>
          <w:tcPr>
            <w:tcW w:w="1291" w:type="dxa"/>
            <w:vAlign w:val="center"/>
          </w:tcPr>
          <w:p w:rsidR="002764BE" w:rsidRDefault="002764BE" w:rsidP="002764BE">
            <w:pPr>
              <w:jc w:val="right"/>
            </w:pPr>
            <w:r>
              <w:rPr>
                <w:rFonts w:eastAsiaTheme="minorEastAsia"/>
                <w:color w:val="000000" w:themeColor="text1"/>
                <w:szCs w:val="21"/>
              </w:rPr>
              <w:t>-2.45%</w:t>
            </w:r>
          </w:p>
        </w:tc>
        <w:tc>
          <w:tcPr>
            <w:tcW w:w="1291" w:type="dxa"/>
            <w:vAlign w:val="center"/>
          </w:tcPr>
          <w:p w:rsidR="002764BE" w:rsidRDefault="002764BE" w:rsidP="002764BE">
            <w:pPr>
              <w:jc w:val="right"/>
            </w:pPr>
            <w:r>
              <w:rPr>
                <w:rFonts w:eastAsiaTheme="minorEastAsia"/>
                <w:color w:val="000000" w:themeColor="text1"/>
                <w:szCs w:val="21"/>
              </w:rPr>
              <w:t>1.44%</w:t>
            </w:r>
          </w:p>
        </w:tc>
      </w:tr>
      <w:tr w:rsidR="002764BE">
        <w:tc>
          <w:tcPr>
            <w:tcW w:w="1290" w:type="dxa"/>
            <w:vAlign w:val="center"/>
          </w:tcPr>
          <w:p w:rsidR="002764BE" w:rsidRDefault="002764BE" w:rsidP="002764BE">
            <w:pPr>
              <w:jc w:val="left"/>
            </w:pPr>
            <w:r>
              <w:rPr>
                <w:rFonts w:eastAsiaTheme="minorEastAsia"/>
                <w:color w:val="000000" w:themeColor="text1"/>
                <w:szCs w:val="21"/>
              </w:rPr>
              <w:t>过去六个月</w:t>
            </w:r>
          </w:p>
        </w:tc>
        <w:tc>
          <w:tcPr>
            <w:tcW w:w="1291" w:type="dxa"/>
            <w:vAlign w:val="center"/>
          </w:tcPr>
          <w:p w:rsidR="002764BE" w:rsidRDefault="002764BE" w:rsidP="002764BE">
            <w:pPr>
              <w:jc w:val="right"/>
            </w:pPr>
            <w:r>
              <w:rPr>
                <w:rFonts w:eastAsiaTheme="minorEastAsia"/>
                <w:color w:val="000000" w:themeColor="text1"/>
                <w:szCs w:val="21"/>
              </w:rPr>
              <w:t>-7.86%</w:t>
            </w:r>
          </w:p>
        </w:tc>
        <w:tc>
          <w:tcPr>
            <w:tcW w:w="1291" w:type="dxa"/>
            <w:vAlign w:val="center"/>
          </w:tcPr>
          <w:p w:rsidR="002764BE" w:rsidRDefault="002764BE" w:rsidP="002764BE">
            <w:pPr>
              <w:jc w:val="right"/>
            </w:pPr>
            <w:r>
              <w:rPr>
                <w:rFonts w:eastAsiaTheme="minorEastAsia"/>
                <w:color w:val="000000" w:themeColor="text1"/>
                <w:szCs w:val="21"/>
              </w:rPr>
              <w:t>1.77%</w:t>
            </w:r>
          </w:p>
        </w:tc>
        <w:tc>
          <w:tcPr>
            <w:tcW w:w="1291" w:type="dxa"/>
            <w:vAlign w:val="center"/>
          </w:tcPr>
          <w:p w:rsidR="002764BE" w:rsidRDefault="002764BE" w:rsidP="002764BE">
            <w:pPr>
              <w:jc w:val="right"/>
            </w:pPr>
            <w:r>
              <w:rPr>
                <w:rFonts w:eastAsiaTheme="minorEastAsia"/>
                <w:color w:val="000000" w:themeColor="text1"/>
                <w:szCs w:val="21"/>
              </w:rPr>
              <w:t>-2.48%</w:t>
            </w:r>
          </w:p>
        </w:tc>
        <w:tc>
          <w:tcPr>
            <w:tcW w:w="1291" w:type="dxa"/>
            <w:vAlign w:val="center"/>
          </w:tcPr>
          <w:p w:rsidR="002764BE" w:rsidRDefault="002764BE" w:rsidP="002764BE">
            <w:pPr>
              <w:jc w:val="right"/>
            </w:pPr>
            <w:r>
              <w:rPr>
                <w:rFonts w:eastAsiaTheme="minorEastAsia"/>
                <w:color w:val="000000" w:themeColor="text1"/>
                <w:szCs w:val="21"/>
              </w:rPr>
              <w:t>0.60%</w:t>
            </w:r>
          </w:p>
        </w:tc>
        <w:tc>
          <w:tcPr>
            <w:tcW w:w="1291" w:type="dxa"/>
            <w:vAlign w:val="center"/>
          </w:tcPr>
          <w:p w:rsidR="002764BE" w:rsidRDefault="002764BE" w:rsidP="002764BE">
            <w:pPr>
              <w:jc w:val="right"/>
            </w:pPr>
            <w:r>
              <w:rPr>
                <w:rFonts w:eastAsiaTheme="minorEastAsia"/>
                <w:color w:val="000000" w:themeColor="text1"/>
                <w:szCs w:val="21"/>
              </w:rPr>
              <w:t>-5.38%</w:t>
            </w:r>
          </w:p>
        </w:tc>
        <w:tc>
          <w:tcPr>
            <w:tcW w:w="1291" w:type="dxa"/>
            <w:vAlign w:val="center"/>
          </w:tcPr>
          <w:p w:rsidR="002764BE" w:rsidRDefault="002764BE" w:rsidP="002764BE">
            <w:pPr>
              <w:jc w:val="right"/>
            </w:pPr>
            <w:r>
              <w:rPr>
                <w:rFonts w:eastAsiaTheme="minorEastAsia"/>
                <w:color w:val="000000" w:themeColor="text1"/>
                <w:szCs w:val="21"/>
              </w:rPr>
              <w:t>1.17%</w:t>
            </w:r>
          </w:p>
        </w:tc>
      </w:tr>
      <w:tr w:rsidR="002764BE">
        <w:tc>
          <w:tcPr>
            <w:tcW w:w="1290" w:type="dxa"/>
            <w:vAlign w:val="center"/>
          </w:tcPr>
          <w:p w:rsidR="002764BE" w:rsidRDefault="002764BE" w:rsidP="002764BE">
            <w:pPr>
              <w:jc w:val="left"/>
            </w:pPr>
            <w:r>
              <w:rPr>
                <w:rFonts w:eastAsiaTheme="minorEastAsia"/>
                <w:color w:val="000000" w:themeColor="text1"/>
                <w:szCs w:val="21"/>
              </w:rPr>
              <w:t>过去一年</w:t>
            </w:r>
          </w:p>
        </w:tc>
        <w:tc>
          <w:tcPr>
            <w:tcW w:w="1291" w:type="dxa"/>
            <w:vAlign w:val="center"/>
          </w:tcPr>
          <w:p w:rsidR="002764BE" w:rsidRDefault="002764BE" w:rsidP="002764BE">
            <w:pPr>
              <w:jc w:val="right"/>
            </w:pPr>
            <w:r>
              <w:rPr>
                <w:rFonts w:eastAsiaTheme="minorEastAsia"/>
                <w:color w:val="000000" w:themeColor="text1"/>
                <w:szCs w:val="21"/>
              </w:rPr>
              <w:t>-25.61%</w:t>
            </w:r>
          </w:p>
        </w:tc>
        <w:tc>
          <w:tcPr>
            <w:tcW w:w="1291" w:type="dxa"/>
            <w:vAlign w:val="center"/>
          </w:tcPr>
          <w:p w:rsidR="002764BE" w:rsidRDefault="002764BE" w:rsidP="002764BE">
            <w:pPr>
              <w:jc w:val="right"/>
            </w:pPr>
            <w:r>
              <w:rPr>
                <w:rFonts w:eastAsiaTheme="minorEastAsia"/>
                <w:color w:val="000000" w:themeColor="text1"/>
                <w:szCs w:val="21"/>
              </w:rPr>
              <w:t>1.86%</w:t>
            </w:r>
          </w:p>
        </w:tc>
        <w:tc>
          <w:tcPr>
            <w:tcW w:w="1291" w:type="dxa"/>
            <w:vAlign w:val="center"/>
          </w:tcPr>
          <w:p w:rsidR="002764BE" w:rsidRDefault="002764BE" w:rsidP="002764BE">
            <w:pPr>
              <w:jc w:val="right"/>
            </w:pPr>
            <w:r>
              <w:rPr>
                <w:rFonts w:eastAsiaTheme="minorEastAsia"/>
                <w:color w:val="000000" w:themeColor="text1"/>
                <w:szCs w:val="21"/>
              </w:rPr>
              <w:t>-7.26%</w:t>
            </w:r>
          </w:p>
        </w:tc>
        <w:tc>
          <w:tcPr>
            <w:tcW w:w="1291" w:type="dxa"/>
            <w:vAlign w:val="center"/>
          </w:tcPr>
          <w:p w:rsidR="002764BE" w:rsidRDefault="002764BE" w:rsidP="002764BE">
            <w:pPr>
              <w:jc w:val="right"/>
            </w:pPr>
            <w:r>
              <w:rPr>
                <w:rFonts w:eastAsiaTheme="minorEastAsia"/>
                <w:color w:val="000000" w:themeColor="text1"/>
                <w:szCs w:val="21"/>
              </w:rPr>
              <w:t>0.56%</w:t>
            </w:r>
          </w:p>
        </w:tc>
        <w:tc>
          <w:tcPr>
            <w:tcW w:w="1291" w:type="dxa"/>
            <w:vAlign w:val="center"/>
          </w:tcPr>
          <w:p w:rsidR="002764BE" w:rsidRDefault="002764BE" w:rsidP="002764BE">
            <w:pPr>
              <w:jc w:val="right"/>
            </w:pPr>
            <w:r>
              <w:rPr>
                <w:rFonts w:eastAsiaTheme="minorEastAsia"/>
                <w:color w:val="000000" w:themeColor="text1"/>
                <w:szCs w:val="21"/>
              </w:rPr>
              <w:t>-18.35%</w:t>
            </w:r>
          </w:p>
        </w:tc>
        <w:tc>
          <w:tcPr>
            <w:tcW w:w="1291" w:type="dxa"/>
            <w:vAlign w:val="center"/>
          </w:tcPr>
          <w:p w:rsidR="002764BE" w:rsidRDefault="002764BE" w:rsidP="002764BE">
            <w:pPr>
              <w:jc w:val="right"/>
            </w:pPr>
            <w:r>
              <w:rPr>
                <w:rFonts w:eastAsiaTheme="minorEastAsia"/>
                <w:color w:val="000000" w:themeColor="text1"/>
                <w:szCs w:val="21"/>
              </w:rPr>
              <w:t>1.30%</w:t>
            </w:r>
          </w:p>
        </w:tc>
      </w:tr>
      <w:tr w:rsidR="002764BE">
        <w:tc>
          <w:tcPr>
            <w:tcW w:w="1290" w:type="dxa"/>
            <w:vAlign w:val="center"/>
          </w:tcPr>
          <w:p w:rsidR="002764BE" w:rsidRDefault="002764BE" w:rsidP="002764BE">
            <w:pPr>
              <w:jc w:val="left"/>
            </w:pPr>
            <w:r>
              <w:rPr>
                <w:rFonts w:eastAsiaTheme="minorEastAsia"/>
                <w:color w:val="000000" w:themeColor="text1"/>
                <w:szCs w:val="21"/>
              </w:rPr>
              <w:t>过去三年</w:t>
            </w:r>
          </w:p>
        </w:tc>
        <w:tc>
          <w:tcPr>
            <w:tcW w:w="1291" w:type="dxa"/>
            <w:vAlign w:val="center"/>
          </w:tcPr>
          <w:p w:rsidR="002764BE" w:rsidRDefault="002764BE" w:rsidP="002764BE">
            <w:pPr>
              <w:jc w:val="right"/>
            </w:pPr>
            <w:r>
              <w:rPr>
                <w:rFonts w:eastAsiaTheme="minorEastAsia"/>
                <w:color w:val="000000" w:themeColor="text1"/>
                <w:szCs w:val="21"/>
              </w:rPr>
              <w:t>-</w:t>
            </w:r>
          </w:p>
        </w:tc>
        <w:tc>
          <w:tcPr>
            <w:tcW w:w="1291" w:type="dxa"/>
            <w:vAlign w:val="center"/>
          </w:tcPr>
          <w:p w:rsidR="002764BE" w:rsidRDefault="002764BE" w:rsidP="002764BE">
            <w:pPr>
              <w:jc w:val="right"/>
            </w:pPr>
            <w:r>
              <w:rPr>
                <w:rFonts w:eastAsiaTheme="minorEastAsia"/>
                <w:color w:val="000000" w:themeColor="text1"/>
                <w:szCs w:val="21"/>
              </w:rPr>
              <w:t>-</w:t>
            </w:r>
          </w:p>
        </w:tc>
        <w:tc>
          <w:tcPr>
            <w:tcW w:w="1291" w:type="dxa"/>
            <w:vAlign w:val="center"/>
          </w:tcPr>
          <w:p w:rsidR="002764BE" w:rsidRDefault="002764BE" w:rsidP="002764BE">
            <w:pPr>
              <w:jc w:val="right"/>
            </w:pPr>
            <w:r>
              <w:rPr>
                <w:rFonts w:eastAsiaTheme="minorEastAsia"/>
                <w:color w:val="000000" w:themeColor="text1"/>
                <w:szCs w:val="21"/>
              </w:rPr>
              <w:t>-</w:t>
            </w:r>
          </w:p>
        </w:tc>
        <w:tc>
          <w:tcPr>
            <w:tcW w:w="1291" w:type="dxa"/>
            <w:vAlign w:val="center"/>
          </w:tcPr>
          <w:p w:rsidR="002764BE" w:rsidRDefault="002764BE" w:rsidP="002764BE">
            <w:pPr>
              <w:jc w:val="right"/>
            </w:pPr>
            <w:r>
              <w:rPr>
                <w:rFonts w:eastAsiaTheme="minorEastAsia"/>
                <w:color w:val="000000" w:themeColor="text1"/>
                <w:szCs w:val="21"/>
              </w:rPr>
              <w:t>-</w:t>
            </w:r>
          </w:p>
        </w:tc>
        <w:tc>
          <w:tcPr>
            <w:tcW w:w="1291" w:type="dxa"/>
            <w:vAlign w:val="center"/>
          </w:tcPr>
          <w:p w:rsidR="002764BE" w:rsidRDefault="002764BE" w:rsidP="002764BE">
            <w:pPr>
              <w:jc w:val="right"/>
            </w:pPr>
            <w:r>
              <w:rPr>
                <w:rFonts w:eastAsiaTheme="minorEastAsia"/>
                <w:color w:val="000000" w:themeColor="text1"/>
                <w:szCs w:val="21"/>
              </w:rPr>
              <w:t>-</w:t>
            </w:r>
          </w:p>
        </w:tc>
        <w:tc>
          <w:tcPr>
            <w:tcW w:w="1291" w:type="dxa"/>
            <w:vAlign w:val="center"/>
          </w:tcPr>
          <w:p w:rsidR="002764BE" w:rsidRDefault="002764BE" w:rsidP="002764BE">
            <w:pPr>
              <w:jc w:val="right"/>
            </w:pPr>
            <w:r>
              <w:rPr>
                <w:rFonts w:eastAsiaTheme="minorEastAsia"/>
                <w:color w:val="000000" w:themeColor="text1"/>
                <w:szCs w:val="21"/>
              </w:rPr>
              <w:t>-</w:t>
            </w:r>
          </w:p>
        </w:tc>
      </w:tr>
      <w:tr w:rsidR="002764BE">
        <w:tc>
          <w:tcPr>
            <w:tcW w:w="1290" w:type="dxa"/>
            <w:vAlign w:val="center"/>
          </w:tcPr>
          <w:p w:rsidR="002764BE" w:rsidRDefault="002764BE" w:rsidP="002764BE">
            <w:pPr>
              <w:jc w:val="left"/>
            </w:pPr>
            <w:r>
              <w:rPr>
                <w:rFonts w:eastAsiaTheme="minorEastAsia"/>
                <w:color w:val="000000" w:themeColor="text1"/>
                <w:szCs w:val="21"/>
              </w:rPr>
              <w:t>过去五年</w:t>
            </w:r>
          </w:p>
        </w:tc>
        <w:tc>
          <w:tcPr>
            <w:tcW w:w="1291" w:type="dxa"/>
            <w:vAlign w:val="center"/>
          </w:tcPr>
          <w:p w:rsidR="002764BE" w:rsidRDefault="002764BE" w:rsidP="002764BE">
            <w:pPr>
              <w:jc w:val="right"/>
            </w:pPr>
            <w:r>
              <w:rPr>
                <w:rFonts w:eastAsiaTheme="minorEastAsia"/>
                <w:color w:val="000000" w:themeColor="text1"/>
                <w:szCs w:val="21"/>
              </w:rPr>
              <w:t>-</w:t>
            </w:r>
          </w:p>
        </w:tc>
        <w:tc>
          <w:tcPr>
            <w:tcW w:w="1291" w:type="dxa"/>
            <w:vAlign w:val="center"/>
          </w:tcPr>
          <w:p w:rsidR="002764BE" w:rsidRDefault="002764BE" w:rsidP="002764BE">
            <w:pPr>
              <w:jc w:val="right"/>
            </w:pPr>
            <w:r>
              <w:rPr>
                <w:rFonts w:eastAsiaTheme="minorEastAsia"/>
                <w:color w:val="000000" w:themeColor="text1"/>
                <w:szCs w:val="21"/>
              </w:rPr>
              <w:t>-</w:t>
            </w:r>
          </w:p>
        </w:tc>
        <w:tc>
          <w:tcPr>
            <w:tcW w:w="1291" w:type="dxa"/>
            <w:vAlign w:val="center"/>
          </w:tcPr>
          <w:p w:rsidR="002764BE" w:rsidRDefault="002764BE" w:rsidP="002764BE">
            <w:pPr>
              <w:jc w:val="right"/>
            </w:pPr>
            <w:r>
              <w:rPr>
                <w:rFonts w:eastAsiaTheme="minorEastAsia"/>
                <w:color w:val="000000" w:themeColor="text1"/>
                <w:szCs w:val="21"/>
              </w:rPr>
              <w:t>-</w:t>
            </w:r>
          </w:p>
        </w:tc>
        <w:tc>
          <w:tcPr>
            <w:tcW w:w="1291" w:type="dxa"/>
            <w:vAlign w:val="center"/>
          </w:tcPr>
          <w:p w:rsidR="002764BE" w:rsidRDefault="002764BE" w:rsidP="002764BE">
            <w:pPr>
              <w:jc w:val="right"/>
            </w:pPr>
            <w:r>
              <w:rPr>
                <w:rFonts w:eastAsiaTheme="minorEastAsia"/>
                <w:color w:val="000000" w:themeColor="text1"/>
                <w:szCs w:val="21"/>
              </w:rPr>
              <w:t>-</w:t>
            </w:r>
          </w:p>
        </w:tc>
        <w:tc>
          <w:tcPr>
            <w:tcW w:w="1291" w:type="dxa"/>
            <w:vAlign w:val="center"/>
          </w:tcPr>
          <w:p w:rsidR="002764BE" w:rsidRDefault="002764BE" w:rsidP="002764BE">
            <w:pPr>
              <w:jc w:val="right"/>
            </w:pPr>
            <w:r>
              <w:rPr>
                <w:rFonts w:eastAsiaTheme="minorEastAsia"/>
                <w:color w:val="000000" w:themeColor="text1"/>
                <w:szCs w:val="21"/>
              </w:rPr>
              <w:t>-</w:t>
            </w:r>
          </w:p>
        </w:tc>
        <w:tc>
          <w:tcPr>
            <w:tcW w:w="1291" w:type="dxa"/>
            <w:vAlign w:val="center"/>
          </w:tcPr>
          <w:p w:rsidR="002764BE" w:rsidRDefault="002764BE" w:rsidP="002764BE">
            <w:pPr>
              <w:jc w:val="right"/>
            </w:pPr>
            <w:r>
              <w:rPr>
                <w:rFonts w:eastAsiaTheme="minorEastAsia"/>
                <w:color w:val="000000" w:themeColor="text1"/>
                <w:szCs w:val="21"/>
              </w:rPr>
              <w:t>-</w:t>
            </w:r>
          </w:p>
        </w:tc>
      </w:tr>
      <w:tr w:rsidR="002764BE">
        <w:tc>
          <w:tcPr>
            <w:tcW w:w="1290" w:type="dxa"/>
            <w:vAlign w:val="center"/>
          </w:tcPr>
          <w:p w:rsidR="002764BE" w:rsidRDefault="002764BE" w:rsidP="002764BE">
            <w:pPr>
              <w:jc w:val="left"/>
            </w:pPr>
            <w:r>
              <w:rPr>
                <w:rFonts w:eastAsiaTheme="minorEastAsia"/>
                <w:color w:val="000000" w:themeColor="text1"/>
                <w:szCs w:val="21"/>
              </w:rPr>
              <w:t>自基金合同生效起至今</w:t>
            </w:r>
          </w:p>
        </w:tc>
        <w:tc>
          <w:tcPr>
            <w:tcW w:w="1291" w:type="dxa"/>
            <w:vAlign w:val="center"/>
          </w:tcPr>
          <w:p w:rsidR="002764BE" w:rsidRDefault="002764BE" w:rsidP="002764BE">
            <w:pPr>
              <w:jc w:val="right"/>
            </w:pPr>
            <w:r>
              <w:rPr>
                <w:rFonts w:eastAsiaTheme="minorEastAsia"/>
                <w:color w:val="000000" w:themeColor="text1"/>
                <w:szCs w:val="21"/>
              </w:rPr>
              <w:t>-42.85%</w:t>
            </w:r>
          </w:p>
        </w:tc>
        <w:tc>
          <w:tcPr>
            <w:tcW w:w="1291" w:type="dxa"/>
            <w:vAlign w:val="center"/>
          </w:tcPr>
          <w:p w:rsidR="002764BE" w:rsidRDefault="002764BE" w:rsidP="002764BE">
            <w:pPr>
              <w:jc w:val="right"/>
            </w:pPr>
            <w:r>
              <w:rPr>
                <w:rFonts w:eastAsiaTheme="minorEastAsia"/>
                <w:color w:val="000000" w:themeColor="text1"/>
                <w:szCs w:val="21"/>
              </w:rPr>
              <w:t>1.81%</w:t>
            </w:r>
          </w:p>
        </w:tc>
        <w:tc>
          <w:tcPr>
            <w:tcW w:w="1291" w:type="dxa"/>
            <w:vAlign w:val="center"/>
          </w:tcPr>
          <w:p w:rsidR="002764BE" w:rsidRDefault="002764BE" w:rsidP="002764BE">
            <w:pPr>
              <w:jc w:val="right"/>
            </w:pPr>
            <w:r>
              <w:rPr>
                <w:rFonts w:eastAsiaTheme="minorEastAsia"/>
                <w:color w:val="000000" w:themeColor="text1"/>
                <w:szCs w:val="21"/>
              </w:rPr>
              <w:t>-8.21%</w:t>
            </w:r>
          </w:p>
        </w:tc>
        <w:tc>
          <w:tcPr>
            <w:tcW w:w="1291" w:type="dxa"/>
            <w:vAlign w:val="center"/>
          </w:tcPr>
          <w:p w:rsidR="002764BE" w:rsidRDefault="002764BE" w:rsidP="002764BE">
            <w:pPr>
              <w:jc w:val="right"/>
            </w:pPr>
            <w:r>
              <w:rPr>
                <w:rFonts w:eastAsiaTheme="minorEastAsia"/>
                <w:color w:val="000000" w:themeColor="text1"/>
                <w:szCs w:val="21"/>
              </w:rPr>
              <w:t>0.59%</w:t>
            </w:r>
          </w:p>
        </w:tc>
        <w:tc>
          <w:tcPr>
            <w:tcW w:w="1291" w:type="dxa"/>
            <w:vAlign w:val="center"/>
          </w:tcPr>
          <w:p w:rsidR="002764BE" w:rsidRDefault="002764BE" w:rsidP="002764BE">
            <w:pPr>
              <w:jc w:val="right"/>
            </w:pPr>
            <w:r>
              <w:rPr>
                <w:rFonts w:eastAsiaTheme="minorEastAsia"/>
                <w:color w:val="000000" w:themeColor="text1"/>
                <w:szCs w:val="21"/>
              </w:rPr>
              <w:t>-34.64%</w:t>
            </w:r>
          </w:p>
        </w:tc>
        <w:tc>
          <w:tcPr>
            <w:tcW w:w="1291" w:type="dxa"/>
            <w:vAlign w:val="center"/>
          </w:tcPr>
          <w:p w:rsidR="002764BE" w:rsidRDefault="002764BE" w:rsidP="002764BE">
            <w:pPr>
              <w:jc w:val="right"/>
            </w:pPr>
            <w:r>
              <w:rPr>
                <w:rFonts w:eastAsiaTheme="minorEastAsia"/>
                <w:color w:val="000000" w:themeColor="text1"/>
                <w:szCs w:val="21"/>
              </w:rPr>
              <w:t>1.22%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摩根创新商业模式灵活配置混合型证券投资基金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．摩根创新商业模式混合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2764BE">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0812952A" wp14:editId="4BF119D0">
            <wp:extent cx="5591175" cy="32766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．摩根创新商业模式混合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2764BE">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2614FA68" wp14:editId="0DD724C7">
            <wp:extent cx="5591175" cy="3276600"/>
            <wp:effectExtent l="0" t="0" r="0" b="0"/>
            <wp:docPr id="4" name="图片 4"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50F5A">
        <w:tc>
          <w:tcPr>
            <w:tcW w:w="952" w:type="dxa"/>
            <w:vAlign w:val="center"/>
          </w:tcPr>
          <w:p w:rsidR="00950F5A" w:rsidRDefault="002764BE">
            <w:pPr>
              <w:jc w:val="center"/>
            </w:pPr>
            <w:r>
              <w:rPr>
                <w:rFonts w:eastAsiaTheme="minorEastAsia"/>
                <w:color w:val="000000" w:themeColor="text1"/>
                <w:szCs w:val="21"/>
              </w:rPr>
              <w:t>郭晨</w:t>
            </w:r>
          </w:p>
        </w:tc>
        <w:tc>
          <w:tcPr>
            <w:tcW w:w="930" w:type="dxa"/>
            <w:vAlign w:val="center"/>
          </w:tcPr>
          <w:p w:rsidR="00950F5A" w:rsidRDefault="002764BE">
            <w:pPr>
              <w:jc w:val="center"/>
            </w:pPr>
            <w:r>
              <w:rPr>
                <w:rFonts w:eastAsiaTheme="minorEastAsia"/>
                <w:color w:val="000000" w:themeColor="text1"/>
                <w:szCs w:val="21"/>
              </w:rPr>
              <w:t>本基金基金经理</w:t>
            </w:r>
          </w:p>
        </w:tc>
        <w:tc>
          <w:tcPr>
            <w:tcW w:w="1210" w:type="dxa"/>
            <w:vAlign w:val="center"/>
          </w:tcPr>
          <w:p w:rsidR="00950F5A" w:rsidRDefault="002764BE">
            <w:pPr>
              <w:jc w:val="center"/>
            </w:pPr>
            <w:r>
              <w:rPr>
                <w:rFonts w:eastAsiaTheme="minorEastAsia"/>
                <w:color w:val="000000" w:themeColor="text1"/>
                <w:szCs w:val="21"/>
              </w:rPr>
              <w:t>2019-03-29</w:t>
            </w:r>
          </w:p>
        </w:tc>
        <w:tc>
          <w:tcPr>
            <w:tcW w:w="1309" w:type="dxa"/>
            <w:vAlign w:val="center"/>
          </w:tcPr>
          <w:p w:rsidR="00950F5A" w:rsidRDefault="002764BE">
            <w:pPr>
              <w:jc w:val="center"/>
            </w:pPr>
            <w:r>
              <w:rPr>
                <w:rFonts w:eastAsiaTheme="minorEastAsia"/>
                <w:color w:val="000000" w:themeColor="text1"/>
                <w:szCs w:val="21"/>
              </w:rPr>
              <w:t>-</w:t>
            </w:r>
          </w:p>
        </w:tc>
        <w:tc>
          <w:tcPr>
            <w:tcW w:w="1254" w:type="dxa"/>
            <w:vAlign w:val="center"/>
          </w:tcPr>
          <w:p w:rsidR="00950F5A" w:rsidRDefault="002764BE">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950F5A" w:rsidRDefault="002764BE">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950F5A" w:rsidRDefault="002764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3.10%</w:t>
      </w:r>
      <w:r>
        <w:rPr>
          <w:rFonts w:eastAsiaTheme="minorEastAsia"/>
          <w:color w:val="000000" w:themeColor="text1"/>
          <w:szCs w:val="21"/>
        </w:rPr>
        <w:t>，创业板指数下跌</w:t>
      </w:r>
      <w:r>
        <w:rPr>
          <w:rFonts w:eastAsiaTheme="minorEastAsia"/>
          <w:color w:val="000000" w:themeColor="text1"/>
          <w:szCs w:val="21"/>
        </w:rPr>
        <w:t>3.87%</w:t>
      </w:r>
      <w:r>
        <w:rPr>
          <w:rFonts w:eastAsiaTheme="minorEastAsia"/>
          <w:color w:val="000000" w:themeColor="text1"/>
          <w:szCs w:val="21"/>
        </w:rPr>
        <w:t>。本季度市场表现跌宕起伏，元旦后市场急跌，上证综指最低跌到</w:t>
      </w:r>
      <w:r>
        <w:rPr>
          <w:rFonts w:eastAsiaTheme="minorEastAsia"/>
          <w:color w:val="000000" w:themeColor="text1"/>
          <w:szCs w:val="21"/>
        </w:rPr>
        <w:t>2635</w:t>
      </w:r>
      <w:r>
        <w:rPr>
          <w:rFonts w:eastAsiaTheme="minorEastAsia"/>
          <w:color w:val="000000" w:themeColor="text1"/>
          <w:szCs w:val="21"/>
        </w:rPr>
        <w:t>点，市场出现流动性风险。春节前期，市场企稳反弹，上证指数迅速收回了</w:t>
      </w:r>
      <w:r>
        <w:rPr>
          <w:rFonts w:eastAsiaTheme="minorEastAsia"/>
          <w:color w:val="000000" w:themeColor="text1"/>
          <w:szCs w:val="21"/>
        </w:rPr>
        <w:t>3000</w:t>
      </w:r>
      <w:r>
        <w:rPr>
          <w:rFonts w:eastAsiaTheme="minorEastAsia"/>
          <w:color w:val="000000" w:themeColor="text1"/>
          <w:szCs w:val="21"/>
        </w:rPr>
        <w:t>点。一季度哑铃型策略比较有效，大市值的高股息品种和科技板块表现较好。高股息品种更强一些。一季度的宏观数据有一些亮点，比如出口数据和中低端消费表现较好，整体消费呈现价跌量增的状态，高端消费相对差一些。房地产的情况还需要继续观察。</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PMI</w:t>
      </w:r>
      <w:r>
        <w:rPr>
          <w:rFonts w:eastAsiaTheme="minorEastAsia"/>
          <w:color w:val="000000" w:themeColor="text1"/>
          <w:szCs w:val="21"/>
        </w:rPr>
        <w:t>数据超预期。整体市场的风险偏好有所提升。市场目前比较看好的板块集中在两个方向上，一是高股息板块，二是新兴高景气的科技板块。这两个方向对宏观经济较不敏感，有各自的阿尔法逻辑。</w:t>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我们始终看好国内权益市场的长期机会，认为市场处于一个长期慢牛的走势之中，结构性行情为主。一季度本基金依然看好成长行业的投资机会，尤其是人工智能产业链的相关公司，比如</w:t>
      </w:r>
      <w:r>
        <w:rPr>
          <w:rFonts w:eastAsiaTheme="minorEastAsia"/>
          <w:color w:val="000000" w:themeColor="text1"/>
          <w:szCs w:val="21"/>
        </w:rPr>
        <w:t>AI</w:t>
      </w:r>
      <w:r>
        <w:rPr>
          <w:rFonts w:eastAsiaTheme="minorEastAsia"/>
          <w:color w:val="000000" w:themeColor="text1"/>
          <w:szCs w:val="21"/>
        </w:rPr>
        <w:t>的算力和应用、人型机器人、智能驾驶、新能源汽车，家电，医药等，在房地产、金融等传统周期行业配置比例较低。本基金将始终坚持价值投资思路，坚持配置高景气度成长行业，选择高景气行业中相对优秀的龙头公司长期投资。</w:t>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展望二季度，我们并不悲观。目前国内宏观经济企稳的迹象已经出现，出口表现不错，房地产和固定资产投资何时改善还需进一步观察，市场对国内经济的预期不高，对政策的也没有什么</w:t>
      </w:r>
      <w:r>
        <w:rPr>
          <w:rFonts w:eastAsiaTheme="minorEastAsia"/>
          <w:color w:val="000000" w:themeColor="text1"/>
          <w:szCs w:val="21"/>
        </w:rPr>
        <w:lastRenderedPageBreak/>
        <w:t>预期，市场处于估值非常低的位置。监管层已经出台了一系列活跃资本市场的政策，未来依然会继续呵护资本市场。美国通胀回落明确，降息周期开启，外资流出压力减小。港股在经历调整之后，估值吸引力提升，依然是国内经济变化高弹性的标的。宏观经济对新兴行业成长个股影响较小，本次两会也重点提到了新质生产力。重点关注以下几个方向：一是新技术引领的高景气行业，如人工智能、人型机器人、智能驾驶等，二是估值合理，基本面即将迎来反转的成长行业，如医药、半导体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战略看好高科技、先进制造等成长板块和与百姓生活相关的消费、医药行业，致力长期投资高景气度、高成长、低估值的优秀龙头公司。合理的估值，较高的业绩增速，成长的确定性是本基金最看重的。</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本报告期摩根创新商业模式</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:-1.33%</w:t>
      </w:r>
      <w:r>
        <w:rPr>
          <w:rFonts w:eastAsiaTheme="minorEastAsia"/>
          <w:color w:val="000000" w:themeColor="text1"/>
          <w:szCs w:val="21"/>
        </w:rPr>
        <w:t>，同期业绩比较基准收益率为</w:t>
      </w:r>
      <w:r>
        <w:rPr>
          <w:rFonts w:eastAsiaTheme="minorEastAsia"/>
          <w:color w:val="000000" w:themeColor="text1"/>
          <w:szCs w:val="21"/>
        </w:rPr>
        <w:t>:0.96%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摩根创新商业模式</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:-1.49%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60,750,889.26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90.94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60,750,889.26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90.94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5,767,716.90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287,711.83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66,806,317.99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4,077,598.09</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6.20%</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3,002,229.61</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4.57</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45,088,991.07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68.57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61,600.00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408,864.00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685,440.00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4,912,676.21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439,201.80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995,733.00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241,644.00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836,911.48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56,673,291.17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86.19</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950F5A">
        <w:trPr>
          <w:jc w:val="center"/>
        </w:trPr>
        <w:tc>
          <w:tcPr>
            <w:tcW w:w="2397" w:type="dxa"/>
            <w:vAlign w:val="center"/>
          </w:tcPr>
          <w:p w:rsidR="00950F5A" w:rsidRDefault="002764BE">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950F5A" w:rsidRDefault="002764BE">
            <w:pPr>
              <w:jc w:val="center"/>
            </w:pPr>
            <w:r>
              <w:rPr>
                <w:rFonts w:eastAsiaTheme="minorEastAsia"/>
                <w:color w:val="000000" w:themeColor="text1"/>
                <w:szCs w:val="21"/>
              </w:rPr>
              <w:t>-</w:t>
            </w:r>
          </w:p>
        </w:tc>
        <w:tc>
          <w:tcPr>
            <w:tcW w:w="3118" w:type="dxa"/>
            <w:vAlign w:val="center"/>
          </w:tcPr>
          <w:p w:rsidR="00950F5A" w:rsidRDefault="002764BE">
            <w:pPr>
              <w:jc w:val="center"/>
            </w:pPr>
            <w:r>
              <w:rPr>
                <w:rFonts w:eastAsiaTheme="minorEastAsia"/>
                <w:color w:val="000000" w:themeColor="text1"/>
                <w:szCs w:val="21"/>
              </w:rPr>
              <w:t>-</w:t>
            </w:r>
          </w:p>
        </w:tc>
      </w:tr>
      <w:tr w:rsidR="00950F5A">
        <w:trPr>
          <w:jc w:val="center"/>
        </w:trPr>
        <w:tc>
          <w:tcPr>
            <w:tcW w:w="2397" w:type="dxa"/>
            <w:vAlign w:val="center"/>
          </w:tcPr>
          <w:p w:rsidR="00950F5A" w:rsidRDefault="002764BE">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950F5A" w:rsidRDefault="002764BE">
            <w:pPr>
              <w:jc w:val="center"/>
            </w:pPr>
            <w:r>
              <w:rPr>
                <w:rFonts w:eastAsiaTheme="minorEastAsia"/>
                <w:color w:val="000000" w:themeColor="text1"/>
                <w:szCs w:val="21"/>
              </w:rPr>
              <w:t>691,166.06</w:t>
            </w:r>
          </w:p>
        </w:tc>
        <w:tc>
          <w:tcPr>
            <w:tcW w:w="3118" w:type="dxa"/>
            <w:vAlign w:val="center"/>
          </w:tcPr>
          <w:p w:rsidR="00950F5A" w:rsidRDefault="002764BE">
            <w:pPr>
              <w:jc w:val="center"/>
            </w:pPr>
            <w:r>
              <w:rPr>
                <w:rFonts w:eastAsiaTheme="minorEastAsia"/>
                <w:color w:val="000000" w:themeColor="text1"/>
                <w:szCs w:val="21"/>
              </w:rPr>
              <w:t>1.05</w:t>
            </w:r>
          </w:p>
        </w:tc>
      </w:tr>
      <w:tr w:rsidR="00950F5A">
        <w:trPr>
          <w:jc w:val="center"/>
        </w:trPr>
        <w:tc>
          <w:tcPr>
            <w:tcW w:w="2397" w:type="dxa"/>
            <w:vAlign w:val="center"/>
          </w:tcPr>
          <w:p w:rsidR="00950F5A" w:rsidRDefault="002764BE">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950F5A" w:rsidRDefault="002764BE">
            <w:pPr>
              <w:jc w:val="center"/>
            </w:pPr>
            <w:r>
              <w:rPr>
                <w:rFonts w:eastAsiaTheme="minorEastAsia"/>
                <w:color w:val="000000" w:themeColor="text1"/>
                <w:szCs w:val="21"/>
              </w:rPr>
              <w:t>-</w:t>
            </w:r>
          </w:p>
        </w:tc>
        <w:tc>
          <w:tcPr>
            <w:tcW w:w="3118" w:type="dxa"/>
            <w:vAlign w:val="center"/>
          </w:tcPr>
          <w:p w:rsidR="00950F5A" w:rsidRDefault="002764BE">
            <w:pPr>
              <w:jc w:val="center"/>
            </w:pPr>
            <w:r>
              <w:rPr>
                <w:rFonts w:eastAsiaTheme="minorEastAsia"/>
                <w:color w:val="000000" w:themeColor="text1"/>
                <w:szCs w:val="21"/>
              </w:rPr>
              <w:t>-</w:t>
            </w:r>
          </w:p>
        </w:tc>
      </w:tr>
      <w:tr w:rsidR="00950F5A">
        <w:trPr>
          <w:jc w:val="center"/>
        </w:trPr>
        <w:tc>
          <w:tcPr>
            <w:tcW w:w="2397" w:type="dxa"/>
            <w:vAlign w:val="center"/>
          </w:tcPr>
          <w:p w:rsidR="00950F5A" w:rsidRDefault="002764BE">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950F5A" w:rsidRDefault="002764BE">
            <w:pPr>
              <w:jc w:val="center"/>
            </w:pPr>
            <w:r>
              <w:rPr>
                <w:rFonts w:eastAsiaTheme="minorEastAsia"/>
                <w:color w:val="000000" w:themeColor="text1"/>
                <w:szCs w:val="21"/>
              </w:rPr>
              <w:t>624,214.07</w:t>
            </w:r>
          </w:p>
        </w:tc>
        <w:tc>
          <w:tcPr>
            <w:tcW w:w="3118" w:type="dxa"/>
            <w:vAlign w:val="center"/>
          </w:tcPr>
          <w:p w:rsidR="00950F5A" w:rsidRDefault="002764BE">
            <w:pPr>
              <w:jc w:val="center"/>
            </w:pPr>
            <w:r>
              <w:rPr>
                <w:rFonts w:eastAsiaTheme="minorEastAsia"/>
                <w:color w:val="000000" w:themeColor="text1"/>
                <w:szCs w:val="21"/>
              </w:rPr>
              <w:t>0.95</w:t>
            </w:r>
          </w:p>
        </w:tc>
      </w:tr>
      <w:tr w:rsidR="00950F5A">
        <w:trPr>
          <w:jc w:val="center"/>
        </w:trPr>
        <w:tc>
          <w:tcPr>
            <w:tcW w:w="2397" w:type="dxa"/>
            <w:vAlign w:val="center"/>
          </w:tcPr>
          <w:p w:rsidR="00950F5A" w:rsidRDefault="002764BE">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950F5A" w:rsidRDefault="002764BE">
            <w:pPr>
              <w:jc w:val="center"/>
            </w:pPr>
            <w:r>
              <w:rPr>
                <w:rFonts w:eastAsiaTheme="minorEastAsia"/>
                <w:color w:val="000000" w:themeColor="text1"/>
                <w:szCs w:val="21"/>
              </w:rPr>
              <w:t>-</w:t>
            </w:r>
          </w:p>
        </w:tc>
        <w:tc>
          <w:tcPr>
            <w:tcW w:w="3118" w:type="dxa"/>
            <w:vAlign w:val="center"/>
          </w:tcPr>
          <w:p w:rsidR="00950F5A" w:rsidRDefault="002764BE">
            <w:pPr>
              <w:jc w:val="center"/>
            </w:pPr>
            <w:r>
              <w:rPr>
                <w:rFonts w:eastAsiaTheme="minorEastAsia"/>
                <w:color w:val="000000" w:themeColor="text1"/>
                <w:szCs w:val="21"/>
              </w:rPr>
              <w:t>-</w:t>
            </w:r>
          </w:p>
        </w:tc>
      </w:tr>
      <w:tr w:rsidR="00950F5A">
        <w:trPr>
          <w:jc w:val="center"/>
        </w:trPr>
        <w:tc>
          <w:tcPr>
            <w:tcW w:w="2397" w:type="dxa"/>
            <w:vAlign w:val="center"/>
          </w:tcPr>
          <w:p w:rsidR="00950F5A" w:rsidRDefault="002764BE">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950F5A" w:rsidRDefault="002764BE">
            <w:pPr>
              <w:jc w:val="center"/>
            </w:pPr>
            <w:r>
              <w:rPr>
                <w:rFonts w:eastAsiaTheme="minorEastAsia"/>
                <w:color w:val="000000" w:themeColor="text1"/>
                <w:szCs w:val="21"/>
              </w:rPr>
              <w:t>1,073,861.05</w:t>
            </w:r>
          </w:p>
        </w:tc>
        <w:tc>
          <w:tcPr>
            <w:tcW w:w="3118" w:type="dxa"/>
            <w:vAlign w:val="center"/>
          </w:tcPr>
          <w:p w:rsidR="00950F5A" w:rsidRDefault="002764BE">
            <w:pPr>
              <w:jc w:val="center"/>
            </w:pPr>
            <w:r>
              <w:rPr>
                <w:rFonts w:eastAsiaTheme="minorEastAsia"/>
                <w:color w:val="000000" w:themeColor="text1"/>
                <w:szCs w:val="21"/>
              </w:rPr>
              <w:t>1.63</w:t>
            </w:r>
          </w:p>
        </w:tc>
      </w:tr>
      <w:tr w:rsidR="00950F5A">
        <w:trPr>
          <w:jc w:val="center"/>
        </w:trPr>
        <w:tc>
          <w:tcPr>
            <w:tcW w:w="2397" w:type="dxa"/>
            <w:vAlign w:val="center"/>
          </w:tcPr>
          <w:p w:rsidR="00950F5A" w:rsidRDefault="002764BE">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950F5A" w:rsidRDefault="002764BE">
            <w:pPr>
              <w:jc w:val="center"/>
            </w:pPr>
            <w:r>
              <w:rPr>
                <w:rFonts w:eastAsiaTheme="minorEastAsia"/>
                <w:color w:val="000000" w:themeColor="text1"/>
                <w:szCs w:val="21"/>
              </w:rPr>
              <w:t>-</w:t>
            </w:r>
          </w:p>
        </w:tc>
        <w:tc>
          <w:tcPr>
            <w:tcW w:w="3118" w:type="dxa"/>
            <w:vAlign w:val="center"/>
          </w:tcPr>
          <w:p w:rsidR="00950F5A" w:rsidRDefault="002764BE">
            <w:pPr>
              <w:jc w:val="center"/>
            </w:pPr>
            <w:r>
              <w:rPr>
                <w:rFonts w:eastAsiaTheme="minorEastAsia"/>
                <w:color w:val="000000" w:themeColor="text1"/>
                <w:szCs w:val="21"/>
              </w:rPr>
              <w:t>-</w:t>
            </w:r>
          </w:p>
        </w:tc>
      </w:tr>
      <w:tr w:rsidR="00950F5A">
        <w:trPr>
          <w:jc w:val="center"/>
        </w:trPr>
        <w:tc>
          <w:tcPr>
            <w:tcW w:w="2397" w:type="dxa"/>
            <w:vAlign w:val="center"/>
          </w:tcPr>
          <w:p w:rsidR="00950F5A" w:rsidRDefault="002764BE">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950F5A" w:rsidRDefault="002764BE">
            <w:pPr>
              <w:jc w:val="center"/>
            </w:pPr>
            <w:r>
              <w:rPr>
                <w:rFonts w:eastAsiaTheme="minorEastAsia"/>
                <w:color w:val="000000" w:themeColor="text1"/>
                <w:szCs w:val="21"/>
              </w:rPr>
              <w:t>-</w:t>
            </w:r>
          </w:p>
        </w:tc>
        <w:tc>
          <w:tcPr>
            <w:tcW w:w="3118" w:type="dxa"/>
            <w:vAlign w:val="center"/>
          </w:tcPr>
          <w:p w:rsidR="00950F5A" w:rsidRDefault="002764BE">
            <w:pPr>
              <w:jc w:val="center"/>
            </w:pPr>
            <w:r>
              <w:rPr>
                <w:rFonts w:eastAsiaTheme="minorEastAsia"/>
                <w:color w:val="000000" w:themeColor="text1"/>
                <w:szCs w:val="21"/>
              </w:rPr>
              <w:t>-</w:t>
            </w:r>
          </w:p>
        </w:tc>
      </w:tr>
      <w:tr w:rsidR="00950F5A">
        <w:trPr>
          <w:jc w:val="center"/>
        </w:trPr>
        <w:tc>
          <w:tcPr>
            <w:tcW w:w="2397" w:type="dxa"/>
            <w:vAlign w:val="center"/>
          </w:tcPr>
          <w:p w:rsidR="00950F5A" w:rsidRDefault="002764BE">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950F5A" w:rsidRDefault="002764BE">
            <w:pPr>
              <w:jc w:val="center"/>
            </w:pPr>
            <w:r>
              <w:rPr>
                <w:rFonts w:eastAsiaTheme="minorEastAsia"/>
                <w:color w:val="000000" w:themeColor="text1"/>
                <w:szCs w:val="21"/>
              </w:rPr>
              <w:t>1,688,356.91</w:t>
            </w:r>
          </w:p>
        </w:tc>
        <w:tc>
          <w:tcPr>
            <w:tcW w:w="3118" w:type="dxa"/>
            <w:vAlign w:val="center"/>
          </w:tcPr>
          <w:p w:rsidR="00950F5A" w:rsidRDefault="002764BE">
            <w:pPr>
              <w:jc w:val="center"/>
            </w:pPr>
            <w:r>
              <w:rPr>
                <w:rFonts w:eastAsiaTheme="minorEastAsia"/>
                <w:color w:val="000000" w:themeColor="text1"/>
                <w:szCs w:val="21"/>
              </w:rPr>
              <w:t>2.57</w:t>
            </w:r>
          </w:p>
        </w:tc>
      </w:tr>
      <w:tr w:rsidR="00950F5A">
        <w:trPr>
          <w:jc w:val="center"/>
        </w:trPr>
        <w:tc>
          <w:tcPr>
            <w:tcW w:w="2397" w:type="dxa"/>
            <w:vAlign w:val="center"/>
          </w:tcPr>
          <w:p w:rsidR="00950F5A" w:rsidRDefault="002764BE">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950F5A" w:rsidRDefault="002764BE">
            <w:pPr>
              <w:jc w:val="center"/>
            </w:pPr>
            <w:r>
              <w:rPr>
                <w:rFonts w:eastAsiaTheme="minorEastAsia"/>
                <w:color w:val="000000" w:themeColor="text1"/>
                <w:szCs w:val="21"/>
              </w:rPr>
              <w:t>-</w:t>
            </w:r>
          </w:p>
        </w:tc>
        <w:tc>
          <w:tcPr>
            <w:tcW w:w="3118" w:type="dxa"/>
            <w:vAlign w:val="center"/>
          </w:tcPr>
          <w:p w:rsidR="00950F5A" w:rsidRDefault="002764BE">
            <w:pPr>
              <w:jc w:val="center"/>
            </w:pPr>
            <w:r>
              <w:rPr>
                <w:rFonts w:eastAsiaTheme="minorEastAsia"/>
                <w:color w:val="000000" w:themeColor="text1"/>
                <w:szCs w:val="21"/>
              </w:rPr>
              <w:t>-</w:t>
            </w:r>
          </w:p>
        </w:tc>
      </w:tr>
      <w:tr w:rsidR="00950F5A">
        <w:trPr>
          <w:jc w:val="center"/>
        </w:trPr>
        <w:tc>
          <w:tcPr>
            <w:tcW w:w="2397" w:type="dxa"/>
            <w:vAlign w:val="center"/>
          </w:tcPr>
          <w:p w:rsidR="00950F5A" w:rsidRDefault="002764BE">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950F5A" w:rsidRDefault="002764BE">
            <w:pPr>
              <w:jc w:val="center"/>
            </w:pPr>
            <w:r>
              <w:rPr>
                <w:rFonts w:eastAsiaTheme="minorEastAsia"/>
                <w:color w:val="000000" w:themeColor="text1"/>
                <w:szCs w:val="21"/>
              </w:rPr>
              <w:t>-</w:t>
            </w:r>
          </w:p>
        </w:tc>
        <w:tc>
          <w:tcPr>
            <w:tcW w:w="3118" w:type="dxa"/>
            <w:vAlign w:val="center"/>
          </w:tcPr>
          <w:p w:rsidR="00950F5A" w:rsidRDefault="002764BE">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4,077,598.09</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6.20</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950F5A">
        <w:tc>
          <w:tcPr>
            <w:tcW w:w="817" w:type="dxa"/>
            <w:vAlign w:val="center"/>
          </w:tcPr>
          <w:p w:rsidR="00950F5A" w:rsidRDefault="002764BE">
            <w:pPr>
              <w:jc w:val="center"/>
            </w:pPr>
            <w:r>
              <w:rPr>
                <w:rFonts w:eastAsiaTheme="minorEastAsia"/>
                <w:kern w:val="0"/>
                <w:szCs w:val="21"/>
              </w:rPr>
              <w:t>1</w:t>
            </w:r>
          </w:p>
        </w:tc>
        <w:tc>
          <w:tcPr>
            <w:tcW w:w="1276" w:type="dxa"/>
            <w:vAlign w:val="center"/>
          </w:tcPr>
          <w:p w:rsidR="00950F5A" w:rsidRDefault="002764BE">
            <w:pPr>
              <w:jc w:val="center"/>
            </w:pPr>
            <w:r>
              <w:rPr>
                <w:rFonts w:eastAsiaTheme="minorEastAsia"/>
                <w:kern w:val="0"/>
                <w:szCs w:val="21"/>
              </w:rPr>
              <w:t>688169</w:t>
            </w:r>
          </w:p>
        </w:tc>
        <w:tc>
          <w:tcPr>
            <w:tcW w:w="1701" w:type="dxa"/>
            <w:vAlign w:val="center"/>
          </w:tcPr>
          <w:p w:rsidR="00950F5A" w:rsidRDefault="002764BE">
            <w:pPr>
              <w:jc w:val="center"/>
            </w:pPr>
            <w:r>
              <w:rPr>
                <w:rFonts w:eastAsiaTheme="minorEastAsia"/>
                <w:kern w:val="0"/>
                <w:szCs w:val="21"/>
              </w:rPr>
              <w:t>石头科技</w:t>
            </w:r>
          </w:p>
        </w:tc>
        <w:tc>
          <w:tcPr>
            <w:tcW w:w="1276" w:type="dxa"/>
            <w:vAlign w:val="center"/>
          </w:tcPr>
          <w:p w:rsidR="00950F5A" w:rsidRDefault="002764BE">
            <w:pPr>
              <w:jc w:val="right"/>
            </w:pPr>
            <w:r>
              <w:rPr>
                <w:rFonts w:eastAsiaTheme="minorEastAsia"/>
                <w:kern w:val="0"/>
                <w:szCs w:val="21"/>
              </w:rPr>
              <w:t>15,930.00</w:t>
            </w:r>
          </w:p>
        </w:tc>
        <w:tc>
          <w:tcPr>
            <w:tcW w:w="1842" w:type="dxa"/>
            <w:vAlign w:val="center"/>
          </w:tcPr>
          <w:p w:rsidR="00950F5A" w:rsidRDefault="002764BE">
            <w:pPr>
              <w:jc w:val="right"/>
            </w:pPr>
            <w:r>
              <w:rPr>
                <w:rFonts w:eastAsiaTheme="minorEastAsia"/>
                <w:kern w:val="0"/>
                <w:szCs w:val="21"/>
              </w:rPr>
              <w:t>5,457,140.10</w:t>
            </w:r>
          </w:p>
        </w:tc>
        <w:tc>
          <w:tcPr>
            <w:tcW w:w="1616" w:type="dxa"/>
            <w:vAlign w:val="center"/>
          </w:tcPr>
          <w:p w:rsidR="00950F5A" w:rsidRDefault="002764BE">
            <w:pPr>
              <w:jc w:val="right"/>
            </w:pPr>
            <w:r>
              <w:rPr>
                <w:rFonts w:eastAsiaTheme="minorEastAsia"/>
                <w:kern w:val="0"/>
                <w:szCs w:val="21"/>
              </w:rPr>
              <w:t>8.30</w:t>
            </w:r>
          </w:p>
        </w:tc>
      </w:tr>
      <w:tr w:rsidR="00950F5A">
        <w:tc>
          <w:tcPr>
            <w:tcW w:w="817" w:type="dxa"/>
            <w:vAlign w:val="center"/>
          </w:tcPr>
          <w:p w:rsidR="00950F5A" w:rsidRDefault="002764BE">
            <w:pPr>
              <w:jc w:val="center"/>
            </w:pPr>
            <w:r>
              <w:rPr>
                <w:rFonts w:eastAsiaTheme="minorEastAsia"/>
                <w:kern w:val="0"/>
                <w:szCs w:val="21"/>
              </w:rPr>
              <w:t>2</w:t>
            </w:r>
          </w:p>
        </w:tc>
        <w:tc>
          <w:tcPr>
            <w:tcW w:w="1276" w:type="dxa"/>
            <w:vAlign w:val="center"/>
          </w:tcPr>
          <w:p w:rsidR="00950F5A" w:rsidRDefault="002764BE">
            <w:pPr>
              <w:jc w:val="center"/>
            </w:pPr>
            <w:r>
              <w:rPr>
                <w:rFonts w:eastAsiaTheme="minorEastAsia"/>
                <w:kern w:val="0"/>
                <w:szCs w:val="21"/>
              </w:rPr>
              <w:t>601689</w:t>
            </w:r>
          </w:p>
        </w:tc>
        <w:tc>
          <w:tcPr>
            <w:tcW w:w="1701" w:type="dxa"/>
            <w:vAlign w:val="center"/>
          </w:tcPr>
          <w:p w:rsidR="00950F5A" w:rsidRDefault="002764BE">
            <w:pPr>
              <w:jc w:val="center"/>
            </w:pPr>
            <w:r>
              <w:rPr>
                <w:rFonts w:eastAsiaTheme="minorEastAsia"/>
                <w:kern w:val="0"/>
                <w:szCs w:val="21"/>
              </w:rPr>
              <w:t>拓普集团</w:t>
            </w:r>
          </w:p>
        </w:tc>
        <w:tc>
          <w:tcPr>
            <w:tcW w:w="1276" w:type="dxa"/>
            <w:vAlign w:val="center"/>
          </w:tcPr>
          <w:p w:rsidR="00950F5A" w:rsidRDefault="002764BE">
            <w:pPr>
              <w:jc w:val="right"/>
            </w:pPr>
            <w:r>
              <w:rPr>
                <w:rFonts w:eastAsiaTheme="minorEastAsia"/>
                <w:kern w:val="0"/>
                <w:szCs w:val="21"/>
              </w:rPr>
              <w:t>72,335.00</w:t>
            </w:r>
          </w:p>
        </w:tc>
        <w:tc>
          <w:tcPr>
            <w:tcW w:w="1842" w:type="dxa"/>
            <w:vAlign w:val="center"/>
          </w:tcPr>
          <w:p w:rsidR="00950F5A" w:rsidRDefault="002764BE">
            <w:pPr>
              <w:jc w:val="right"/>
            </w:pPr>
            <w:r>
              <w:rPr>
                <w:rFonts w:eastAsiaTheme="minorEastAsia"/>
                <w:kern w:val="0"/>
                <w:szCs w:val="21"/>
              </w:rPr>
              <w:t>4,570,848.65</w:t>
            </w:r>
          </w:p>
        </w:tc>
        <w:tc>
          <w:tcPr>
            <w:tcW w:w="1616" w:type="dxa"/>
            <w:vAlign w:val="center"/>
          </w:tcPr>
          <w:p w:rsidR="00950F5A" w:rsidRDefault="002764BE">
            <w:pPr>
              <w:jc w:val="right"/>
            </w:pPr>
            <w:r>
              <w:rPr>
                <w:rFonts w:eastAsiaTheme="minorEastAsia"/>
                <w:kern w:val="0"/>
                <w:szCs w:val="21"/>
              </w:rPr>
              <w:t>6.95</w:t>
            </w:r>
          </w:p>
        </w:tc>
      </w:tr>
      <w:tr w:rsidR="00950F5A">
        <w:tc>
          <w:tcPr>
            <w:tcW w:w="817" w:type="dxa"/>
            <w:vAlign w:val="center"/>
          </w:tcPr>
          <w:p w:rsidR="00950F5A" w:rsidRDefault="002764BE">
            <w:pPr>
              <w:jc w:val="center"/>
            </w:pPr>
            <w:r>
              <w:rPr>
                <w:rFonts w:eastAsiaTheme="minorEastAsia"/>
                <w:kern w:val="0"/>
                <w:szCs w:val="21"/>
              </w:rPr>
              <w:t>3</w:t>
            </w:r>
          </w:p>
        </w:tc>
        <w:tc>
          <w:tcPr>
            <w:tcW w:w="1276" w:type="dxa"/>
            <w:vAlign w:val="center"/>
          </w:tcPr>
          <w:p w:rsidR="00950F5A" w:rsidRDefault="002764BE">
            <w:pPr>
              <w:jc w:val="center"/>
            </w:pPr>
            <w:r>
              <w:rPr>
                <w:rFonts w:eastAsiaTheme="minorEastAsia"/>
                <w:kern w:val="0"/>
                <w:szCs w:val="21"/>
              </w:rPr>
              <w:t>601138</w:t>
            </w:r>
          </w:p>
        </w:tc>
        <w:tc>
          <w:tcPr>
            <w:tcW w:w="1701" w:type="dxa"/>
            <w:vAlign w:val="center"/>
          </w:tcPr>
          <w:p w:rsidR="00950F5A" w:rsidRDefault="002764BE">
            <w:pPr>
              <w:jc w:val="center"/>
            </w:pPr>
            <w:r>
              <w:rPr>
                <w:rFonts w:eastAsiaTheme="minorEastAsia"/>
                <w:kern w:val="0"/>
                <w:szCs w:val="21"/>
              </w:rPr>
              <w:t>工业富联</w:t>
            </w:r>
          </w:p>
        </w:tc>
        <w:tc>
          <w:tcPr>
            <w:tcW w:w="1276" w:type="dxa"/>
            <w:vAlign w:val="center"/>
          </w:tcPr>
          <w:p w:rsidR="00950F5A" w:rsidRDefault="002764BE">
            <w:pPr>
              <w:jc w:val="right"/>
            </w:pPr>
            <w:r>
              <w:rPr>
                <w:rFonts w:eastAsiaTheme="minorEastAsia"/>
                <w:kern w:val="0"/>
                <w:szCs w:val="21"/>
              </w:rPr>
              <w:t>140,136.00</w:t>
            </w:r>
          </w:p>
        </w:tc>
        <w:tc>
          <w:tcPr>
            <w:tcW w:w="1842" w:type="dxa"/>
            <w:vAlign w:val="center"/>
          </w:tcPr>
          <w:p w:rsidR="00950F5A" w:rsidRDefault="002764BE">
            <w:pPr>
              <w:jc w:val="right"/>
            </w:pPr>
            <w:r>
              <w:rPr>
                <w:rFonts w:eastAsiaTheme="minorEastAsia"/>
                <w:kern w:val="0"/>
                <w:szCs w:val="21"/>
              </w:rPr>
              <w:t>3,190,896.72</w:t>
            </w:r>
          </w:p>
        </w:tc>
        <w:tc>
          <w:tcPr>
            <w:tcW w:w="1616" w:type="dxa"/>
            <w:vAlign w:val="center"/>
          </w:tcPr>
          <w:p w:rsidR="00950F5A" w:rsidRDefault="002764BE">
            <w:pPr>
              <w:jc w:val="right"/>
            </w:pPr>
            <w:r>
              <w:rPr>
                <w:rFonts w:eastAsiaTheme="minorEastAsia"/>
                <w:kern w:val="0"/>
                <w:szCs w:val="21"/>
              </w:rPr>
              <w:t>4.85</w:t>
            </w:r>
          </w:p>
        </w:tc>
      </w:tr>
      <w:tr w:rsidR="00950F5A">
        <w:tc>
          <w:tcPr>
            <w:tcW w:w="817" w:type="dxa"/>
            <w:vAlign w:val="center"/>
          </w:tcPr>
          <w:p w:rsidR="00950F5A" w:rsidRDefault="002764BE">
            <w:pPr>
              <w:jc w:val="center"/>
            </w:pPr>
            <w:r>
              <w:rPr>
                <w:rFonts w:eastAsiaTheme="minorEastAsia"/>
                <w:kern w:val="0"/>
                <w:szCs w:val="21"/>
              </w:rPr>
              <w:t>4</w:t>
            </w:r>
          </w:p>
        </w:tc>
        <w:tc>
          <w:tcPr>
            <w:tcW w:w="1276" w:type="dxa"/>
            <w:vAlign w:val="center"/>
          </w:tcPr>
          <w:p w:rsidR="00950F5A" w:rsidRDefault="002764BE">
            <w:pPr>
              <w:jc w:val="center"/>
            </w:pPr>
            <w:r>
              <w:rPr>
                <w:rFonts w:eastAsiaTheme="minorEastAsia"/>
                <w:kern w:val="0"/>
                <w:szCs w:val="21"/>
              </w:rPr>
              <w:t>300394</w:t>
            </w:r>
          </w:p>
        </w:tc>
        <w:tc>
          <w:tcPr>
            <w:tcW w:w="1701" w:type="dxa"/>
            <w:vAlign w:val="center"/>
          </w:tcPr>
          <w:p w:rsidR="00950F5A" w:rsidRDefault="002764BE">
            <w:pPr>
              <w:jc w:val="center"/>
            </w:pPr>
            <w:r>
              <w:rPr>
                <w:rFonts w:eastAsiaTheme="minorEastAsia"/>
                <w:kern w:val="0"/>
                <w:szCs w:val="21"/>
              </w:rPr>
              <w:t>天孚通信</w:t>
            </w:r>
          </w:p>
        </w:tc>
        <w:tc>
          <w:tcPr>
            <w:tcW w:w="1276" w:type="dxa"/>
            <w:vAlign w:val="center"/>
          </w:tcPr>
          <w:p w:rsidR="00950F5A" w:rsidRDefault="002764BE">
            <w:pPr>
              <w:jc w:val="right"/>
            </w:pPr>
            <w:r>
              <w:rPr>
                <w:rFonts w:eastAsiaTheme="minorEastAsia"/>
                <w:kern w:val="0"/>
                <w:szCs w:val="21"/>
              </w:rPr>
              <w:t>20,970.00</w:t>
            </w:r>
          </w:p>
        </w:tc>
        <w:tc>
          <w:tcPr>
            <w:tcW w:w="1842" w:type="dxa"/>
            <w:vAlign w:val="center"/>
          </w:tcPr>
          <w:p w:rsidR="00950F5A" w:rsidRDefault="002764BE">
            <w:pPr>
              <w:jc w:val="right"/>
            </w:pPr>
            <w:r>
              <w:rPr>
                <w:rFonts w:eastAsiaTheme="minorEastAsia"/>
                <w:kern w:val="0"/>
                <w:szCs w:val="21"/>
              </w:rPr>
              <w:t>3,172,131.90</w:t>
            </w:r>
          </w:p>
        </w:tc>
        <w:tc>
          <w:tcPr>
            <w:tcW w:w="1616" w:type="dxa"/>
            <w:vAlign w:val="center"/>
          </w:tcPr>
          <w:p w:rsidR="00950F5A" w:rsidRDefault="002764BE">
            <w:pPr>
              <w:jc w:val="right"/>
            </w:pPr>
            <w:r>
              <w:rPr>
                <w:rFonts w:eastAsiaTheme="minorEastAsia"/>
                <w:kern w:val="0"/>
                <w:szCs w:val="21"/>
              </w:rPr>
              <w:t>4.82</w:t>
            </w:r>
          </w:p>
        </w:tc>
      </w:tr>
      <w:tr w:rsidR="00950F5A">
        <w:tc>
          <w:tcPr>
            <w:tcW w:w="817" w:type="dxa"/>
            <w:vAlign w:val="center"/>
          </w:tcPr>
          <w:p w:rsidR="00950F5A" w:rsidRDefault="002764BE">
            <w:pPr>
              <w:jc w:val="center"/>
            </w:pPr>
            <w:r>
              <w:rPr>
                <w:rFonts w:eastAsiaTheme="minorEastAsia"/>
                <w:kern w:val="0"/>
                <w:szCs w:val="21"/>
              </w:rPr>
              <w:t>5</w:t>
            </w:r>
          </w:p>
        </w:tc>
        <w:tc>
          <w:tcPr>
            <w:tcW w:w="1276" w:type="dxa"/>
            <w:vAlign w:val="center"/>
          </w:tcPr>
          <w:p w:rsidR="00950F5A" w:rsidRDefault="002764BE">
            <w:pPr>
              <w:jc w:val="center"/>
            </w:pPr>
            <w:r>
              <w:rPr>
                <w:rFonts w:eastAsiaTheme="minorEastAsia"/>
                <w:kern w:val="0"/>
                <w:szCs w:val="21"/>
              </w:rPr>
              <w:t>300308</w:t>
            </w:r>
          </w:p>
        </w:tc>
        <w:tc>
          <w:tcPr>
            <w:tcW w:w="1701" w:type="dxa"/>
            <w:vAlign w:val="center"/>
          </w:tcPr>
          <w:p w:rsidR="00950F5A" w:rsidRDefault="002764BE">
            <w:pPr>
              <w:jc w:val="center"/>
            </w:pPr>
            <w:r>
              <w:rPr>
                <w:rFonts w:eastAsiaTheme="minorEastAsia"/>
                <w:kern w:val="0"/>
                <w:szCs w:val="21"/>
              </w:rPr>
              <w:t>中际旭创</w:t>
            </w:r>
          </w:p>
        </w:tc>
        <w:tc>
          <w:tcPr>
            <w:tcW w:w="1276" w:type="dxa"/>
            <w:vAlign w:val="center"/>
          </w:tcPr>
          <w:p w:rsidR="00950F5A" w:rsidRDefault="002764BE">
            <w:pPr>
              <w:jc w:val="right"/>
            </w:pPr>
            <w:r>
              <w:rPr>
                <w:rFonts w:eastAsiaTheme="minorEastAsia"/>
                <w:kern w:val="0"/>
                <w:szCs w:val="21"/>
              </w:rPr>
              <w:t>18,881.00</w:t>
            </w:r>
          </w:p>
        </w:tc>
        <w:tc>
          <w:tcPr>
            <w:tcW w:w="1842" w:type="dxa"/>
            <w:vAlign w:val="center"/>
          </w:tcPr>
          <w:p w:rsidR="00950F5A" w:rsidRDefault="002764BE">
            <w:pPr>
              <w:jc w:val="right"/>
            </w:pPr>
            <w:r>
              <w:rPr>
                <w:rFonts w:eastAsiaTheme="minorEastAsia"/>
                <w:kern w:val="0"/>
                <w:szCs w:val="21"/>
              </w:rPr>
              <w:t>2,956,009.36</w:t>
            </w:r>
          </w:p>
        </w:tc>
        <w:tc>
          <w:tcPr>
            <w:tcW w:w="1616" w:type="dxa"/>
            <w:vAlign w:val="center"/>
          </w:tcPr>
          <w:p w:rsidR="00950F5A" w:rsidRDefault="002764BE">
            <w:pPr>
              <w:jc w:val="right"/>
            </w:pPr>
            <w:r>
              <w:rPr>
                <w:rFonts w:eastAsiaTheme="minorEastAsia"/>
                <w:kern w:val="0"/>
                <w:szCs w:val="21"/>
              </w:rPr>
              <w:t>4.50</w:t>
            </w:r>
          </w:p>
        </w:tc>
      </w:tr>
      <w:tr w:rsidR="00950F5A">
        <w:tc>
          <w:tcPr>
            <w:tcW w:w="817" w:type="dxa"/>
            <w:vAlign w:val="center"/>
          </w:tcPr>
          <w:p w:rsidR="00950F5A" w:rsidRDefault="002764BE">
            <w:pPr>
              <w:jc w:val="center"/>
            </w:pPr>
            <w:r>
              <w:rPr>
                <w:rFonts w:eastAsiaTheme="minorEastAsia"/>
                <w:kern w:val="0"/>
                <w:szCs w:val="21"/>
              </w:rPr>
              <w:t>6</w:t>
            </w:r>
          </w:p>
        </w:tc>
        <w:tc>
          <w:tcPr>
            <w:tcW w:w="1276" w:type="dxa"/>
            <w:vAlign w:val="center"/>
          </w:tcPr>
          <w:p w:rsidR="00950F5A" w:rsidRDefault="002764BE">
            <w:pPr>
              <w:jc w:val="center"/>
            </w:pPr>
            <w:r>
              <w:rPr>
                <w:rFonts w:eastAsiaTheme="minorEastAsia"/>
                <w:kern w:val="0"/>
                <w:szCs w:val="21"/>
              </w:rPr>
              <w:t>002050</w:t>
            </w:r>
          </w:p>
        </w:tc>
        <w:tc>
          <w:tcPr>
            <w:tcW w:w="1701" w:type="dxa"/>
            <w:vAlign w:val="center"/>
          </w:tcPr>
          <w:p w:rsidR="00950F5A" w:rsidRDefault="002764BE">
            <w:pPr>
              <w:jc w:val="center"/>
            </w:pPr>
            <w:r>
              <w:rPr>
                <w:rFonts w:eastAsiaTheme="minorEastAsia"/>
                <w:kern w:val="0"/>
                <w:szCs w:val="21"/>
              </w:rPr>
              <w:t>三花智控</w:t>
            </w:r>
          </w:p>
        </w:tc>
        <w:tc>
          <w:tcPr>
            <w:tcW w:w="1276" w:type="dxa"/>
            <w:vAlign w:val="center"/>
          </w:tcPr>
          <w:p w:rsidR="00950F5A" w:rsidRDefault="002764BE">
            <w:pPr>
              <w:jc w:val="right"/>
            </w:pPr>
            <w:r>
              <w:rPr>
                <w:rFonts w:eastAsiaTheme="minorEastAsia"/>
                <w:kern w:val="0"/>
                <w:szCs w:val="21"/>
              </w:rPr>
              <w:t>117,610.00</w:t>
            </w:r>
          </w:p>
        </w:tc>
        <w:tc>
          <w:tcPr>
            <w:tcW w:w="1842" w:type="dxa"/>
            <w:vAlign w:val="center"/>
          </w:tcPr>
          <w:p w:rsidR="00950F5A" w:rsidRDefault="002764BE">
            <w:pPr>
              <w:jc w:val="right"/>
            </w:pPr>
            <w:r>
              <w:rPr>
                <w:rFonts w:eastAsiaTheme="minorEastAsia"/>
                <w:kern w:val="0"/>
                <w:szCs w:val="21"/>
              </w:rPr>
              <w:t>2,790,885.30</w:t>
            </w:r>
          </w:p>
        </w:tc>
        <w:tc>
          <w:tcPr>
            <w:tcW w:w="1616" w:type="dxa"/>
            <w:vAlign w:val="center"/>
          </w:tcPr>
          <w:p w:rsidR="00950F5A" w:rsidRDefault="002764BE">
            <w:pPr>
              <w:jc w:val="right"/>
            </w:pPr>
            <w:r>
              <w:rPr>
                <w:rFonts w:eastAsiaTheme="minorEastAsia"/>
                <w:kern w:val="0"/>
                <w:szCs w:val="21"/>
              </w:rPr>
              <w:t>4.24</w:t>
            </w:r>
          </w:p>
        </w:tc>
      </w:tr>
      <w:tr w:rsidR="00950F5A">
        <w:tc>
          <w:tcPr>
            <w:tcW w:w="817" w:type="dxa"/>
            <w:vAlign w:val="center"/>
          </w:tcPr>
          <w:p w:rsidR="00950F5A" w:rsidRDefault="002764BE">
            <w:pPr>
              <w:jc w:val="center"/>
            </w:pPr>
            <w:r>
              <w:rPr>
                <w:rFonts w:eastAsiaTheme="minorEastAsia"/>
                <w:kern w:val="0"/>
                <w:szCs w:val="21"/>
              </w:rPr>
              <w:t>7</w:t>
            </w:r>
          </w:p>
        </w:tc>
        <w:tc>
          <w:tcPr>
            <w:tcW w:w="1276" w:type="dxa"/>
            <w:vAlign w:val="center"/>
          </w:tcPr>
          <w:p w:rsidR="00950F5A" w:rsidRDefault="002764BE">
            <w:pPr>
              <w:jc w:val="center"/>
            </w:pPr>
            <w:r>
              <w:rPr>
                <w:rFonts w:eastAsiaTheme="minorEastAsia"/>
                <w:kern w:val="0"/>
                <w:szCs w:val="21"/>
              </w:rPr>
              <w:t>300750</w:t>
            </w:r>
          </w:p>
        </w:tc>
        <w:tc>
          <w:tcPr>
            <w:tcW w:w="1701" w:type="dxa"/>
            <w:vAlign w:val="center"/>
          </w:tcPr>
          <w:p w:rsidR="00950F5A" w:rsidRDefault="002764BE">
            <w:pPr>
              <w:jc w:val="center"/>
            </w:pPr>
            <w:r>
              <w:rPr>
                <w:rFonts w:eastAsiaTheme="minorEastAsia"/>
                <w:kern w:val="0"/>
                <w:szCs w:val="21"/>
              </w:rPr>
              <w:t>宁德时代</w:t>
            </w:r>
          </w:p>
        </w:tc>
        <w:tc>
          <w:tcPr>
            <w:tcW w:w="1276" w:type="dxa"/>
            <w:vAlign w:val="center"/>
          </w:tcPr>
          <w:p w:rsidR="00950F5A" w:rsidRDefault="002764BE">
            <w:pPr>
              <w:jc w:val="right"/>
            </w:pPr>
            <w:r>
              <w:rPr>
                <w:rFonts w:eastAsiaTheme="minorEastAsia"/>
                <w:kern w:val="0"/>
                <w:szCs w:val="21"/>
              </w:rPr>
              <w:t>13,393.00</w:t>
            </w:r>
          </w:p>
        </w:tc>
        <w:tc>
          <w:tcPr>
            <w:tcW w:w="1842" w:type="dxa"/>
            <w:vAlign w:val="center"/>
          </w:tcPr>
          <w:p w:rsidR="00950F5A" w:rsidRDefault="002764BE">
            <w:pPr>
              <w:jc w:val="right"/>
            </w:pPr>
            <w:r>
              <w:rPr>
                <w:rFonts w:eastAsiaTheme="minorEastAsia"/>
                <w:kern w:val="0"/>
                <w:szCs w:val="21"/>
              </w:rPr>
              <w:t>2,546,812.88</w:t>
            </w:r>
          </w:p>
        </w:tc>
        <w:tc>
          <w:tcPr>
            <w:tcW w:w="1616" w:type="dxa"/>
            <w:vAlign w:val="center"/>
          </w:tcPr>
          <w:p w:rsidR="00950F5A" w:rsidRDefault="002764BE">
            <w:pPr>
              <w:jc w:val="right"/>
            </w:pPr>
            <w:r>
              <w:rPr>
                <w:rFonts w:eastAsiaTheme="minorEastAsia"/>
                <w:kern w:val="0"/>
                <w:szCs w:val="21"/>
              </w:rPr>
              <w:t>3.87</w:t>
            </w:r>
          </w:p>
        </w:tc>
      </w:tr>
      <w:tr w:rsidR="00950F5A">
        <w:tc>
          <w:tcPr>
            <w:tcW w:w="817" w:type="dxa"/>
            <w:vAlign w:val="center"/>
          </w:tcPr>
          <w:p w:rsidR="00950F5A" w:rsidRDefault="002764BE">
            <w:pPr>
              <w:jc w:val="center"/>
            </w:pPr>
            <w:r>
              <w:rPr>
                <w:rFonts w:eastAsiaTheme="minorEastAsia"/>
                <w:kern w:val="0"/>
                <w:szCs w:val="21"/>
              </w:rPr>
              <w:t>8</w:t>
            </w:r>
          </w:p>
        </w:tc>
        <w:tc>
          <w:tcPr>
            <w:tcW w:w="1276" w:type="dxa"/>
            <w:vAlign w:val="center"/>
          </w:tcPr>
          <w:p w:rsidR="00950F5A" w:rsidRDefault="002764BE">
            <w:pPr>
              <w:jc w:val="center"/>
            </w:pPr>
            <w:r>
              <w:rPr>
                <w:rFonts w:eastAsiaTheme="minorEastAsia"/>
                <w:kern w:val="0"/>
                <w:szCs w:val="21"/>
              </w:rPr>
              <w:t>000625</w:t>
            </w:r>
          </w:p>
        </w:tc>
        <w:tc>
          <w:tcPr>
            <w:tcW w:w="1701" w:type="dxa"/>
            <w:vAlign w:val="center"/>
          </w:tcPr>
          <w:p w:rsidR="00950F5A" w:rsidRDefault="002764BE">
            <w:pPr>
              <w:jc w:val="center"/>
            </w:pPr>
            <w:r>
              <w:rPr>
                <w:rFonts w:eastAsiaTheme="minorEastAsia"/>
                <w:kern w:val="0"/>
                <w:szCs w:val="21"/>
              </w:rPr>
              <w:t>长安汽车</w:t>
            </w:r>
          </w:p>
        </w:tc>
        <w:tc>
          <w:tcPr>
            <w:tcW w:w="1276" w:type="dxa"/>
            <w:vAlign w:val="center"/>
          </w:tcPr>
          <w:p w:rsidR="00950F5A" w:rsidRDefault="002764BE">
            <w:pPr>
              <w:jc w:val="right"/>
            </w:pPr>
            <w:r>
              <w:rPr>
                <w:rFonts w:eastAsiaTheme="minorEastAsia"/>
                <w:kern w:val="0"/>
                <w:szCs w:val="21"/>
              </w:rPr>
              <w:t>118,700.00</w:t>
            </w:r>
          </w:p>
        </w:tc>
        <w:tc>
          <w:tcPr>
            <w:tcW w:w="1842" w:type="dxa"/>
            <w:vAlign w:val="center"/>
          </w:tcPr>
          <w:p w:rsidR="00950F5A" w:rsidRDefault="002764BE">
            <w:pPr>
              <w:jc w:val="right"/>
            </w:pPr>
            <w:r>
              <w:rPr>
                <w:rFonts w:eastAsiaTheme="minorEastAsia"/>
                <w:kern w:val="0"/>
                <w:szCs w:val="21"/>
              </w:rPr>
              <w:t>1,994,160.00</w:t>
            </w:r>
          </w:p>
        </w:tc>
        <w:tc>
          <w:tcPr>
            <w:tcW w:w="1616" w:type="dxa"/>
            <w:vAlign w:val="center"/>
          </w:tcPr>
          <w:p w:rsidR="00950F5A" w:rsidRDefault="002764BE">
            <w:pPr>
              <w:jc w:val="right"/>
            </w:pPr>
            <w:r>
              <w:rPr>
                <w:rFonts w:eastAsiaTheme="minorEastAsia"/>
                <w:kern w:val="0"/>
                <w:szCs w:val="21"/>
              </w:rPr>
              <w:t>3.03</w:t>
            </w:r>
          </w:p>
        </w:tc>
      </w:tr>
      <w:tr w:rsidR="00950F5A">
        <w:tc>
          <w:tcPr>
            <w:tcW w:w="817" w:type="dxa"/>
            <w:vAlign w:val="center"/>
          </w:tcPr>
          <w:p w:rsidR="00950F5A" w:rsidRDefault="002764BE">
            <w:pPr>
              <w:jc w:val="center"/>
            </w:pPr>
            <w:r>
              <w:rPr>
                <w:rFonts w:eastAsiaTheme="minorEastAsia"/>
                <w:kern w:val="0"/>
                <w:szCs w:val="21"/>
              </w:rPr>
              <w:t>9</w:t>
            </w:r>
          </w:p>
        </w:tc>
        <w:tc>
          <w:tcPr>
            <w:tcW w:w="1276" w:type="dxa"/>
            <w:vAlign w:val="center"/>
          </w:tcPr>
          <w:p w:rsidR="00950F5A" w:rsidRDefault="002764BE">
            <w:pPr>
              <w:jc w:val="center"/>
            </w:pPr>
            <w:r>
              <w:rPr>
                <w:rFonts w:eastAsiaTheme="minorEastAsia"/>
                <w:kern w:val="0"/>
                <w:szCs w:val="21"/>
              </w:rPr>
              <w:t>300502</w:t>
            </w:r>
          </w:p>
        </w:tc>
        <w:tc>
          <w:tcPr>
            <w:tcW w:w="1701" w:type="dxa"/>
            <w:vAlign w:val="center"/>
          </w:tcPr>
          <w:p w:rsidR="00950F5A" w:rsidRDefault="002764BE">
            <w:pPr>
              <w:jc w:val="center"/>
            </w:pPr>
            <w:r>
              <w:rPr>
                <w:rFonts w:eastAsiaTheme="minorEastAsia"/>
                <w:kern w:val="0"/>
                <w:szCs w:val="21"/>
              </w:rPr>
              <w:t>新易盛</w:t>
            </w:r>
          </w:p>
        </w:tc>
        <w:tc>
          <w:tcPr>
            <w:tcW w:w="1276" w:type="dxa"/>
            <w:vAlign w:val="center"/>
          </w:tcPr>
          <w:p w:rsidR="00950F5A" w:rsidRDefault="002764BE">
            <w:pPr>
              <w:jc w:val="right"/>
            </w:pPr>
            <w:r>
              <w:rPr>
                <w:rFonts w:eastAsiaTheme="minorEastAsia"/>
                <w:kern w:val="0"/>
                <w:szCs w:val="21"/>
              </w:rPr>
              <w:t>26,373.00</w:t>
            </w:r>
          </w:p>
        </w:tc>
        <w:tc>
          <w:tcPr>
            <w:tcW w:w="1842" w:type="dxa"/>
            <w:vAlign w:val="center"/>
          </w:tcPr>
          <w:p w:rsidR="00950F5A" w:rsidRDefault="002764BE">
            <w:pPr>
              <w:jc w:val="right"/>
            </w:pPr>
            <w:r>
              <w:rPr>
                <w:rFonts w:eastAsiaTheme="minorEastAsia"/>
                <w:kern w:val="0"/>
                <w:szCs w:val="21"/>
              </w:rPr>
              <w:t>1,766,991.00</w:t>
            </w:r>
          </w:p>
        </w:tc>
        <w:tc>
          <w:tcPr>
            <w:tcW w:w="1616" w:type="dxa"/>
            <w:vAlign w:val="center"/>
          </w:tcPr>
          <w:p w:rsidR="00950F5A" w:rsidRDefault="002764BE">
            <w:pPr>
              <w:jc w:val="right"/>
            </w:pPr>
            <w:r>
              <w:rPr>
                <w:rFonts w:eastAsiaTheme="minorEastAsia"/>
                <w:kern w:val="0"/>
                <w:szCs w:val="21"/>
              </w:rPr>
              <w:t>2.69</w:t>
            </w:r>
          </w:p>
        </w:tc>
      </w:tr>
      <w:tr w:rsidR="00950F5A">
        <w:tc>
          <w:tcPr>
            <w:tcW w:w="817" w:type="dxa"/>
            <w:vAlign w:val="center"/>
          </w:tcPr>
          <w:p w:rsidR="00950F5A" w:rsidRDefault="002764BE">
            <w:pPr>
              <w:jc w:val="center"/>
            </w:pPr>
            <w:r>
              <w:rPr>
                <w:rFonts w:eastAsiaTheme="minorEastAsia"/>
                <w:kern w:val="0"/>
                <w:szCs w:val="21"/>
              </w:rPr>
              <w:t>10</w:t>
            </w:r>
          </w:p>
        </w:tc>
        <w:tc>
          <w:tcPr>
            <w:tcW w:w="1276" w:type="dxa"/>
            <w:vAlign w:val="center"/>
          </w:tcPr>
          <w:p w:rsidR="00950F5A" w:rsidRDefault="002764BE">
            <w:pPr>
              <w:jc w:val="center"/>
            </w:pPr>
            <w:r>
              <w:rPr>
                <w:rFonts w:eastAsiaTheme="minorEastAsia"/>
                <w:kern w:val="0"/>
                <w:szCs w:val="21"/>
              </w:rPr>
              <w:t>002517</w:t>
            </w:r>
          </w:p>
        </w:tc>
        <w:tc>
          <w:tcPr>
            <w:tcW w:w="1701" w:type="dxa"/>
            <w:vAlign w:val="center"/>
          </w:tcPr>
          <w:p w:rsidR="00950F5A" w:rsidRDefault="002764BE">
            <w:pPr>
              <w:jc w:val="center"/>
            </w:pPr>
            <w:r>
              <w:rPr>
                <w:rFonts w:eastAsiaTheme="minorEastAsia"/>
                <w:kern w:val="0"/>
                <w:szCs w:val="21"/>
              </w:rPr>
              <w:t>恺英网络</w:t>
            </w:r>
          </w:p>
        </w:tc>
        <w:tc>
          <w:tcPr>
            <w:tcW w:w="1276" w:type="dxa"/>
            <w:vAlign w:val="center"/>
          </w:tcPr>
          <w:p w:rsidR="00950F5A" w:rsidRDefault="002764BE">
            <w:pPr>
              <w:jc w:val="right"/>
            </w:pPr>
            <w:r>
              <w:rPr>
                <w:rFonts w:eastAsiaTheme="minorEastAsia"/>
                <w:kern w:val="0"/>
                <w:szCs w:val="21"/>
              </w:rPr>
              <w:t>159,380.00</w:t>
            </w:r>
          </w:p>
        </w:tc>
        <w:tc>
          <w:tcPr>
            <w:tcW w:w="1842" w:type="dxa"/>
            <w:vAlign w:val="center"/>
          </w:tcPr>
          <w:p w:rsidR="00950F5A" w:rsidRDefault="002764BE">
            <w:pPr>
              <w:jc w:val="right"/>
            </w:pPr>
            <w:r>
              <w:rPr>
                <w:rFonts w:eastAsiaTheme="minorEastAsia"/>
                <w:kern w:val="0"/>
                <w:szCs w:val="21"/>
              </w:rPr>
              <w:t>1,756,367.60</w:t>
            </w:r>
          </w:p>
        </w:tc>
        <w:tc>
          <w:tcPr>
            <w:tcW w:w="1616" w:type="dxa"/>
            <w:vAlign w:val="center"/>
          </w:tcPr>
          <w:p w:rsidR="00950F5A" w:rsidRDefault="002764BE">
            <w:pPr>
              <w:jc w:val="right"/>
            </w:pPr>
            <w:r>
              <w:rPr>
                <w:rFonts w:eastAsiaTheme="minorEastAsia"/>
                <w:kern w:val="0"/>
                <w:szCs w:val="21"/>
              </w:rPr>
              <w:t>2.67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19,862.45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265,485.78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2,363.60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287,711.83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64,594,548.38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35,504.95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653,742.53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64,269.98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3,202,654.64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12,711.63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62,045,636.27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87,063.30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《摩根创新商业模式灵活配置混合型证券投资基金基金合同》；</w:t>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《摩根创新商业模式灵活配置混合型证券投资基金托管协议》；</w:t>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950F5A" w:rsidRDefault="002764BE">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B34C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B34CC">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B34CC">
      <w:rPr>
        <w:rStyle w:val="af6"/>
        <w:noProof/>
      </w:rPr>
      <w:t>11</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摩根创新商业模式灵活配置混合型证券投资基金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764BE"/>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0F5A"/>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34CC"/>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80C90-BEDD-4202-B265-2808CF2A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27</TotalTime>
  <Pages>15</Pages>
  <Words>1336</Words>
  <Characters>7621</Characters>
  <Application>Microsoft Office Word</Application>
  <DocSecurity>0</DocSecurity>
  <Lines>63</Lines>
  <Paragraphs>17</Paragraphs>
  <ScaleCrop>false</ScaleCrop>
  <Company>TRT. Ltd. Co.</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221</cp:revision>
  <cp:lastPrinted>2007-07-19T00:46:00Z</cp:lastPrinted>
  <dcterms:created xsi:type="dcterms:W3CDTF">2013-06-21T06:56:00Z</dcterms:created>
  <dcterms:modified xsi:type="dcterms:W3CDTF">2024-04-19T02:43:00Z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