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3B6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AA89F4F"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1F458B8"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5FC351B"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78E116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03D3BB5"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摩根量化多因子灵活配置混合型证券投资基金</w:t>
      </w:r>
    </w:p>
    <w:p w14:paraId="7828728E"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14:paraId="42BFAFB1"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14:paraId="4EC3E7C0" w14:textId="77777777" w:rsidR="00D06738" w:rsidRPr="00FF6B9A" w:rsidRDefault="00D06738">
      <w:pPr>
        <w:spacing w:line="360" w:lineRule="auto"/>
        <w:jc w:val="center"/>
        <w:rPr>
          <w:rFonts w:eastAsiaTheme="minorEastAsia"/>
          <w:b/>
          <w:bCs/>
          <w:color w:val="000000" w:themeColor="text1"/>
          <w:sz w:val="24"/>
          <w:szCs w:val="24"/>
        </w:rPr>
      </w:pPr>
    </w:p>
    <w:p w14:paraId="4C9E9168" w14:textId="77777777" w:rsidR="00D06738" w:rsidRPr="00FF6B9A" w:rsidRDefault="00D06738">
      <w:pPr>
        <w:spacing w:line="360" w:lineRule="auto"/>
        <w:jc w:val="center"/>
        <w:rPr>
          <w:rFonts w:eastAsiaTheme="minorEastAsia"/>
          <w:b/>
          <w:bCs/>
          <w:color w:val="000000" w:themeColor="text1"/>
          <w:sz w:val="24"/>
          <w:szCs w:val="24"/>
        </w:rPr>
      </w:pPr>
    </w:p>
    <w:p w14:paraId="7A3D28C1" w14:textId="77777777" w:rsidR="00D06738" w:rsidRPr="00FF6B9A" w:rsidRDefault="00D06738">
      <w:pPr>
        <w:spacing w:line="360" w:lineRule="auto"/>
        <w:jc w:val="center"/>
        <w:rPr>
          <w:rFonts w:eastAsiaTheme="minorEastAsia"/>
          <w:b/>
          <w:bCs/>
          <w:color w:val="000000" w:themeColor="text1"/>
          <w:sz w:val="24"/>
          <w:szCs w:val="24"/>
        </w:rPr>
      </w:pPr>
    </w:p>
    <w:p w14:paraId="17517C7C" w14:textId="77777777" w:rsidR="00D06738" w:rsidRPr="00FF6B9A" w:rsidRDefault="00D06738">
      <w:pPr>
        <w:spacing w:line="360" w:lineRule="auto"/>
        <w:jc w:val="center"/>
        <w:rPr>
          <w:rFonts w:eastAsiaTheme="minorEastAsia"/>
          <w:b/>
          <w:bCs/>
          <w:color w:val="000000" w:themeColor="text1"/>
          <w:sz w:val="24"/>
          <w:szCs w:val="24"/>
        </w:rPr>
      </w:pPr>
    </w:p>
    <w:p w14:paraId="2C216B01" w14:textId="77777777" w:rsidR="00D06738" w:rsidRPr="00FF6B9A" w:rsidRDefault="00D06738">
      <w:pPr>
        <w:spacing w:line="360" w:lineRule="auto"/>
        <w:jc w:val="center"/>
        <w:rPr>
          <w:rFonts w:eastAsiaTheme="minorEastAsia"/>
          <w:b/>
          <w:bCs/>
          <w:color w:val="000000" w:themeColor="text1"/>
          <w:sz w:val="24"/>
          <w:szCs w:val="24"/>
        </w:rPr>
      </w:pPr>
    </w:p>
    <w:p w14:paraId="1912C38E" w14:textId="77777777" w:rsidR="00D06738" w:rsidRPr="00FF6B9A" w:rsidRDefault="00D06738">
      <w:pPr>
        <w:spacing w:line="360" w:lineRule="auto"/>
        <w:jc w:val="center"/>
        <w:rPr>
          <w:rFonts w:eastAsiaTheme="minorEastAsia"/>
          <w:b/>
          <w:bCs/>
          <w:color w:val="000000" w:themeColor="text1"/>
          <w:sz w:val="24"/>
          <w:szCs w:val="24"/>
        </w:rPr>
      </w:pPr>
    </w:p>
    <w:p w14:paraId="7FE4EF48" w14:textId="77777777" w:rsidR="00D06738" w:rsidRPr="00FF6B9A" w:rsidRDefault="00D06738">
      <w:pPr>
        <w:spacing w:line="360" w:lineRule="auto"/>
        <w:jc w:val="center"/>
        <w:rPr>
          <w:rFonts w:eastAsiaTheme="minorEastAsia"/>
          <w:b/>
          <w:bCs/>
          <w:color w:val="000000" w:themeColor="text1"/>
          <w:sz w:val="24"/>
          <w:szCs w:val="24"/>
        </w:rPr>
      </w:pPr>
    </w:p>
    <w:p w14:paraId="0CBC8F0D" w14:textId="77777777" w:rsidR="00D06738" w:rsidRPr="00FF6B9A" w:rsidRDefault="00D06738">
      <w:pPr>
        <w:spacing w:line="360" w:lineRule="auto"/>
        <w:jc w:val="center"/>
        <w:rPr>
          <w:rFonts w:eastAsiaTheme="minorEastAsia"/>
          <w:b/>
          <w:bCs/>
          <w:color w:val="000000" w:themeColor="text1"/>
          <w:sz w:val="24"/>
          <w:szCs w:val="24"/>
        </w:rPr>
      </w:pPr>
    </w:p>
    <w:p w14:paraId="38C89CCC" w14:textId="77777777" w:rsidR="00D06738" w:rsidRPr="00FF6B9A" w:rsidRDefault="00D06738">
      <w:pPr>
        <w:spacing w:line="360" w:lineRule="auto"/>
        <w:jc w:val="center"/>
        <w:rPr>
          <w:rFonts w:eastAsiaTheme="minorEastAsia"/>
          <w:b/>
          <w:bCs/>
          <w:color w:val="000000" w:themeColor="text1"/>
          <w:sz w:val="24"/>
          <w:szCs w:val="24"/>
        </w:rPr>
      </w:pPr>
    </w:p>
    <w:p w14:paraId="033404FF" w14:textId="77777777" w:rsidR="00D06738" w:rsidRPr="00FF6B9A" w:rsidRDefault="00D06738">
      <w:pPr>
        <w:spacing w:line="360" w:lineRule="auto"/>
        <w:jc w:val="center"/>
        <w:rPr>
          <w:rFonts w:eastAsiaTheme="minorEastAsia"/>
          <w:b/>
          <w:bCs/>
          <w:color w:val="000000" w:themeColor="text1"/>
          <w:sz w:val="24"/>
          <w:szCs w:val="24"/>
        </w:rPr>
      </w:pPr>
    </w:p>
    <w:p w14:paraId="7DB057AA" w14:textId="77777777" w:rsidR="00D06738" w:rsidRPr="00FF6B9A" w:rsidRDefault="00D06738">
      <w:pPr>
        <w:spacing w:line="360" w:lineRule="auto"/>
        <w:jc w:val="center"/>
        <w:rPr>
          <w:rFonts w:eastAsiaTheme="minorEastAsia"/>
          <w:b/>
          <w:bCs/>
          <w:color w:val="000000" w:themeColor="text1"/>
          <w:sz w:val="24"/>
          <w:szCs w:val="24"/>
        </w:rPr>
      </w:pPr>
    </w:p>
    <w:p w14:paraId="71201B54" w14:textId="77777777" w:rsidR="00D06738" w:rsidRPr="00FF6B9A" w:rsidRDefault="00D06738">
      <w:pPr>
        <w:spacing w:line="360" w:lineRule="auto"/>
        <w:jc w:val="center"/>
        <w:rPr>
          <w:rFonts w:eastAsiaTheme="minorEastAsia"/>
          <w:b/>
          <w:bCs/>
          <w:color w:val="000000" w:themeColor="text1"/>
          <w:sz w:val="24"/>
          <w:szCs w:val="24"/>
        </w:rPr>
      </w:pPr>
    </w:p>
    <w:p w14:paraId="77C55F1F" w14:textId="77777777" w:rsidR="00D06738" w:rsidRPr="00FF6B9A" w:rsidRDefault="00D06738">
      <w:pPr>
        <w:spacing w:line="360" w:lineRule="auto"/>
        <w:jc w:val="center"/>
        <w:rPr>
          <w:rFonts w:eastAsiaTheme="minorEastAsia"/>
          <w:b/>
          <w:bCs/>
          <w:color w:val="000000" w:themeColor="text1"/>
          <w:sz w:val="24"/>
          <w:szCs w:val="24"/>
        </w:rPr>
      </w:pPr>
    </w:p>
    <w:p w14:paraId="69DF20F8" w14:textId="77777777" w:rsidR="00D06738" w:rsidRPr="00FF6B9A" w:rsidRDefault="00D06738">
      <w:pPr>
        <w:spacing w:line="360" w:lineRule="auto"/>
        <w:rPr>
          <w:rFonts w:eastAsiaTheme="minorEastAsia"/>
          <w:b/>
          <w:bCs/>
          <w:color w:val="000000" w:themeColor="text1"/>
          <w:sz w:val="24"/>
          <w:szCs w:val="24"/>
        </w:rPr>
      </w:pPr>
    </w:p>
    <w:p w14:paraId="3000BBE9"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2735B01D"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基金托管人：中国工商银行股份有限公司</w:t>
      </w:r>
    </w:p>
    <w:p w14:paraId="51B2138A"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报告送出日期：二〇二五年一月二十二日</w:t>
      </w:r>
    </w:p>
    <w:p w14:paraId="37A46827"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393C83E6"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619CDF53"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基金托管人中国工商银行股份有限公司根据本基金合同规定，于</w:t>
      </w:r>
      <w:r>
        <w:rPr>
          <w:rFonts w:eastAsiaTheme="minorEastAsia"/>
          <w:color w:val="000000" w:themeColor="text1"/>
        </w:rPr>
        <w:t>2025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21</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5A306C03"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0EAC8868"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14:paraId="0BF9C50B"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0808E083"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14:paraId="5799A6D4"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38028668" w14:textId="77777777">
        <w:tc>
          <w:tcPr>
            <w:tcW w:w="2835" w:type="dxa"/>
            <w:vAlign w:val="center"/>
          </w:tcPr>
          <w:p w14:paraId="3CA1F76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2C9DACF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摩根量化多因子混合</w:t>
            </w:r>
          </w:p>
        </w:tc>
      </w:tr>
      <w:tr w:rsidR="00D06738" w:rsidRPr="00FF6B9A" w14:paraId="6161E98F" w14:textId="77777777">
        <w:tc>
          <w:tcPr>
            <w:tcW w:w="2835" w:type="dxa"/>
            <w:tcBorders>
              <w:top w:val="single" w:sz="4" w:space="0" w:color="auto"/>
              <w:left w:val="single" w:sz="4" w:space="0" w:color="auto"/>
              <w:bottom w:val="single" w:sz="4" w:space="0" w:color="auto"/>
              <w:right w:val="single" w:sz="4" w:space="0" w:color="auto"/>
            </w:tcBorders>
            <w:vAlign w:val="center"/>
          </w:tcPr>
          <w:p w14:paraId="53EB207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7E49698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14:paraId="664D7D8A" w14:textId="77777777">
        <w:tc>
          <w:tcPr>
            <w:tcW w:w="2835" w:type="dxa"/>
            <w:tcBorders>
              <w:top w:val="single" w:sz="4" w:space="0" w:color="auto"/>
              <w:left w:val="single" w:sz="4" w:space="0" w:color="auto"/>
              <w:bottom w:val="single" w:sz="4" w:space="0" w:color="auto"/>
              <w:right w:val="single" w:sz="4" w:space="0" w:color="auto"/>
            </w:tcBorders>
            <w:vAlign w:val="center"/>
          </w:tcPr>
          <w:p w14:paraId="0449EF7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23754E6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005120</w:t>
            </w:r>
          </w:p>
        </w:tc>
      </w:tr>
      <w:tr w:rsidR="00D06738" w:rsidRPr="00FF6B9A" w14:paraId="095DECA6" w14:textId="77777777">
        <w:tc>
          <w:tcPr>
            <w:tcW w:w="2835" w:type="dxa"/>
            <w:vAlign w:val="center"/>
          </w:tcPr>
          <w:p w14:paraId="45D5F2D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3BD22EE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359D7030" w14:textId="77777777">
        <w:tc>
          <w:tcPr>
            <w:tcW w:w="2835" w:type="dxa"/>
            <w:vAlign w:val="center"/>
          </w:tcPr>
          <w:p w14:paraId="734C4D8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5147413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2018</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19</w:t>
            </w:r>
            <w:r w:rsidRPr="00FF6B9A">
              <w:rPr>
                <w:rFonts w:eastAsiaTheme="minorEastAsia"/>
                <w:color w:val="000000" w:themeColor="text1"/>
                <w:kern w:val="0"/>
              </w:rPr>
              <w:t>日</w:t>
            </w:r>
          </w:p>
        </w:tc>
      </w:tr>
      <w:tr w:rsidR="00D06738" w:rsidRPr="00FF6B9A" w14:paraId="2B8CDA0B" w14:textId="77777777">
        <w:tc>
          <w:tcPr>
            <w:tcW w:w="2835" w:type="dxa"/>
            <w:vAlign w:val="center"/>
          </w:tcPr>
          <w:p w14:paraId="73E5A46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4BE1ABE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13,526,361.49</w:t>
            </w:r>
            <w:r w:rsidRPr="00FF6B9A">
              <w:rPr>
                <w:rFonts w:eastAsiaTheme="minorEastAsia"/>
                <w:color w:val="000000" w:themeColor="text1"/>
                <w:kern w:val="0"/>
              </w:rPr>
              <w:t>份</w:t>
            </w:r>
          </w:p>
        </w:tc>
      </w:tr>
      <w:tr w:rsidR="00D06738" w:rsidRPr="00FF6B9A" w14:paraId="714B1379" w14:textId="77777777">
        <w:tc>
          <w:tcPr>
            <w:tcW w:w="2835" w:type="dxa"/>
            <w:vAlign w:val="center"/>
          </w:tcPr>
          <w:p w14:paraId="5595AE0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6A41970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采用量化投资对基金资产进行积极管理，力争获取超越业绩基准的投资收益。</w:t>
            </w:r>
          </w:p>
        </w:tc>
      </w:tr>
      <w:tr w:rsidR="00D06738" w:rsidRPr="00FF6B9A" w14:paraId="4EFC04EB" w14:textId="77777777">
        <w:tc>
          <w:tcPr>
            <w:tcW w:w="2835" w:type="dxa"/>
            <w:vAlign w:val="center"/>
          </w:tcPr>
          <w:p w14:paraId="6836EA7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1DCCB0AB"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本基金采用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进行个股选择，并结合适当的资产配置策略搭建基金投资组合。</w:t>
            </w:r>
          </w:p>
          <w:p w14:paraId="50A24BC3"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资产配置方面，本基金通过对宏观经济、国家政策、资金面和市场情绪等影响证券市场的等因素进行深入分析，确定基金资产在股票、债券及现金等类别资产间的分配比例，并动态优化投资组合。</w:t>
            </w:r>
          </w:p>
          <w:p w14:paraId="7D416827"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在股票投资过程中，本基金将运用</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选股构建股票投资组合的投资策略，对基金资产进行积极管理，力争获取超越业绩基准的投资收益。</w:t>
            </w:r>
          </w:p>
          <w:p w14:paraId="5145AB16"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78C13BD6"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28218092"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284E3662"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本基金通过基金管理人量化投资团队开发的</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进行股票选择并据此构建股票投资组合。</w:t>
            </w: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在实际运行过程中将进行定期动态调整，力争股票配置最优化，以期持续超越业绩比较基准收益率的投资目标。</w:t>
            </w:r>
          </w:p>
          <w:p w14:paraId="5B89232B"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量化多因子模型</w:t>
            </w:r>
            <w:r>
              <w:rPr>
                <w:rFonts w:eastAsiaTheme="minorEastAsia"/>
                <w:color w:val="000000" w:themeColor="text1"/>
                <w:kern w:val="0"/>
              </w:rPr>
              <w:t>”</w:t>
            </w:r>
            <w:r>
              <w:rPr>
                <w:rFonts w:eastAsiaTheme="minorEastAsia"/>
                <w:color w:val="000000" w:themeColor="text1"/>
                <w:kern w:val="0"/>
              </w:rPr>
              <w:t>是基于因子动量的可持续性的逻辑，由本基金管理人量化投资团队开发的更具针对性和实用性的数量化选股模型。通过筛选因子、因子打分、因子动态调整等步骤建立选股模型。通过各个因子的权重对所有个股进行打分，构建在当前市场环境下得分较高的股票组合。并根据市场运行情况，定期更新因子，对备选股票进行重新打分和排序，进行组合调整。</w:t>
            </w:r>
          </w:p>
          <w:p w14:paraId="37171318"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、债券投资策略</w:t>
            </w:r>
          </w:p>
          <w:p w14:paraId="0B445DD5"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58D06D4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w:t>
            </w:r>
            <w:r w:rsidRPr="00FF6B9A">
              <w:rPr>
                <w:rFonts w:eastAsiaTheme="minorEastAsia"/>
                <w:color w:val="000000" w:themeColor="text1"/>
                <w:kern w:val="0"/>
              </w:rPr>
              <w:t>、其他投资策略：包括存托凭证投资策略、股指期货投资策略、资产支持证券投资策略、股票期权投资策略等。</w:t>
            </w:r>
          </w:p>
        </w:tc>
      </w:tr>
      <w:tr w:rsidR="00D06738" w:rsidRPr="00FF6B9A" w14:paraId="4A5EC80F" w14:textId="77777777">
        <w:tc>
          <w:tcPr>
            <w:tcW w:w="2835" w:type="dxa"/>
            <w:vAlign w:val="center"/>
          </w:tcPr>
          <w:p w14:paraId="35558EF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14:paraId="2E59E97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500</w:t>
            </w:r>
            <w:r w:rsidRPr="00FF6B9A">
              <w:rPr>
                <w:rFonts w:eastAsiaTheme="minorEastAsia"/>
                <w:color w:val="000000" w:themeColor="text1"/>
                <w:kern w:val="0"/>
              </w:rPr>
              <w:t>指数收益率</w:t>
            </w:r>
            <w:r w:rsidRPr="00FF6B9A">
              <w:rPr>
                <w:rFonts w:eastAsiaTheme="minorEastAsia"/>
                <w:color w:val="000000" w:themeColor="text1"/>
                <w:kern w:val="0"/>
              </w:rPr>
              <w:t>×95%+</w:t>
            </w:r>
            <w:r w:rsidRPr="00FF6B9A">
              <w:rPr>
                <w:rFonts w:eastAsiaTheme="minorEastAsia"/>
                <w:color w:val="000000" w:themeColor="text1"/>
                <w:kern w:val="0"/>
              </w:rPr>
              <w:t>银行活期存款利率</w:t>
            </w:r>
            <w:r w:rsidRPr="00FF6B9A">
              <w:rPr>
                <w:rFonts w:eastAsiaTheme="minorEastAsia"/>
                <w:color w:val="000000" w:themeColor="text1"/>
                <w:kern w:val="0"/>
              </w:rPr>
              <w:t>(</w:t>
            </w:r>
            <w:r w:rsidRPr="00FF6B9A">
              <w:rPr>
                <w:rFonts w:eastAsiaTheme="minorEastAsia"/>
                <w:color w:val="000000" w:themeColor="text1"/>
                <w:kern w:val="0"/>
              </w:rPr>
              <w:t>税后</w:t>
            </w:r>
            <w:r w:rsidRPr="00FF6B9A">
              <w:rPr>
                <w:rFonts w:eastAsiaTheme="minorEastAsia"/>
                <w:color w:val="000000" w:themeColor="text1"/>
                <w:kern w:val="0"/>
              </w:rPr>
              <w:t>)×5%</w:t>
            </w:r>
          </w:p>
        </w:tc>
      </w:tr>
      <w:tr w:rsidR="00D06738" w:rsidRPr="00FF6B9A" w14:paraId="1B007E9A" w14:textId="77777777">
        <w:tc>
          <w:tcPr>
            <w:tcW w:w="2835" w:type="dxa"/>
            <w:vAlign w:val="center"/>
          </w:tcPr>
          <w:p w14:paraId="312DC00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432C27C1" w14:textId="77777777" w:rsidR="00A67AE0" w:rsidRDefault="00A979E8">
            <w:pPr>
              <w:adjustRightInd w:val="0"/>
              <w:spacing w:before="29" w:line="360" w:lineRule="auto"/>
              <w:ind w:left="17"/>
              <w:rPr>
                <w:rFonts w:eastAsiaTheme="minorEastAsia"/>
                <w:color w:val="000000" w:themeColor="text1"/>
              </w:rPr>
            </w:pPr>
            <w:r>
              <w:rPr>
                <w:rFonts w:eastAsiaTheme="minorEastAsia"/>
                <w:color w:val="000000" w:themeColor="text1"/>
                <w:kern w:val="0"/>
              </w:rPr>
              <w:t>本基金属于混合型基金产品，预期风险和收益水平高于债券型基金和货币市场基金，低于股票型基金，属于较高风险收益水平的基金产品。</w:t>
            </w:r>
          </w:p>
          <w:p w14:paraId="0FFDE9D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14:paraId="5D6845EB" w14:textId="77777777">
        <w:tc>
          <w:tcPr>
            <w:tcW w:w="2835" w:type="dxa"/>
            <w:vAlign w:val="center"/>
          </w:tcPr>
          <w:p w14:paraId="7D0594D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5A2BCD1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3D9B61EE" w14:textId="77777777">
        <w:tc>
          <w:tcPr>
            <w:tcW w:w="2835" w:type="dxa"/>
            <w:vAlign w:val="center"/>
          </w:tcPr>
          <w:p w14:paraId="044F42A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6FBCEB4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中国工商银行股份有限公司</w:t>
            </w:r>
          </w:p>
        </w:tc>
      </w:tr>
    </w:tbl>
    <w:p w14:paraId="0D08BE9B"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2384FD4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3FF6474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AC453E" w:rsidRPr="00FF6B9A" w14:paraId="08D27335" w14:textId="77777777" w:rsidTr="00AC453E">
        <w:tc>
          <w:tcPr>
            <w:tcW w:w="3402" w:type="dxa"/>
            <w:vAlign w:val="center"/>
          </w:tcPr>
          <w:p w14:paraId="6618E2CD"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63C1D047"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1D600CA9"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AC453E" w:rsidRPr="00FF6B9A" w14:paraId="2050AE29" w14:textId="77777777" w:rsidTr="00AC453E">
        <w:tc>
          <w:tcPr>
            <w:tcW w:w="3402" w:type="dxa"/>
            <w:vAlign w:val="center"/>
          </w:tcPr>
          <w:p w14:paraId="0C9A7A7E"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1D59FD21"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1,936,578.79</w:t>
            </w:r>
          </w:p>
        </w:tc>
      </w:tr>
      <w:tr w:rsidR="00AC453E" w:rsidRPr="00FF6B9A" w14:paraId="5A3A81B1" w14:textId="77777777" w:rsidTr="00AC453E">
        <w:tc>
          <w:tcPr>
            <w:tcW w:w="3402" w:type="dxa"/>
            <w:vAlign w:val="center"/>
          </w:tcPr>
          <w:p w14:paraId="5236263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02643B1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-307,766.54</w:t>
            </w:r>
          </w:p>
        </w:tc>
      </w:tr>
      <w:tr w:rsidR="00AC453E" w:rsidRPr="00FF6B9A" w14:paraId="02009B81" w14:textId="77777777" w:rsidTr="00AC453E">
        <w:tc>
          <w:tcPr>
            <w:tcW w:w="3402" w:type="dxa"/>
            <w:vAlign w:val="center"/>
          </w:tcPr>
          <w:p w14:paraId="118E5BF1"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1D69E19A"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-0.0221</w:t>
            </w:r>
          </w:p>
        </w:tc>
      </w:tr>
      <w:tr w:rsidR="00AC453E" w:rsidRPr="00FF6B9A" w14:paraId="7478C729" w14:textId="77777777" w:rsidTr="00AC453E">
        <w:tc>
          <w:tcPr>
            <w:tcW w:w="3402" w:type="dxa"/>
            <w:vAlign w:val="center"/>
          </w:tcPr>
          <w:p w14:paraId="6C5A4D1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5F4BA7FF"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16,076,438.49</w:t>
            </w:r>
          </w:p>
        </w:tc>
      </w:tr>
      <w:tr w:rsidR="00AC453E" w:rsidRPr="00FF6B9A" w14:paraId="2F14D45B" w14:textId="77777777" w:rsidTr="00AC453E">
        <w:trPr>
          <w:trHeight w:val="158"/>
        </w:trPr>
        <w:tc>
          <w:tcPr>
            <w:tcW w:w="3402" w:type="dxa"/>
            <w:vAlign w:val="center"/>
          </w:tcPr>
          <w:p w14:paraId="587D74D1"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5FF758C1"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1.1885</w:t>
            </w:r>
          </w:p>
        </w:tc>
      </w:tr>
    </w:tbl>
    <w:p w14:paraId="4D2384A5" w14:textId="77777777" w:rsidR="00A67AE0" w:rsidRDefault="00A979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66A482C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50393DF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F0C1A3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4E5724E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068E49DA" w14:textId="77777777">
        <w:tc>
          <w:tcPr>
            <w:tcW w:w="1395" w:type="dxa"/>
            <w:vAlign w:val="center"/>
          </w:tcPr>
          <w:p w14:paraId="0030434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5691066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14B0806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14:paraId="523BD55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14:paraId="5C74ABEB"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14:paraId="02F4487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708DAF6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A67AE0" w14:paraId="3767585E" w14:textId="77777777">
        <w:tc>
          <w:tcPr>
            <w:tcW w:w="1395" w:type="dxa"/>
            <w:vAlign w:val="center"/>
          </w:tcPr>
          <w:p w14:paraId="1BB3F55B" w14:textId="77777777" w:rsidR="00A67AE0" w:rsidRDefault="00A979E8">
            <w:pPr>
              <w:jc w:val="left"/>
            </w:pPr>
            <w:r>
              <w:rPr>
                <w:rFonts w:eastAsiaTheme="minorEastAsia"/>
                <w:color w:val="000000" w:themeColor="text1"/>
                <w:kern w:val="0"/>
              </w:rPr>
              <w:t>过去三个月</w:t>
            </w:r>
          </w:p>
        </w:tc>
        <w:tc>
          <w:tcPr>
            <w:tcW w:w="1092" w:type="dxa"/>
            <w:vAlign w:val="center"/>
          </w:tcPr>
          <w:p w14:paraId="61D870A2" w14:textId="77777777" w:rsidR="00A67AE0" w:rsidRDefault="00A979E8">
            <w:pPr>
              <w:jc w:val="center"/>
            </w:pPr>
            <w:r>
              <w:rPr>
                <w:rFonts w:eastAsiaTheme="minorEastAsia"/>
                <w:color w:val="000000" w:themeColor="text1"/>
                <w:kern w:val="0"/>
              </w:rPr>
              <w:t>-2.08%</w:t>
            </w:r>
          </w:p>
        </w:tc>
        <w:tc>
          <w:tcPr>
            <w:tcW w:w="1161" w:type="dxa"/>
            <w:vAlign w:val="center"/>
          </w:tcPr>
          <w:p w14:paraId="4765E91E" w14:textId="77777777" w:rsidR="00A67AE0" w:rsidRDefault="00A979E8">
            <w:pPr>
              <w:jc w:val="center"/>
            </w:pPr>
            <w:r>
              <w:rPr>
                <w:rFonts w:eastAsiaTheme="minorEastAsia"/>
                <w:color w:val="000000" w:themeColor="text1"/>
                <w:kern w:val="0"/>
              </w:rPr>
              <w:t>1.85%</w:t>
            </w:r>
          </w:p>
        </w:tc>
        <w:tc>
          <w:tcPr>
            <w:tcW w:w="1181" w:type="dxa"/>
            <w:vAlign w:val="center"/>
          </w:tcPr>
          <w:p w14:paraId="2BACFDD0" w14:textId="77777777" w:rsidR="00A67AE0" w:rsidRDefault="00A979E8">
            <w:pPr>
              <w:jc w:val="center"/>
            </w:pPr>
            <w:r>
              <w:rPr>
                <w:rFonts w:eastAsiaTheme="minorEastAsia"/>
                <w:color w:val="000000" w:themeColor="text1"/>
                <w:kern w:val="0"/>
              </w:rPr>
              <w:t>-0.28%</w:t>
            </w:r>
          </w:p>
        </w:tc>
        <w:tc>
          <w:tcPr>
            <w:tcW w:w="1188" w:type="dxa"/>
            <w:vAlign w:val="center"/>
          </w:tcPr>
          <w:p w14:paraId="2691ED34" w14:textId="77777777" w:rsidR="00A67AE0" w:rsidRDefault="00A979E8">
            <w:pPr>
              <w:jc w:val="center"/>
            </w:pPr>
            <w:r>
              <w:rPr>
                <w:rFonts w:eastAsiaTheme="minorEastAsia"/>
                <w:color w:val="000000" w:themeColor="text1"/>
                <w:kern w:val="0"/>
              </w:rPr>
              <w:t>1.93%</w:t>
            </w:r>
          </w:p>
        </w:tc>
        <w:tc>
          <w:tcPr>
            <w:tcW w:w="1199" w:type="dxa"/>
            <w:vAlign w:val="center"/>
          </w:tcPr>
          <w:p w14:paraId="4745B929" w14:textId="77777777" w:rsidR="00A67AE0" w:rsidRDefault="00A979E8">
            <w:pPr>
              <w:jc w:val="center"/>
            </w:pPr>
            <w:r>
              <w:rPr>
                <w:rFonts w:eastAsiaTheme="minorEastAsia"/>
                <w:color w:val="000000" w:themeColor="text1"/>
                <w:kern w:val="0"/>
              </w:rPr>
              <w:t>-1.80%</w:t>
            </w:r>
          </w:p>
        </w:tc>
        <w:tc>
          <w:tcPr>
            <w:tcW w:w="1204" w:type="dxa"/>
            <w:vAlign w:val="center"/>
          </w:tcPr>
          <w:p w14:paraId="58DD287E" w14:textId="77777777" w:rsidR="00A67AE0" w:rsidRDefault="00A979E8">
            <w:pPr>
              <w:jc w:val="center"/>
            </w:pPr>
            <w:r>
              <w:rPr>
                <w:rFonts w:eastAsiaTheme="minorEastAsia"/>
                <w:color w:val="000000" w:themeColor="text1"/>
                <w:kern w:val="0"/>
              </w:rPr>
              <w:t>-0.08%</w:t>
            </w:r>
          </w:p>
        </w:tc>
      </w:tr>
      <w:tr w:rsidR="00A67AE0" w14:paraId="48226829" w14:textId="77777777">
        <w:tc>
          <w:tcPr>
            <w:tcW w:w="1395" w:type="dxa"/>
            <w:vAlign w:val="center"/>
          </w:tcPr>
          <w:p w14:paraId="12B5EBE3" w14:textId="77777777" w:rsidR="00A67AE0" w:rsidRDefault="00A979E8">
            <w:pPr>
              <w:jc w:val="left"/>
            </w:pPr>
            <w:r>
              <w:rPr>
                <w:rFonts w:eastAsiaTheme="minorEastAsia"/>
                <w:color w:val="000000" w:themeColor="text1"/>
                <w:kern w:val="0"/>
              </w:rPr>
              <w:t>过去六个月</w:t>
            </w:r>
          </w:p>
        </w:tc>
        <w:tc>
          <w:tcPr>
            <w:tcW w:w="1092" w:type="dxa"/>
            <w:vAlign w:val="center"/>
          </w:tcPr>
          <w:p w14:paraId="68271FDB" w14:textId="77777777" w:rsidR="00A67AE0" w:rsidRDefault="00A979E8">
            <w:pPr>
              <w:jc w:val="center"/>
            </w:pPr>
            <w:r>
              <w:rPr>
                <w:rFonts w:eastAsiaTheme="minorEastAsia"/>
                <w:color w:val="000000" w:themeColor="text1"/>
                <w:kern w:val="0"/>
              </w:rPr>
              <w:t>14.50%</w:t>
            </w:r>
          </w:p>
        </w:tc>
        <w:tc>
          <w:tcPr>
            <w:tcW w:w="1161" w:type="dxa"/>
            <w:vAlign w:val="center"/>
          </w:tcPr>
          <w:p w14:paraId="3FFDFDD5" w14:textId="77777777" w:rsidR="00A67AE0" w:rsidRDefault="00A979E8">
            <w:pPr>
              <w:jc w:val="center"/>
            </w:pPr>
            <w:r>
              <w:rPr>
                <w:rFonts w:eastAsiaTheme="minorEastAsia"/>
                <w:color w:val="000000" w:themeColor="text1"/>
                <w:kern w:val="0"/>
              </w:rPr>
              <w:t>1.81%</w:t>
            </w:r>
          </w:p>
        </w:tc>
        <w:tc>
          <w:tcPr>
            <w:tcW w:w="1181" w:type="dxa"/>
            <w:vAlign w:val="center"/>
          </w:tcPr>
          <w:p w14:paraId="0DFFB617" w14:textId="77777777" w:rsidR="00A67AE0" w:rsidRDefault="00A979E8">
            <w:pPr>
              <w:jc w:val="center"/>
            </w:pPr>
            <w:r>
              <w:rPr>
                <w:rFonts w:eastAsiaTheme="minorEastAsia"/>
                <w:color w:val="000000" w:themeColor="text1"/>
                <w:kern w:val="0"/>
              </w:rPr>
              <w:t>15.06%</w:t>
            </w:r>
          </w:p>
        </w:tc>
        <w:tc>
          <w:tcPr>
            <w:tcW w:w="1188" w:type="dxa"/>
            <w:vAlign w:val="center"/>
          </w:tcPr>
          <w:p w14:paraId="25F93E70" w14:textId="77777777" w:rsidR="00A67AE0" w:rsidRDefault="00A979E8">
            <w:pPr>
              <w:jc w:val="center"/>
            </w:pPr>
            <w:r>
              <w:rPr>
                <w:rFonts w:eastAsiaTheme="minorEastAsia"/>
                <w:color w:val="000000" w:themeColor="text1"/>
                <w:kern w:val="0"/>
              </w:rPr>
              <w:t>1.91%</w:t>
            </w:r>
          </w:p>
        </w:tc>
        <w:tc>
          <w:tcPr>
            <w:tcW w:w="1199" w:type="dxa"/>
            <w:vAlign w:val="center"/>
          </w:tcPr>
          <w:p w14:paraId="65DD1D5C" w14:textId="77777777" w:rsidR="00A67AE0" w:rsidRDefault="00A979E8">
            <w:pPr>
              <w:jc w:val="center"/>
            </w:pPr>
            <w:r>
              <w:rPr>
                <w:rFonts w:eastAsiaTheme="minorEastAsia"/>
                <w:color w:val="000000" w:themeColor="text1"/>
                <w:kern w:val="0"/>
              </w:rPr>
              <w:t>-0.56%</w:t>
            </w:r>
          </w:p>
        </w:tc>
        <w:tc>
          <w:tcPr>
            <w:tcW w:w="1204" w:type="dxa"/>
            <w:vAlign w:val="center"/>
          </w:tcPr>
          <w:p w14:paraId="6EBC47FB" w14:textId="77777777" w:rsidR="00A67AE0" w:rsidRDefault="00A979E8">
            <w:pPr>
              <w:jc w:val="center"/>
            </w:pPr>
            <w:r>
              <w:rPr>
                <w:rFonts w:eastAsiaTheme="minorEastAsia"/>
                <w:color w:val="000000" w:themeColor="text1"/>
                <w:kern w:val="0"/>
              </w:rPr>
              <w:t>-0.10%</w:t>
            </w:r>
          </w:p>
        </w:tc>
      </w:tr>
      <w:tr w:rsidR="00A67AE0" w14:paraId="62E2C71B" w14:textId="77777777">
        <w:tc>
          <w:tcPr>
            <w:tcW w:w="1395" w:type="dxa"/>
            <w:vAlign w:val="center"/>
          </w:tcPr>
          <w:p w14:paraId="6B02D006" w14:textId="77777777" w:rsidR="00A67AE0" w:rsidRDefault="00A979E8">
            <w:pPr>
              <w:jc w:val="left"/>
            </w:pPr>
            <w:r>
              <w:rPr>
                <w:rFonts w:eastAsiaTheme="minorEastAsia"/>
                <w:color w:val="000000" w:themeColor="text1"/>
                <w:kern w:val="0"/>
              </w:rPr>
              <w:t>过去一年</w:t>
            </w:r>
          </w:p>
        </w:tc>
        <w:tc>
          <w:tcPr>
            <w:tcW w:w="1092" w:type="dxa"/>
            <w:vAlign w:val="center"/>
          </w:tcPr>
          <w:p w14:paraId="65F35BEE" w14:textId="77777777" w:rsidR="00A67AE0" w:rsidRDefault="00A979E8">
            <w:pPr>
              <w:jc w:val="center"/>
            </w:pPr>
            <w:r>
              <w:rPr>
                <w:rFonts w:eastAsiaTheme="minorEastAsia"/>
                <w:color w:val="000000" w:themeColor="text1"/>
                <w:kern w:val="0"/>
              </w:rPr>
              <w:t>1.31%</w:t>
            </w:r>
          </w:p>
        </w:tc>
        <w:tc>
          <w:tcPr>
            <w:tcW w:w="1161" w:type="dxa"/>
            <w:vAlign w:val="center"/>
          </w:tcPr>
          <w:p w14:paraId="441AAD13" w14:textId="77777777" w:rsidR="00A67AE0" w:rsidRDefault="00A979E8">
            <w:pPr>
              <w:jc w:val="center"/>
            </w:pPr>
            <w:r>
              <w:rPr>
                <w:rFonts w:eastAsiaTheme="minorEastAsia"/>
                <w:color w:val="000000" w:themeColor="text1"/>
                <w:kern w:val="0"/>
              </w:rPr>
              <w:t>1.68%</w:t>
            </w:r>
          </w:p>
        </w:tc>
        <w:tc>
          <w:tcPr>
            <w:tcW w:w="1181" w:type="dxa"/>
            <w:vAlign w:val="center"/>
          </w:tcPr>
          <w:p w14:paraId="4E6E9628" w14:textId="77777777" w:rsidR="00A67AE0" w:rsidRDefault="00A979E8">
            <w:pPr>
              <w:jc w:val="center"/>
            </w:pPr>
            <w:r>
              <w:rPr>
                <w:rFonts w:eastAsiaTheme="minorEastAsia"/>
                <w:color w:val="000000" w:themeColor="text1"/>
                <w:kern w:val="0"/>
              </w:rPr>
              <w:t>5.21%</w:t>
            </w:r>
          </w:p>
        </w:tc>
        <w:tc>
          <w:tcPr>
            <w:tcW w:w="1188" w:type="dxa"/>
            <w:vAlign w:val="center"/>
          </w:tcPr>
          <w:p w14:paraId="038357B9" w14:textId="77777777" w:rsidR="00A67AE0" w:rsidRDefault="00A979E8">
            <w:pPr>
              <w:jc w:val="center"/>
            </w:pPr>
            <w:r>
              <w:rPr>
                <w:rFonts w:eastAsiaTheme="minorEastAsia"/>
                <w:color w:val="000000" w:themeColor="text1"/>
                <w:kern w:val="0"/>
              </w:rPr>
              <w:t>1.73%</w:t>
            </w:r>
          </w:p>
        </w:tc>
        <w:tc>
          <w:tcPr>
            <w:tcW w:w="1199" w:type="dxa"/>
            <w:vAlign w:val="center"/>
          </w:tcPr>
          <w:p w14:paraId="60C909DB" w14:textId="77777777" w:rsidR="00A67AE0" w:rsidRDefault="00A979E8">
            <w:pPr>
              <w:jc w:val="center"/>
            </w:pPr>
            <w:r>
              <w:rPr>
                <w:rFonts w:eastAsiaTheme="minorEastAsia"/>
                <w:color w:val="000000" w:themeColor="text1"/>
                <w:kern w:val="0"/>
              </w:rPr>
              <w:t>-3.90%</w:t>
            </w:r>
          </w:p>
        </w:tc>
        <w:tc>
          <w:tcPr>
            <w:tcW w:w="1204" w:type="dxa"/>
            <w:vAlign w:val="center"/>
          </w:tcPr>
          <w:p w14:paraId="1B8BF280" w14:textId="77777777" w:rsidR="00A67AE0" w:rsidRDefault="00A979E8">
            <w:pPr>
              <w:jc w:val="center"/>
            </w:pPr>
            <w:r>
              <w:rPr>
                <w:rFonts w:eastAsiaTheme="minorEastAsia"/>
                <w:color w:val="000000" w:themeColor="text1"/>
                <w:kern w:val="0"/>
              </w:rPr>
              <w:t>-0.05%</w:t>
            </w:r>
          </w:p>
        </w:tc>
      </w:tr>
      <w:tr w:rsidR="00A67AE0" w14:paraId="0508CB71" w14:textId="77777777">
        <w:tc>
          <w:tcPr>
            <w:tcW w:w="1395" w:type="dxa"/>
            <w:vAlign w:val="center"/>
          </w:tcPr>
          <w:p w14:paraId="30FD2FE6" w14:textId="77777777" w:rsidR="00A67AE0" w:rsidRDefault="00A979E8">
            <w:pPr>
              <w:jc w:val="left"/>
            </w:pPr>
            <w:r>
              <w:rPr>
                <w:rFonts w:eastAsiaTheme="minorEastAsia"/>
                <w:color w:val="000000" w:themeColor="text1"/>
                <w:kern w:val="0"/>
              </w:rPr>
              <w:t>过去三年</w:t>
            </w:r>
          </w:p>
        </w:tc>
        <w:tc>
          <w:tcPr>
            <w:tcW w:w="1092" w:type="dxa"/>
            <w:vAlign w:val="center"/>
          </w:tcPr>
          <w:p w14:paraId="7C236344" w14:textId="77777777" w:rsidR="00A67AE0" w:rsidRDefault="00A979E8">
            <w:pPr>
              <w:jc w:val="center"/>
            </w:pPr>
            <w:r>
              <w:rPr>
                <w:rFonts w:eastAsiaTheme="minorEastAsia"/>
                <w:color w:val="000000" w:themeColor="text1"/>
                <w:kern w:val="0"/>
              </w:rPr>
              <w:t>-20.33%</w:t>
            </w:r>
          </w:p>
        </w:tc>
        <w:tc>
          <w:tcPr>
            <w:tcW w:w="1161" w:type="dxa"/>
            <w:vAlign w:val="center"/>
          </w:tcPr>
          <w:p w14:paraId="74A42A4D" w14:textId="77777777" w:rsidR="00A67AE0" w:rsidRDefault="00A979E8">
            <w:pPr>
              <w:jc w:val="center"/>
            </w:pPr>
            <w:r>
              <w:rPr>
                <w:rFonts w:eastAsiaTheme="minorEastAsia"/>
                <w:color w:val="000000" w:themeColor="text1"/>
                <w:kern w:val="0"/>
              </w:rPr>
              <w:t>1.31%</w:t>
            </w:r>
          </w:p>
        </w:tc>
        <w:tc>
          <w:tcPr>
            <w:tcW w:w="1181" w:type="dxa"/>
            <w:vAlign w:val="center"/>
          </w:tcPr>
          <w:p w14:paraId="58F7BCE3" w14:textId="77777777" w:rsidR="00A67AE0" w:rsidRDefault="00A979E8">
            <w:pPr>
              <w:jc w:val="center"/>
            </w:pPr>
            <w:r>
              <w:rPr>
                <w:rFonts w:eastAsiaTheme="minorEastAsia"/>
                <w:color w:val="000000" w:themeColor="text1"/>
                <w:kern w:val="0"/>
              </w:rPr>
              <w:t>-17.38%</w:t>
            </w:r>
          </w:p>
        </w:tc>
        <w:tc>
          <w:tcPr>
            <w:tcW w:w="1188" w:type="dxa"/>
            <w:vAlign w:val="center"/>
          </w:tcPr>
          <w:p w14:paraId="3316467A" w14:textId="77777777" w:rsidR="00A67AE0" w:rsidRDefault="00A979E8">
            <w:pPr>
              <w:jc w:val="center"/>
            </w:pPr>
            <w:r>
              <w:rPr>
                <w:rFonts w:eastAsiaTheme="minorEastAsia"/>
                <w:color w:val="000000" w:themeColor="text1"/>
                <w:kern w:val="0"/>
              </w:rPr>
              <w:t>1.21%</w:t>
            </w:r>
          </w:p>
        </w:tc>
        <w:tc>
          <w:tcPr>
            <w:tcW w:w="1199" w:type="dxa"/>
            <w:vAlign w:val="center"/>
          </w:tcPr>
          <w:p w14:paraId="789A9361" w14:textId="77777777" w:rsidR="00A67AE0" w:rsidRDefault="00A979E8">
            <w:pPr>
              <w:jc w:val="center"/>
            </w:pPr>
            <w:r>
              <w:rPr>
                <w:rFonts w:eastAsiaTheme="minorEastAsia"/>
                <w:color w:val="000000" w:themeColor="text1"/>
                <w:kern w:val="0"/>
              </w:rPr>
              <w:t>-2.95%</w:t>
            </w:r>
          </w:p>
        </w:tc>
        <w:tc>
          <w:tcPr>
            <w:tcW w:w="1204" w:type="dxa"/>
            <w:vAlign w:val="center"/>
          </w:tcPr>
          <w:p w14:paraId="5D14E101" w14:textId="77777777" w:rsidR="00A67AE0" w:rsidRDefault="00A979E8">
            <w:pPr>
              <w:jc w:val="center"/>
            </w:pPr>
            <w:r>
              <w:rPr>
                <w:rFonts w:eastAsiaTheme="minorEastAsia"/>
                <w:color w:val="000000" w:themeColor="text1"/>
                <w:kern w:val="0"/>
              </w:rPr>
              <w:t>0.10%</w:t>
            </w:r>
          </w:p>
        </w:tc>
      </w:tr>
      <w:tr w:rsidR="00A67AE0" w14:paraId="20370F96" w14:textId="77777777">
        <w:tc>
          <w:tcPr>
            <w:tcW w:w="1395" w:type="dxa"/>
            <w:vAlign w:val="center"/>
          </w:tcPr>
          <w:p w14:paraId="3D716CFE" w14:textId="77777777" w:rsidR="00A67AE0" w:rsidRDefault="00A979E8">
            <w:pPr>
              <w:jc w:val="left"/>
            </w:pPr>
            <w:r>
              <w:rPr>
                <w:rFonts w:eastAsiaTheme="minorEastAsia"/>
                <w:color w:val="000000" w:themeColor="text1"/>
                <w:kern w:val="0"/>
              </w:rPr>
              <w:t>过去五年</w:t>
            </w:r>
          </w:p>
        </w:tc>
        <w:tc>
          <w:tcPr>
            <w:tcW w:w="1092" w:type="dxa"/>
            <w:vAlign w:val="center"/>
          </w:tcPr>
          <w:p w14:paraId="436F15EE" w14:textId="77777777" w:rsidR="00A67AE0" w:rsidRDefault="00A979E8">
            <w:pPr>
              <w:jc w:val="center"/>
            </w:pPr>
            <w:r>
              <w:rPr>
                <w:rFonts w:eastAsiaTheme="minorEastAsia"/>
                <w:color w:val="000000" w:themeColor="text1"/>
                <w:kern w:val="0"/>
              </w:rPr>
              <w:t>6.99%</w:t>
            </w:r>
          </w:p>
        </w:tc>
        <w:tc>
          <w:tcPr>
            <w:tcW w:w="1161" w:type="dxa"/>
            <w:vAlign w:val="center"/>
          </w:tcPr>
          <w:p w14:paraId="17A91425" w14:textId="77777777" w:rsidR="00A67AE0" w:rsidRDefault="00A979E8">
            <w:pPr>
              <w:jc w:val="center"/>
            </w:pPr>
            <w:r>
              <w:rPr>
                <w:rFonts w:eastAsiaTheme="minorEastAsia"/>
                <w:color w:val="000000" w:themeColor="text1"/>
                <w:kern w:val="0"/>
              </w:rPr>
              <w:t>1.28%</w:t>
            </w:r>
          </w:p>
        </w:tc>
        <w:tc>
          <w:tcPr>
            <w:tcW w:w="1181" w:type="dxa"/>
            <w:vAlign w:val="center"/>
          </w:tcPr>
          <w:p w14:paraId="4C768A42" w14:textId="77777777" w:rsidR="00A67AE0" w:rsidRDefault="00A979E8">
            <w:pPr>
              <w:jc w:val="center"/>
            </w:pPr>
            <w:r>
              <w:rPr>
                <w:rFonts w:eastAsiaTheme="minorEastAsia"/>
                <w:color w:val="000000" w:themeColor="text1"/>
                <w:kern w:val="0"/>
              </w:rPr>
              <w:t>-5.30%</w:t>
            </w:r>
          </w:p>
        </w:tc>
        <w:tc>
          <w:tcPr>
            <w:tcW w:w="1188" w:type="dxa"/>
            <w:vAlign w:val="center"/>
          </w:tcPr>
          <w:p w14:paraId="7AA2F65E" w14:textId="77777777" w:rsidR="00A67AE0" w:rsidRDefault="00A979E8">
            <w:pPr>
              <w:jc w:val="center"/>
            </w:pPr>
            <w:r>
              <w:rPr>
                <w:rFonts w:eastAsiaTheme="minorEastAsia"/>
                <w:color w:val="000000" w:themeColor="text1"/>
                <w:kern w:val="0"/>
              </w:rPr>
              <w:t>1.05%</w:t>
            </w:r>
          </w:p>
        </w:tc>
        <w:tc>
          <w:tcPr>
            <w:tcW w:w="1199" w:type="dxa"/>
            <w:vAlign w:val="center"/>
          </w:tcPr>
          <w:p w14:paraId="58D25FAB" w14:textId="77777777" w:rsidR="00A67AE0" w:rsidRDefault="00A979E8">
            <w:pPr>
              <w:jc w:val="center"/>
            </w:pPr>
            <w:r>
              <w:rPr>
                <w:rFonts w:eastAsiaTheme="minorEastAsia"/>
                <w:color w:val="000000" w:themeColor="text1"/>
                <w:kern w:val="0"/>
              </w:rPr>
              <w:t>12.29%</w:t>
            </w:r>
          </w:p>
        </w:tc>
        <w:tc>
          <w:tcPr>
            <w:tcW w:w="1204" w:type="dxa"/>
            <w:vAlign w:val="center"/>
          </w:tcPr>
          <w:p w14:paraId="19AD1624" w14:textId="77777777" w:rsidR="00A67AE0" w:rsidRDefault="00A979E8">
            <w:pPr>
              <w:jc w:val="center"/>
            </w:pPr>
            <w:r>
              <w:rPr>
                <w:rFonts w:eastAsiaTheme="minorEastAsia"/>
                <w:color w:val="000000" w:themeColor="text1"/>
                <w:kern w:val="0"/>
              </w:rPr>
              <w:t>0.23%</w:t>
            </w:r>
          </w:p>
        </w:tc>
      </w:tr>
      <w:tr w:rsidR="00A67AE0" w14:paraId="5B564888" w14:textId="77777777">
        <w:tc>
          <w:tcPr>
            <w:tcW w:w="1395" w:type="dxa"/>
            <w:vAlign w:val="center"/>
          </w:tcPr>
          <w:p w14:paraId="7B5DC348" w14:textId="77777777" w:rsidR="00A67AE0" w:rsidRDefault="00A979E8">
            <w:pPr>
              <w:jc w:val="left"/>
            </w:pPr>
            <w:r>
              <w:rPr>
                <w:rFonts w:eastAsiaTheme="minorEastAsia"/>
                <w:color w:val="000000" w:themeColor="text1"/>
                <w:kern w:val="0"/>
              </w:rPr>
              <w:t>自基金合同生效起至今</w:t>
            </w:r>
          </w:p>
        </w:tc>
        <w:tc>
          <w:tcPr>
            <w:tcW w:w="1092" w:type="dxa"/>
            <w:vAlign w:val="center"/>
          </w:tcPr>
          <w:p w14:paraId="5719A089" w14:textId="77777777" w:rsidR="00A67AE0" w:rsidRDefault="00A979E8">
            <w:pPr>
              <w:jc w:val="center"/>
            </w:pPr>
            <w:r>
              <w:rPr>
                <w:rFonts w:eastAsiaTheme="minorEastAsia"/>
                <w:color w:val="000000" w:themeColor="text1"/>
                <w:kern w:val="0"/>
              </w:rPr>
              <w:t>18.85%</w:t>
            </w:r>
          </w:p>
        </w:tc>
        <w:tc>
          <w:tcPr>
            <w:tcW w:w="1161" w:type="dxa"/>
            <w:vAlign w:val="center"/>
          </w:tcPr>
          <w:p w14:paraId="0D307985" w14:textId="77777777" w:rsidR="00A67AE0" w:rsidRDefault="00A979E8">
            <w:pPr>
              <w:jc w:val="center"/>
            </w:pPr>
            <w:r>
              <w:rPr>
                <w:rFonts w:eastAsiaTheme="minorEastAsia"/>
                <w:color w:val="000000" w:themeColor="text1"/>
                <w:kern w:val="0"/>
              </w:rPr>
              <w:t>1.27%</w:t>
            </w:r>
          </w:p>
        </w:tc>
        <w:tc>
          <w:tcPr>
            <w:tcW w:w="1181" w:type="dxa"/>
            <w:vAlign w:val="center"/>
          </w:tcPr>
          <w:p w14:paraId="17B29D50" w14:textId="77777777" w:rsidR="00A67AE0" w:rsidRDefault="00A979E8">
            <w:pPr>
              <w:jc w:val="center"/>
            </w:pPr>
            <w:r>
              <w:rPr>
                <w:rFonts w:eastAsiaTheme="minorEastAsia"/>
                <w:color w:val="000000" w:themeColor="text1"/>
                <w:kern w:val="0"/>
              </w:rPr>
              <w:t>-6.42%</w:t>
            </w:r>
          </w:p>
        </w:tc>
        <w:tc>
          <w:tcPr>
            <w:tcW w:w="1188" w:type="dxa"/>
            <w:vAlign w:val="center"/>
          </w:tcPr>
          <w:p w14:paraId="3A49D02B" w14:textId="77777777" w:rsidR="00A67AE0" w:rsidRDefault="00A979E8">
            <w:pPr>
              <w:jc w:val="center"/>
            </w:pPr>
            <w:r>
              <w:rPr>
                <w:rFonts w:eastAsiaTheme="minorEastAsia"/>
                <w:color w:val="000000" w:themeColor="text1"/>
                <w:kern w:val="0"/>
              </w:rPr>
              <w:t>0.98%</w:t>
            </w:r>
          </w:p>
        </w:tc>
        <w:tc>
          <w:tcPr>
            <w:tcW w:w="1199" w:type="dxa"/>
            <w:vAlign w:val="center"/>
          </w:tcPr>
          <w:p w14:paraId="3CC3CDC0" w14:textId="77777777" w:rsidR="00A67AE0" w:rsidRDefault="00A979E8">
            <w:pPr>
              <w:jc w:val="center"/>
            </w:pPr>
            <w:r>
              <w:rPr>
                <w:rFonts w:eastAsiaTheme="minorEastAsia"/>
                <w:color w:val="000000" w:themeColor="text1"/>
                <w:kern w:val="0"/>
              </w:rPr>
              <w:t>25.27%</w:t>
            </w:r>
          </w:p>
        </w:tc>
        <w:tc>
          <w:tcPr>
            <w:tcW w:w="1204" w:type="dxa"/>
            <w:vAlign w:val="center"/>
          </w:tcPr>
          <w:p w14:paraId="3EB90735" w14:textId="77777777" w:rsidR="00A67AE0" w:rsidRDefault="00A979E8">
            <w:pPr>
              <w:jc w:val="center"/>
            </w:pPr>
            <w:r>
              <w:rPr>
                <w:rFonts w:eastAsiaTheme="minorEastAsia"/>
                <w:color w:val="000000" w:themeColor="text1"/>
                <w:kern w:val="0"/>
              </w:rPr>
              <w:t>0.29%</w:t>
            </w:r>
          </w:p>
        </w:tc>
      </w:tr>
    </w:tbl>
    <w:p w14:paraId="18295FC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64CFF8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52F2F55E"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摩根量化多因子灵活配置混合型证券投资基金</w:t>
      </w:r>
    </w:p>
    <w:p w14:paraId="4DBBFA81"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3F85FB28"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(2018</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19</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120114A3"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3B3B576A" wp14:editId="6E9561C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4E81624B" w14:textId="77777777" w:rsidR="00A67AE0" w:rsidRDefault="00A979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日，图示的时间段为合同生效日至本报告期末。</w:t>
      </w:r>
    </w:p>
    <w:p w14:paraId="54A4B01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14:paraId="4D050C58" w14:textId="77777777" w:rsidR="00D06738" w:rsidRPr="00FF6B9A" w:rsidRDefault="00D06738">
      <w:pPr>
        <w:tabs>
          <w:tab w:val="left" w:pos="1800"/>
        </w:tabs>
        <w:spacing w:line="360" w:lineRule="auto"/>
        <w:rPr>
          <w:rFonts w:eastAsiaTheme="minorEastAsia"/>
          <w:color w:val="000000" w:themeColor="text1"/>
          <w:sz w:val="24"/>
          <w:szCs w:val="24"/>
        </w:rPr>
      </w:pPr>
    </w:p>
    <w:p w14:paraId="55B77491" w14:textId="77777777" w:rsidR="00D06738" w:rsidRPr="00FF6B9A" w:rsidRDefault="00D06738">
      <w:pPr>
        <w:tabs>
          <w:tab w:val="left" w:pos="1800"/>
        </w:tabs>
        <w:spacing w:line="288" w:lineRule="auto"/>
        <w:rPr>
          <w:rFonts w:eastAsiaTheme="minorEastAsia"/>
          <w:color w:val="000000" w:themeColor="text1"/>
          <w:sz w:val="24"/>
          <w:szCs w:val="24"/>
        </w:rPr>
      </w:pPr>
    </w:p>
    <w:p w14:paraId="79FFCE64"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14:paraId="659DCBD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61216FFF" w14:textId="77777777">
        <w:trPr>
          <w:cantSplit/>
          <w:trHeight w:val="292"/>
        </w:trPr>
        <w:tc>
          <w:tcPr>
            <w:tcW w:w="851" w:type="dxa"/>
            <w:vMerge w:val="restart"/>
            <w:vAlign w:val="center"/>
          </w:tcPr>
          <w:p w14:paraId="71A2A8BC"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08303122"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3BD98A24"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14:paraId="2395680A"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35C4FCC2"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3B841096" w14:textId="77777777">
        <w:trPr>
          <w:cantSplit/>
        </w:trPr>
        <w:tc>
          <w:tcPr>
            <w:tcW w:w="851" w:type="dxa"/>
            <w:vMerge/>
            <w:vAlign w:val="center"/>
          </w:tcPr>
          <w:p w14:paraId="5AD27B74"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57D6E79B"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6A8016A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4EF2BDD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516AD161"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09EF4704" w14:textId="77777777" w:rsidR="00D06738" w:rsidRPr="00FF6B9A" w:rsidRDefault="00D06738">
            <w:pPr>
              <w:widowControl/>
              <w:spacing w:line="360" w:lineRule="auto"/>
              <w:jc w:val="left"/>
              <w:rPr>
                <w:rFonts w:eastAsiaTheme="minorEastAsia"/>
                <w:color w:val="000000" w:themeColor="text1"/>
                <w:kern w:val="0"/>
              </w:rPr>
            </w:pPr>
          </w:p>
        </w:tc>
      </w:tr>
      <w:tr w:rsidR="00A67AE0" w14:paraId="5828638A" w14:textId="77777777">
        <w:tc>
          <w:tcPr>
            <w:tcW w:w="851" w:type="dxa"/>
            <w:vAlign w:val="center"/>
          </w:tcPr>
          <w:p w14:paraId="547D23CE" w14:textId="77777777" w:rsidR="00A67AE0" w:rsidRDefault="00A979E8">
            <w:pPr>
              <w:jc w:val="center"/>
            </w:pPr>
            <w:r>
              <w:rPr>
                <w:rFonts w:eastAsiaTheme="minorEastAsia"/>
                <w:color w:val="000000" w:themeColor="text1"/>
              </w:rPr>
              <w:t>胡迪</w:t>
            </w:r>
          </w:p>
        </w:tc>
        <w:tc>
          <w:tcPr>
            <w:tcW w:w="850" w:type="dxa"/>
            <w:vAlign w:val="center"/>
          </w:tcPr>
          <w:p w14:paraId="5FD38374" w14:textId="77777777" w:rsidR="00A67AE0" w:rsidRDefault="00A979E8">
            <w:pPr>
              <w:jc w:val="center"/>
            </w:pPr>
            <w:r>
              <w:rPr>
                <w:rFonts w:eastAsiaTheme="minorEastAsia"/>
                <w:color w:val="000000" w:themeColor="text1"/>
              </w:rPr>
              <w:t>本基金基金经理、指数及量化投资部总监</w:t>
            </w:r>
          </w:p>
        </w:tc>
        <w:tc>
          <w:tcPr>
            <w:tcW w:w="1560" w:type="dxa"/>
            <w:vAlign w:val="center"/>
          </w:tcPr>
          <w:p w14:paraId="5066EF60" w14:textId="77777777" w:rsidR="00A67AE0" w:rsidRDefault="00A979E8">
            <w:pPr>
              <w:jc w:val="center"/>
            </w:pPr>
            <w:r>
              <w:rPr>
                <w:rFonts w:eastAsiaTheme="minorEastAsia"/>
                <w:color w:val="000000" w:themeColor="text1"/>
              </w:rPr>
              <w:t>2021-01-07</w:t>
            </w:r>
          </w:p>
        </w:tc>
        <w:tc>
          <w:tcPr>
            <w:tcW w:w="1559" w:type="dxa"/>
            <w:vAlign w:val="center"/>
          </w:tcPr>
          <w:p w14:paraId="17FA27D8" w14:textId="77777777" w:rsidR="00A67AE0" w:rsidRDefault="00A979E8">
            <w:pPr>
              <w:jc w:val="center"/>
            </w:pPr>
            <w:r>
              <w:rPr>
                <w:rFonts w:eastAsiaTheme="minorEastAsia"/>
                <w:color w:val="000000" w:themeColor="text1"/>
              </w:rPr>
              <w:t>-</w:t>
            </w:r>
          </w:p>
        </w:tc>
        <w:tc>
          <w:tcPr>
            <w:tcW w:w="1417" w:type="dxa"/>
            <w:vAlign w:val="center"/>
          </w:tcPr>
          <w:p w14:paraId="72D74782" w14:textId="77777777" w:rsidR="00A67AE0" w:rsidRDefault="00A979E8">
            <w:pPr>
              <w:jc w:val="center"/>
            </w:pPr>
            <w:r>
              <w:rPr>
                <w:rFonts w:eastAsiaTheme="minorEastAsia"/>
                <w:color w:val="000000" w:themeColor="text1"/>
              </w:rPr>
              <w:t>17</w:t>
            </w:r>
            <w:r>
              <w:rPr>
                <w:rFonts w:eastAsiaTheme="minorEastAsia"/>
                <w:color w:val="000000" w:themeColor="text1"/>
              </w:rPr>
              <w:t>年</w:t>
            </w:r>
          </w:p>
        </w:tc>
        <w:tc>
          <w:tcPr>
            <w:tcW w:w="2694" w:type="dxa"/>
            <w:vAlign w:val="center"/>
          </w:tcPr>
          <w:p w14:paraId="47DF2F5A" w14:textId="77777777" w:rsidR="00A67AE0" w:rsidRDefault="00A979E8">
            <w:r>
              <w:rPr>
                <w:rFonts w:eastAsiaTheme="minorEastAsia"/>
                <w:color w:val="000000" w:themeColor="text1"/>
              </w:rPr>
              <w:t>胡迪女士曾任纽约美林证券全球资产管理部高级经理，纽约标准普尔量化投资主管，中国国际金融股份有限公司资产管理部执行总经理。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月加入摩根基金管理（中国）有限公司（原上投摩根基金管理有限公司），现任指数及量化投资部总监兼基金经理。</w:t>
            </w:r>
          </w:p>
        </w:tc>
      </w:tr>
      <w:tr w:rsidR="00A67AE0" w14:paraId="50254EF2" w14:textId="77777777">
        <w:tc>
          <w:tcPr>
            <w:tcW w:w="851" w:type="dxa"/>
            <w:vAlign w:val="center"/>
          </w:tcPr>
          <w:p w14:paraId="207F88CA" w14:textId="77777777" w:rsidR="00A67AE0" w:rsidRDefault="00A979E8">
            <w:pPr>
              <w:jc w:val="center"/>
            </w:pPr>
            <w:r>
              <w:rPr>
                <w:rFonts w:eastAsiaTheme="minorEastAsia"/>
                <w:color w:val="000000" w:themeColor="text1"/>
              </w:rPr>
              <w:t>何智豪</w:t>
            </w:r>
          </w:p>
        </w:tc>
        <w:tc>
          <w:tcPr>
            <w:tcW w:w="850" w:type="dxa"/>
            <w:vAlign w:val="center"/>
          </w:tcPr>
          <w:p w14:paraId="57AF7730" w14:textId="77777777" w:rsidR="00A67AE0" w:rsidRDefault="00A979E8">
            <w:pPr>
              <w:jc w:val="center"/>
            </w:pPr>
            <w:r>
              <w:rPr>
                <w:rFonts w:eastAsiaTheme="minorEastAsia"/>
                <w:color w:val="000000" w:themeColor="text1"/>
              </w:rPr>
              <w:t>本基金基金经理</w:t>
            </w:r>
          </w:p>
        </w:tc>
        <w:tc>
          <w:tcPr>
            <w:tcW w:w="1560" w:type="dxa"/>
            <w:vAlign w:val="center"/>
          </w:tcPr>
          <w:p w14:paraId="017C430F" w14:textId="77777777" w:rsidR="00A67AE0" w:rsidRDefault="00A979E8">
            <w:pPr>
              <w:jc w:val="center"/>
            </w:pPr>
            <w:r>
              <w:rPr>
                <w:rFonts w:eastAsiaTheme="minorEastAsia"/>
                <w:color w:val="000000" w:themeColor="text1"/>
              </w:rPr>
              <w:t>2021-02-05</w:t>
            </w:r>
          </w:p>
        </w:tc>
        <w:tc>
          <w:tcPr>
            <w:tcW w:w="1559" w:type="dxa"/>
            <w:vAlign w:val="center"/>
          </w:tcPr>
          <w:p w14:paraId="17254907" w14:textId="77777777" w:rsidR="00A67AE0" w:rsidRDefault="00A979E8">
            <w:pPr>
              <w:jc w:val="center"/>
            </w:pPr>
            <w:r>
              <w:rPr>
                <w:rFonts w:eastAsiaTheme="minorEastAsia"/>
                <w:color w:val="000000" w:themeColor="text1"/>
              </w:rPr>
              <w:t>-</w:t>
            </w:r>
          </w:p>
        </w:tc>
        <w:tc>
          <w:tcPr>
            <w:tcW w:w="1417" w:type="dxa"/>
            <w:vAlign w:val="center"/>
          </w:tcPr>
          <w:p w14:paraId="0C6F5C53" w14:textId="77777777" w:rsidR="00A67AE0" w:rsidRDefault="00A979E8">
            <w:pPr>
              <w:jc w:val="center"/>
            </w:pPr>
            <w:r>
              <w:rPr>
                <w:rFonts w:eastAsiaTheme="minorEastAsia"/>
                <w:color w:val="000000" w:themeColor="text1"/>
              </w:rPr>
              <w:t>10</w:t>
            </w:r>
            <w:r>
              <w:rPr>
                <w:rFonts w:eastAsiaTheme="minorEastAsia"/>
                <w:color w:val="000000" w:themeColor="text1"/>
              </w:rPr>
              <w:t>年</w:t>
            </w:r>
          </w:p>
        </w:tc>
        <w:tc>
          <w:tcPr>
            <w:tcW w:w="2694" w:type="dxa"/>
            <w:vAlign w:val="center"/>
          </w:tcPr>
          <w:p w14:paraId="2735A5C5" w14:textId="77777777" w:rsidR="00A67AE0" w:rsidRDefault="00A979E8">
            <w:r>
              <w:rPr>
                <w:rFonts w:eastAsiaTheme="minorEastAsia"/>
                <w:color w:val="000000" w:themeColor="text1"/>
              </w:rPr>
              <w:t>何智豪先生曾任中国国际金融股份有限公司组合与量化策略研究员、资产管理部高级经理。</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月起加入摩根基金管理（中国）有限公司（原上投摩根基金管理有限公司），现任指数及量化投资部基金经理。</w:t>
            </w:r>
          </w:p>
        </w:tc>
      </w:tr>
    </w:tbl>
    <w:p w14:paraId="425269FA" w14:textId="77777777" w:rsidR="00A67AE0" w:rsidRDefault="00A979E8">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6EB865B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14:paraId="3322619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490798E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382B49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085694F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7C9DA397"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4699CC38"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53C5DA2"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7E0C8CC"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158415C0"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07431FD9"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35298B0B"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15C7FC37" w14:textId="77777777" w:rsidR="00D06738" w:rsidRPr="00FF6B9A" w:rsidRDefault="00D06738">
      <w:pPr>
        <w:spacing w:line="360" w:lineRule="auto"/>
        <w:ind w:firstLineChars="200" w:firstLine="480"/>
        <w:rPr>
          <w:rFonts w:eastAsiaTheme="minorEastAsia"/>
          <w:color w:val="000000" w:themeColor="text1"/>
          <w:sz w:val="24"/>
          <w:szCs w:val="24"/>
        </w:rPr>
      </w:pPr>
    </w:p>
    <w:p w14:paraId="34238DF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530926B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211F6EAF"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A</w:t>
      </w:r>
      <w:r>
        <w:rPr>
          <w:rFonts w:eastAsiaTheme="minorEastAsia"/>
          <w:color w:val="000000" w:themeColor="text1"/>
        </w:rPr>
        <w:t>股市场在经历</w:t>
      </w:r>
      <w:r>
        <w:rPr>
          <w:rFonts w:eastAsiaTheme="minorEastAsia"/>
          <w:color w:val="000000" w:themeColor="text1"/>
        </w:rPr>
        <w:t>9</w:t>
      </w:r>
      <w:r>
        <w:rPr>
          <w:rFonts w:eastAsiaTheme="minorEastAsia"/>
          <w:color w:val="000000" w:themeColor="text1"/>
        </w:rPr>
        <w:t>月末和</w:t>
      </w:r>
      <w:r>
        <w:rPr>
          <w:rFonts w:eastAsiaTheme="minorEastAsia"/>
          <w:color w:val="000000" w:themeColor="text1"/>
        </w:rPr>
        <w:t>10</w:t>
      </w:r>
      <w:r>
        <w:rPr>
          <w:rFonts w:eastAsiaTheme="minorEastAsia"/>
          <w:color w:val="000000" w:themeColor="text1"/>
        </w:rPr>
        <w:t>月初的快速上涨行情后，估值得以一定程度修复，在安全边际收窄后，市场情绪也有所降温，国庆后至年底</w:t>
      </w:r>
      <w:r>
        <w:rPr>
          <w:rFonts w:eastAsiaTheme="minorEastAsia"/>
          <w:color w:val="000000" w:themeColor="text1"/>
        </w:rPr>
        <w:t>A</w:t>
      </w:r>
      <w:r>
        <w:rPr>
          <w:rFonts w:eastAsiaTheme="minorEastAsia"/>
          <w:color w:val="000000" w:themeColor="text1"/>
        </w:rPr>
        <w:t>股呈现区间震荡态势。四季度的行情一方面在消化前期市场情绪，另一方面在等待宽松政策对经济提振的效果验证。市场从前期的全面普涨过渡到结构行情，表现较为分化，小盘股表现好于大盘。四季度，中证</w:t>
      </w:r>
      <w:r>
        <w:rPr>
          <w:rFonts w:eastAsiaTheme="minorEastAsia"/>
          <w:color w:val="000000" w:themeColor="text1"/>
        </w:rPr>
        <w:t>1000</w:t>
      </w:r>
      <w:r>
        <w:rPr>
          <w:rFonts w:eastAsiaTheme="minorEastAsia"/>
          <w:color w:val="000000" w:themeColor="text1"/>
        </w:rPr>
        <w:t>、中证</w:t>
      </w:r>
      <w:r>
        <w:rPr>
          <w:rFonts w:eastAsiaTheme="minorEastAsia"/>
          <w:color w:val="000000" w:themeColor="text1"/>
        </w:rPr>
        <w:t>2000</w:t>
      </w:r>
      <w:r>
        <w:rPr>
          <w:rFonts w:eastAsiaTheme="minorEastAsia"/>
          <w:color w:val="000000" w:themeColor="text1"/>
        </w:rPr>
        <w:t>分别上涨</w:t>
      </w:r>
      <w:r>
        <w:rPr>
          <w:rFonts w:eastAsiaTheme="minorEastAsia"/>
          <w:color w:val="000000" w:themeColor="text1"/>
        </w:rPr>
        <w:t>4.36%</w:t>
      </w:r>
      <w:r>
        <w:rPr>
          <w:rFonts w:eastAsiaTheme="minorEastAsia"/>
          <w:color w:val="000000" w:themeColor="text1"/>
        </w:rPr>
        <w:t>和</w:t>
      </w:r>
      <w:r>
        <w:rPr>
          <w:rFonts w:eastAsiaTheme="minorEastAsia"/>
          <w:color w:val="000000" w:themeColor="text1"/>
        </w:rPr>
        <w:t>8.40%</w:t>
      </w:r>
      <w:r>
        <w:rPr>
          <w:rFonts w:eastAsiaTheme="minorEastAsia"/>
          <w:color w:val="000000" w:themeColor="text1"/>
        </w:rPr>
        <w:t>，好于同期沪深</w:t>
      </w:r>
      <w:r>
        <w:rPr>
          <w:rFonts w:eastAsiaTheme="minorEastAsia"/>
          <w:color w:val="000000" w:themeColor="text1"/>
        </w:rPr>
        <w:t>300</w:t>
      </w:r>
      <w:r>
        <w:rPr>
          <w:rFonts w:eastAsiaTheme="minorEastAsia"/>
          <w:color w:val="000000" w:themeColor="text1"/>
        </w:rPr>
        <w:t>和上证</w:t>
      </w:r>
      <w:r>
        <w:rPr>
          <w:rFonts w:eastAsiaTheme="minorEastAsia"/>
          <w:color w:val="000000" w:themeColor="text1"/>
        </w:rPr>
        <w:t>50</w:t>
      </w:r>
      <w:r>
        <w:rPr>
          <w:rFonts w:eastAsiaTheme="minorEastAsia"/>
          <w:color w:val="000000" w:themeColor="text1"/>
        </w:rPr>
        <w:t>的</w:t>
      </w:r>
      <w:r>
        <w:rPr>
          <w:rFonts w:eastAsiaTheme="minorEastAsia"/>
          <w:color w:val="000000" w:themeColor="text1"/>
        </w:rPr>
        <w:t>-2.06%</w:t>
      </w:r>
      <w:r>
        <w:rPr>
          <w:rFonts w:eastAsiaTheme="minorEastAsia"/>
          <w:color w:val="000000" w:themeColor="text1"/>
        </w:rPr>
        <w:t>和</w:t>
      </w:r>
      <w:r>
        <w:rPr>
          <w:rFonts w:eastAsiaTheme="minorEastAsia"/>
          <w:color w:val="000000" w:themeColor="text1"/>
        </w:rPr>
        <w:t>-2.56%</w:t>
      </w:r>
      <w:r>
        <w:rPr>
          <w:rFonts w:eastAsiaTheme="minorEastAsia"/>
          <w:color w:val="000000" w:themeColor="text1"/>
        </w:rPr>
        <w:t>。从</w:t>
      </w:r>
      <w:r>
        <w:rPr>
          <w:rFonts w:eastAsiaTheme="minorEastAsia"/>
          <w:color w:val="000000" w:themeColor="text1"/>
        </w:rPr>
        <w:t>alpha</w:t>
      </w:r>
      <w:r>
        <w:rPr>
          <w:rFonts w:eastAsiaTheme="minorEastAsia"/>
          <w:color w:val="000000" w:themeColor="text1"/>
        </w:rPr>
        <w:t>角度看，</w:t>
      </w:r>
      <w:r>
        <w:rPr>
          <w:rFonts w:eastAsiaTheme="minorEastAsia"/>
          <w:color w:val="000000" w:themeColor="text1"/>
        </w:rPr>
        <w:t>10</w:t>
      </w:r>
      <w:r>
        <w:rPr>
          <w:rFonts w:eastAsiaTheme="minorEastAsia"/>
          <w:color w:val="000000" w:themeColor="text1"/>
        </w:rPr>
        <w:t>月的</w:t>
      </w:r>
      <w:r>
        <w:rPr>
          <w:rFonts w:eastAsiaTheme="minorEastAsia"/>
          <w:color w:val="000000" w:themeColor="text1"/>
        </w:rPr>
        <w:t>alpha</w:t>
      </w:r>
      <w:r>
        <w:rPr>
          <w:rFonts w:eastAsiaTheme="minorEastAsia"/>
          <w:color w:val="000000" w:themeColor="text1"/>
        </w:rPr>
        <w:t>回撤几乎重演二月行情，甚至某种程度上犹有过之。基本面</w:t>
      </w:r>
      <w:r>
        <w:rPr>
          <w:rFonts w:eastAsiaTheme="minorEastAsia"/>
          <w:color w:val="000000" w:themeColor="text1"/>
        </w:rPr>
        <w:t>alpha</w:t>
      </w:r>
      <w:r>
        <w:rPr>
          <w:rFonts w:eastAsiaTheme="minorEastAsia"/>
          <w:color w:val="000000" w:themeColor="text1"/>
        </w:rPr>
        <w:t>这波也加入回撤行列，低频价量</w:t>
      </w:r>
      <w:r>
        <w:rPr>
          <w:rFonts w:eastAsiaTheme="minorEastAsia"/>
          <w:color w:val="000000" w:themeColor="text1"/>
        </w:rPr>
        <w:t>alpha</w:t>
      </w:r>
      <w:r>
        <w:rPr>
          <w:rFonts w:eastAsiaTheme="minorEastAsia"/>
          <w:color w:val="000000" w:themeColor="text1"/>
        </w:rPr>
        <w:t>乃至机器学习类因子则更重蹈覆辙，全</w:t>
      </w:r>
      <w:r>
        <w:rPr>
          <w:rFonts w:eastAsiaTheme="minorEastAsia"/>
          <w:color w:val="000000" w:themeColor="text1"/>
        </w:rPr>
        <w:t>alpha</w:t>
      </w:r>
      <w:r>
        <w:rPr>
          <w:rFonts w:eastAsiaTheme="minorEastAsia"/>
          <w:color w:val="000000" w:themeColor="text1"/>
        </w:rPr>
        <w:t>类别看仅有高频因子表现较为突出。本基金选股从多因子角度出发，基本面和价量</w:t>
      </w:r>
      <w:r>
        <w:rPr>
          <w:rFonts w:eastAsiaTheme="minorEastAsia"/>
          <w:color w:val="000000" w:themeColor="text1"/>
        </w:rPr>
        <w:t>Alpha</w:t>
      </w:r>
      <w:r>
        <w:rPr>
          <w:rFonts w:eastAsiaTheme="minorEastAsia"/>
          <w:color w:val="000000" w:themeColor="text1"/>
        </w:rPr>
        <w:t>配置较为均衡。</w:t>
      </w:r>
    </w:p>
    <w:p w14:paraId="4DE6037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往后看，量化选股策略不做择时类的判断，我们仍然保持较高仓位运作。策略方面，传统的基本面因子、低频价量因子及低频机器学习因子</w:t>
      </w:r>
      <w:r w:rsidRPr="00FF6B9A">
        <w:rPr>
          <w:rFonts w:eastAsiaTheme="minorEastAsia"/>
          <w:color w:val="000000" w:themeColor="text1"/>
        </w:rPr>
        <w:t>10</w:t>
      </w:r>
      <w:r w:rsidRPr="00FF6B9A">
        <w:rPr>
          <w:rFonts w:eastAsiaTheme="minorEastAsia"/>
          <w:color w:val="000000" w:themeColor="text1"/>
        </w:rPr>
        <w:t>月再度出现大幅回撤，进一步验证了低频</w:t>
      </w:r>
      <w:r w:rsidRPr="00FF6B9A">
        <w:rPr>
          <w:rFonts w:eastAsiaTheme="minorEastAsia"/>
          <w:color w:val="000000" w:themeColor="text1"/>
        </w:rPr>
        <w:t>alpha</w:t>
      </w:r>
      <w:r w:rsidRPr="00FF6B9A">
        <w:rPr>
          <w:rFonts w:eastAsiaTheme="minorEastAsia"/>
          <w:color w:val="000000" w:themeColor="text1"/>
        </w:rPr>
        <w:t>波动放大，收益降低的长期趋势。为了应对这一新型的挑战，在开拓新的数据集的同时，将研究高维化，分类化，局部化，将传统</w:t>
      </w:r>
      <w:r w:rsidRPr="00FF6B9A">
        <w:rPr>
          <w:rFonts w:eastAsiaTheme="minorEastAsia"/>
          <w:color w:val="000000" w:themeColor="text1"/>
        </w:rPr>
        <w:t>alpha</w:t>
      </w:r>
      <w:r w:rsidRPr="00FF6B9A">
        <w:rPr>
          <w:rFonts w:eastAsiaTheme="minorEastAsia"/>
          <w:color w:val="000000" w:themeColor="text1"/>
        </w:rPr>
        <w:t>从一句话扩展成一个故事，是深入研究的必经之路，也是挖掘长期有效</w:t>
      </w:r>
      <w:r w:rsidRPr="00FF6B9A">
        <w:rPr>
          <w:rFonts w:eastAsiaTheme="minorEastAsia"/>
          <w:color w:val="000000" w:themeColor="text1"/>
        </w:rPr>
        <w:t>alpha</w:t>
      </w:r>
      <w:r w:rsidRPr="00FF6B9A">
        <w:rPr>
          <w:rFonts w:eastAsiaTheme="minorEastAsia"/>
          <w:color w:val="000000" w:themeColor="text1"/>
        </w:rPr>
        <w:t>过程中的安全感来源。对基本面研究而言，我们关注使机器学习更具针对性地表达先验知识，相对更加注重自上而下，对价量信息而言，我们关注更有效率有针对性地挖掘未知市场规律，相对更加强调利用特征工程和模型结构中心开花。总体来说，在具体投资策略上，我们在坚持基本面和价量结合的量化多因子选股策略的同时，自上而下的传统研究和自下而上的机器学习启发式研究并重，两相结合，力争构造风险收益特征优于市场基准的投资组合。</w:t>
      </w:r>
    </w:p>
    <w:p w14:paraId="0C20E366"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64C085BC"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本报告期摩根量化多因子份额净值增长率为</w:t>
      </w:r>
      <w:r w:rsidRPr="00FF6B9A">
        <w:rPr>
          <w:rFonts w:eastAsiaTheme="minorEastAsia"/>
          <w:color w:val="000000" w:themeColor="text1"/>
        </w:rPr>
        <w:t>:-2.08%</w:t>
      </w:r>
      <w:r w:rsidRPr="00FF6B9A">
        <w:rPr>
          <w:rFonts w:eastAsiaTheme="minorEastAsia"/>
          <w:color w:val="000000" w:themeColor="text1"/>
        </w:rPr>
        <w:t>，同期业绩比较基准收益率为</w:t>
      </w:r>
      <w:r w:rsidRPr="00FF6B9A">
        <w:rPr>
          <w:rFonts w:eastAsiaTheme="minorEastAsia"/>
          <w:color w:val="000000" w:themeColor="text1"/>
        </w:rPr>
        <w:t>:-0.28%</w:t>
      </w:r>
      <w:r w:rsidRPr="00FF6B9A">
        <w:rPr>
          <w:rFonts w:eastAsiaTheme="minorEastAsia"/>
          <w:color w:val="000000" w:themeColor="text1"/>
        </w:rPr>
        <w:t>。</w:t>
      </w:r>
    </w:p>
    <w:p w14:paraId="48D77AA7" w14:textId="77777777" w:rsidR="00D06738" w:rsidRPr="00FF6B9A" w:rsidRDefault="00D06738">
      <w:pPr>
        <w:spacing w:line="360" w:lineRule="auto"/>
        <w:ind w:firstLineChars="200" w:firstLine="480"/>
        <w:rPr>
          <w:rFonts w:eastAsiaTheme="minorEastAsia"/>
          <w:color w:val="000000" w:themeColor="text1"/>
          <w:sz w:val="24"/>
          <w:szCs w:val="24"/>
        </w:rPr>
      </w:pPr>
    </w:p>
    <w:p w14:paraId="0D892E17"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62B9DE87" w14:textId="77777777" w:rsidR="00D06738" w:rsidRPr="00FF6B9A" w:rsidRDefault="00AC453E" w:rsidP="00AC453E">
      <w:pPr>
        <w:spacing w:line="360" w:lineRule="auto"/>
        <w:ind w:firstLineChars="200" w:firstLine="420"/>
        <w:rPr>
          <w:rFonts w:eastAsiaTheme="minorEastAsia"/>
          <w:color w:val="000000" w:themeColor="text1"/>
        </w:rPr>
      </w:pPr>
      <w:r w:rsidRPr="00AC453E">
        <w:rPr>
          <w:rFonts w:eastAsiaTheme="minorEastAsia" w:hint="eastAsia"/>
          <w:color w:val="000000" w:themeColor="text1"/>
          <w:kern w:val="0"/>
        </w:rPr>
        <w:t>截至本报告期末，本基金已连续超过</w:t>
      </w:r>
      <w:r w:rsidRPr="00AC453E">
        <w:rPr>
          <w:rFonts w:eastAsiaTheme="minorEastAsia" w:hint="eastAsia"/>
          <w:color w:val="000000" w:themeColor="text1"/>
          <w:kern w:val="0"/>
        </w:rPr>
        <w:t>60</w:t>
      </w:r>
      <w:r w:rsidRPr="00AC453E">
        <w:rPr>
          <w:rFonts w:eastAsiaTheme="minorEastAsia" w:hint="eastAsia"/>
          <w:color w:val="000000" w:themeColor="text1"/>
          <w:kern w:val="0"/>
        </w:rPr>
        <w:t>个工作日出现基金资产净值低于</w:t>
      </w:r>
      <w:r w:rsidRPr="00AC453E">
        <w:rPr>
          <w:rFonts w:eastAsiaTheme="minorEastAsia" w:hint="eastAsia"/>
          <w:color w:val="000000" w:themeColor="text1"/>
          <w:kern w:val="0"/>
        </w:rPr>
        <w:t>5000</w:t>
      </w:r>
      <w:r w:rsidRPr="00AC453E">
        <w:rPr>
          <w:rFonts w:eastAsiaTheme="minorEastAsia" w:hint="eastAsia"/>
          <w:color w:val="000000" w:themeColor="text1"/>
          <w:kern w:val="0"/>
        </w:rPr>
        <w:t>万元的情形，相应解决方案已报送中国证监会。</w:t>
      </w:r>
    </w:p>
    <w:p w14:paraId="0F9AC766"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14:paraId="3FE04C2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63BA422F" w14:textId="77777777">
        <w:trPr>
          <w:jc w:val="center"/>
        </w:trPr>
        <w:tc>
          <w:tcPr>
            <w:tcW w:w="720" w:type="dxa"/>
            <w:vAlign w:val="center"/>
          </w:tcPr>
          <w:p w14:paraId="1AD7361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4D41C3E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6F044DD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132A959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5965D4AA" w14:textId="77777777">
        <w:trPr>
          <w:jc w:val="center"/>
        </w:trPr>
        <w:tc>
          <w:tcPr>
            <w:tcW w:w="720" w:type="dxa"/>
            <w:vAlign w:val="center"/>
          </w:tcPr>
          <w:p w14:paraId="7B89EDF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757B4EAF"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168678B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15,176,665.21</w:t>
            </w:r>
          </w:p>
        </w:tc>
        <w:tc>
          <w:tcPr>
            <w:tcW w:w="1843" w:type="dxa"/>
            <w:vAlign w:val="center"/>
          </w:tcPr>
          <w:p w14:paraId="3FD13ED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94.09</w:t>
            </w:r>
          </w:p>
        </w:tc>
      </w:tr>
      <w:tr w:rsidR="00D06738" w:rsidRPr="00FF6B9A" w14:paraId="28111592" w14:textId="77777777">
        <w:trPr>
          <w:jc w:val="center"/>
        </w:trPr>
        <w:tc>
          <w:tcPr>
            <w:tcW w:w="720" w:type="dxa"/>
            <w:vAlign w:val="center"/>
          </w:tcPr>
          <w:p w14:paraId="329C6DED"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3631F3B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355F8C6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15,176,665.21</w:t>
            </w:r>
          </w:p>
        </w:tc>
        <w:tc>
          <w:tcPr>
            <w:tcW w:w="1843" w:type="dxa"/>
            <w:vAlign w:val="center"/>
          </w:tcPr>
          <w:p w14:paraId="2D9AD60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94.09</w:t>
            </w:r>
          </w:p>
        </w:tc>
      </w:tr>
      <w:tr w:rsidR="00D06738" w:rsidRPr="00FF6B9A" w14:paraId="7DA6F820" w14:textId="77777777">
        <w:trPr>
          <w:jc w:val="center"/>
        </w:trPr>
        <w:tc>
          <w:tcPr>
            <w:tcW w:w="720" w:type="dxa"/>
            <w:vAlign w:val="center"/>
          </w:tcPr>
          <w:p w14:paraId="32754BC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58E8943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6D8ADF0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039B736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F32523C" w14:textId="77777777">
        <w:trPr>
          <w:jc w:val="center"/>
        </w:trPr>
        <w:tc>
          <w:tcPr>
            <w:tcW w:w="720" w:type="dxa"/>
            <w:vAlign w:val="center"/>
          </w:tcPr>
          <w:p w14:paraId="0989EF4C"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0BADD9E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278D3B9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70343DC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13487CE" w14:textId="77777777">
        <w:trPr>
          <w:jc w:val="center"/>
        </w:trPr>
        <w:tc>
          <w:tcPr>
            <w:tcW w:w="720" w:type="dxa"/>
            <w:vAlign w:val="center"/>
          </w:tcPr>
          <w:p w14:paraId="68898CF4"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7FF15F94"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69ECA30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63743E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2BD9F8E" w14:textId="77777777">
        <w:trPr>
          <w:jc w:val="center"/>
        </w:trPr>
        <w:tc>
          <w:tcPr>
            <w:tcW w:w="720" w:type="dxa"/>
          </w:tcPr>
          <w:p w14:paraId="574A949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633466BC"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6C5630D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19C42D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E96597A" w14:textId="77777777">
        <w:trPr>
          <w:jc w:val="center"/>
        </w:trPr>
        <w:tc>
          <w:tcPr>
            <w:tcW w:w="720" w:type="dxa"/>
            <w:vAlign w:val="center"/>
          </w:tcPr>
          <w:p w14:paraId="5F9ED5D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6B7D747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14:paraId="46EAB6C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572C25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3805581" w14:textId="77777777">
        <w:trPr>
          <w:jc w:val="center"/>
        </w:trPr>
        <w:tc>
          <w:tcPr>
            <w:tcW w:w="720" w:type="dxa"/>
            <w:vAlign w:val="center"/>
          </w:tcPr>
          <w:p w14:paraId="38F356F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6A5B292D"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4647841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0A2E03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F116744" w14:textId="77777777">
        <w:trPr>
          <w:jc w:val="center"/>
        </w:trPr>
        <w:tc>
          <w:tcPr>
            <w:tcW w:w="720" w:type="dxa"/>
            <w:vAlign w:val="center"/>
          </w:tcPr>
          <w:p w14:paraId="2D5D0032"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63DD38D5"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38DA25D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23EA502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22FD95D" w14:textId="77777777">
        <w:trPr>
          <w:jc w:val="center"/>
        </w:trPr>
        <w:tc>
          <w:tcPr>
            <w:tcW w:w="720" w:type="dxa"/>
            <w:vAlign w:val="center"/>
          </w:tcPr>
          <w:p w14:paraId="09B3950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496870ED"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46C10FF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951,444.78</w:t>
            </w:r>
          </w:p>
        </w:tc>
        <w:tc>
          <w:tcPr>
            <w:tcW w:w="1843" w:type="dxa"/>
            <w:vAlign w:val="center"/>
          </w:tcPr>
          <w:p w14:paraId="778E1E5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5.90</w:t>
            </w:r>
          </w:p>
        </w:tc>
      </w:tr>
      <w:tr w:rsidR="00D06738" w:rsidRPr="00FF6B9A" w14:paraId="0DBD7EE4" w14:textId="77777777">
        <w:trPr>
          <w:jc w:val="center"/>
        </w:trPr>
        <w:tc>
          <w:tcPr>
            <w:tcW w:w="720" w:type="dxa"/>
            <w:vAlign w:val="center"/>
          </w:tcPr>
          <w:p w14:paraId="20B276C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7982F698"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303B2AA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1,973.96</w:t>
            </w:r>
          </w:p>
        </w:tc>
        <w:tc>
          <w:tcPr>
            <w:tcW w:w="1843" w:type="dxa"/>
            <w:vAlign w:val="center"/>
          </w:tcPr>
          <w:p w14:paraId="68E0A8E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14:paraId="12B49C0A" w14:textId="77777777">
        <w:trPr>
          <w:jc w:val="center"/>
        </w:trPr>
        <w:tc>
          <w:tcPr>
            <w:tcW w:w="720" w:type="dxa"/>
            <w:vAlign w:val="center"/>
          </w:tcPr>
          <w:p w14:paraId="39B9AEC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237383E7"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21980CD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16,130,083.95</w:t>
            </w:r>
          </w:p>
        </w:tc>
        <w:tc>
          <w:tcPr>
            <w:tcW w:w="1843" w:type="dxa"/>
            <w:vAlign w:val="center"/>
          </w:tcPr>
          <w:p w14:paraId="61303D8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35D2F01E"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7852897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11714B0B"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6FFC743F"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258952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5FB15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12265B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A3F50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182BC62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0484A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61717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84A3BD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94,934.00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E78D7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0.59</w:t>
            </w:r>
          </w:p>
        </w:tc>
      </w:tr>
      <w:tr w:rsidR="00D06738" w:rsidRPr="00FF6B9A" w14:paraId="0F90E4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5DCCE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8A10E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B86CF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403,012.34</w:t>
            </w:r>
          </w:p>
          <w:p w14:paraId="18389519"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BCAC5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2.51</w:t>
            </w:r>
          </w:p>
          <w:p w14:paraId="5A2D1BD0" w14:textId="77777777" w:rsidR="00D06738" w:rsidRPr="00FF6B9A" w:rsidRDefault="00D06738">
            <w:pPr>
              <w:jc w:val="right"/>
              <w:rPr>
                <w:rFonts w:eastAsiaTheme="minorEastAsia"/>
                <w:color w:val="000000" w:themeColor="text1"/>
                <w:kern w:val="0"/>
              </w:rPr>
            </w:pPr>
          </w:p>
        </w:tc>
      </w:tr>
      <w:tr w:rsidR="00D06738" w:rsidRPr="00FF6B9A" w14:paraId="27B5FE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AC888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FDC69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B8166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9,644,031.19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41145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59.99</w:t>
            </w:r>
          </w:p>
        </w:tc>
      </w:tr>
      <w:tr w:rsidR="00D06738" w:rsidRPr="00FF6B9A" w14:paraId="4E24047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F8587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65AAD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58A28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355,367.00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5FB80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2.21</w:t>
            </w:r>
          </w:p>
        </w:tc>
      </w:tr>
      <w:tr w:rsidR="00D06738" w:rsidRPr="00FF6B9A" w14:paraId="2A5D8B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CB2E5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BE219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1B711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431,623.34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CEC4B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2.68</w:t>
            </w:r>
          </w:p>
        </w:tc>
      </w:tr>
      <w:tr w:rsidR="00D06738" w:rsidRPr="00FF6B9A" w14:paraId="1BBD7BC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B4103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DF9C8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857D0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436,399.72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1A4B0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2.71</w:t>
            </w:r>
          </w:p>
        </w:tc>
      </w:tr>
      <w:tr w:rsidR="00D06738" w:rsidRPr="00FF6B9A" w14:paraId="521ADF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423D2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312CC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8EC04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191,936.90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74422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1.19</w:t>
            </w:r>
          </w:p>
        </w:tc>
      </w:tr>
      <w:tr w:rsidR="00D06738" w:rsidRPr="00FF6B9A" w14:paraId="0470CF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0AC0E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9750C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02F40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53,720.00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58959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0.33</w:t>
            </w:r>
          </w:p>
        </w:tc>
      </w:tr>
      <w:tr w:rsidR="00D06738" w:rsidRPr="00FF6B9A" w14:paraId="038796C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E3996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817DE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C8E83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1,652,726.90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80FD7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10.28</w:t>
            </w:r>
          </w:p>
        </w:tc>
      </w:tr>
      <w:tr w:rsidR="00D06738" w:rsidRPr="00FF6B9A" w14:paraId="34FC78F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AFB85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3ED07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0FD06BA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1,158,330.44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BEBA4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7.21</w:t>
            </w:r>
          </w:p>
        </w:tc>
      </w:tr>
      <w:tr w:rsidR="00D06738" w:rsidRPr="00FF6B9A" w14:paraId="49EAD1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B8EF9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CC9AF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2561120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214,146.00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FC6CE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1.33</w:t>
            </w:r>
          </w:p>
        </w:tc>
      </w:tr>
      <w:tr w:rsidR="00D06738" w:rsidRPr="00FF6B9A" w14:paraId="74194B0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65B87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620F5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F31DD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37,120.00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CDE6B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0.23</w:t>
            </w:r>
          </w:p>
        </w:tc>
      </w:tr>
      <w:tr w:rsidR="00D06738" w:rsidRPr="00FF6B9A" w14:paraId="355759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5F529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F0FE38"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55722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138,377.00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080FE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0.86</w:t>
            </w:r>
          </w:p>
        </w:tc>
      </w:tr>
      <w:tr w:rsidR="00D06738" w:rsidRPr="00FF6B9A" w14:paraId="56098F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0307A6"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496224"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46DC3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109,173.00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7AFB5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0.68</w:t>
            </w:r>
          </w:p>
        </w:tc>
      </w:tr>
      <w:tr w:rsidR="00D06738" w:rsidRPr="00FF6B9A" w14:paraId="73E7F6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5D91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F6F7C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A8CDA7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A52E2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43C311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D6CB4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404C8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0C602E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50,606.00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69786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0.31</w:t>
            </w:r>
          </w:p>
        </w:tc>
      </w:tr>
      <w:tr w:rsidR="00D06738" w:rsidRPr="00FF6B9A" w14:paraId="2C2CD64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3482B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86AED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2ED850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35,789.00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1650F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0.22</w:t>
            </w:r>
          </w:p>
        </w:tc>
      </w:tr>
      <w:tr w:rsidR="00D06738" w:rsidRPr="00FF6B9A" w14:paraId="586BD54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24D3E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E33A82"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48806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136,631.38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725D2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0.85</w:t>
            </w:r>
          </w:p>
        </w:tc>
      </w:tr>
      <w:tr w:rsidR="00D06738" w:rsidRPr="00FF6B9A" w14:paraId="6DE130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E16B7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E4A54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BA6321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32,741.00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DD9D1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0.20</w:t>
            </w:r>
          </w:p>
        </w:tc>
      </w:tr>
      <w:tr w:rsidR="00D06738" w:rsidRPr="00FF6B9A" w14:paraId="4AFA4D2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1A55C7"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59B8B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11117D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15,176,665.21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CC12C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94.40</w:t>
            </w:r>
          </w:p>
        </w:tc>
      </w:tr>
    </w:tbl>
    <w:p w14:paraId="7F6F266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6218866" w14:textId="77777777"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5D5F2DDC" w14:textId="77777777" w:rsidTr="00D913A1">
        <w:tc>
          <w:tcPr>
            <w:tcW w:w="817" w:type="dxa"/>
            <w:vAlign w:val="center"/>
          </w:tcPr>
          <w:p w14:paraId="2F7A8D71"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0B910078"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54CBBBF5"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26F680F8"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59BE7133"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7A0999D3"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A67AE0" w14:paraId="5C0173C5" w14:textId="77777777">
        <w:tc>
          <w:tcPr>
            <w:tcW w:w="817" w:type="dxa"/>
            <w:vAlign w:val="center"/>
          </w:tcPr>
          <w:p w14:paraId="276F34A7" w14:textId="77777777" w:rsidR="00A67AE0" w:rsidRDefault="00A979E8">
            <w:pPr>
              <w:jc w:val="center"/>
            </w:pPr>
            <w:r>
              <w:rPr>
                <w:rFonts w:eastAsiaTheme="minorEastAsia"/>
                <w:kern w:val="0"/>
                <w:sz w:val="24"/>
                <w:szCs w:val="24"/>
              </w:rPr>
              <w:t>1</w:t>
            </w:r>
          </w:p>
        </w:tc>
        <w:tc>
          <w:tcPr>
            <w:tcW w:w="1276" w:type="dxa"/>
            <w:vAlign w:val="center"/>
          </w:tcPr>
          <w:p w14:paraId="7043BB70" w14:textId="77777777" w:rsidR="00A67AE0" w:rsidRDefault="00A979E8">
            <w:pPr>
              <w:jc w:val="center"/>
            </w:pPr>
            <w:r>
              <w:rPr>
                <w:rFonts w:eastAsiaTheme="minorEastAsia"/>
                <w:kern w:val="0"/>
                <w:sz w:val="24"/>
                <w:szCs w:val="24"/>
              </w:rPr>
              <w:t>300502</w:t>
            </w:r>
          </w:p>
        </w:tc>
        <w:tc>
          <w:tcPr>
            <w:tcW w:w="1701" w:type="dxa"/>
            <w:vAlign w:val="center"/>
          </w:tcPr>
          <w:p w14:paraId="717AB08B" w14:textId="77777777" w:rsidR="00A67AE0" w:rsidRDefault="00A979E8">
            <w:pPr>
              <w:jc w:val="center"/>
            </w:pPr>
            <w:r>
              <w:rPr>
                <w:rFonts w:eastAsiaTheme="minorEastAsia"/>
                <w:kern w:val="0"/>
                <w:sz w:val="24"/>
                <w:szCs w:val="24"/>
              </w:rPr>
              <w:t>新易盛</w:t>
            </w:r>
          </w:p>
        </w:tc>
        <w:tc>
          <w:tcPr>
            <w:tcW w:w="1276" w:type="dxa"/>
            <w:vAlign w:val="center"/>
          </w:tcPr>
          <w:p w14:paraId="0AD3C441" w14:textId="77777777" w:rsidR="00A67AE0" w:rsidRDefault="00A979E8">
            <w:pPr>
              <w:jc w:val="right"/>
            </w:pPr>
            <w:r>
              <w:rPr>
                <w:rFonts w:eastAsiaTheme="minorEastAsia"/>
                <w:kern w:val="0"/>
                <w:sz w:val="24"/>
                <w:szCs w:val="24"/>
              </w:rPr>
              <w:t>1,676.00</w:t>
            </w:r>
          </w:p>
        </w:tc>
        <w:tc>
          <w:tcPr>
            <w:tcW w:w="1842" w:type="dxa"/>
            <w:vAlign w:val="center"/>
          </w:tcPr>
          <w:p w14:paraId="791C998C" w14:textId="77777777" w:rsidR="00A67AE0" w:rsidRDefault="00A979E8">
            <w:pPr>
              <w:jc w:val="right"/>
            </w:pPr>
            <w:r>
              <w:rPr>
                <w:rFonts w:eastAsiaTheme="minorEastAsia"/>
                <w:kern w:val="0"/>
                <w:sz w:val="24"/>
                <w:szCs w:val="24"/>
              </w:rPr>
              <w:t>193,712.08</w:t>
            </w:r>
          </w:p>
        </w:tc>
        <w:tc>
          <w:tcPr>
            <w:tcW w:w="1616" w:type="dxa"/>
            <w:vAlign w:val="center"/>
          </w:tcPr>
          <w:p w14:paraId="593B88F1" w14:textId="77777777" w:rsidR="00A67AE0" w:rsidRDefault="00A979E8">
            <w:pPr>
              <w:jc w:val="right"/>
            </w:pPr>
            <w:r>
              <w:rPr>
                <w:rFonts w:eastAsiaTheme="minorEastAsia"/>
                <w:kern w:val="0"/>
                <w:sz w:val="24"/>
                <w:szCs w:val="24"/>
              </w:rPr>
              <w:t>1.20</w:t>
            </w:r>
          </w:p>
        </w:tc>
      </w:tr>
      <w:tr w:rsidR="00A67AE0" w14:paraId="492497B1" w14:textId="77777777">
        <w:tc>
          <w:tcPr>
            <w:tcW w:w="817" w:type="dxa"/>
            <w:vAlign w:val="center"/>
          </w:tcPr>
          <w:p w14:paraId="3EC32DD3" w14:textId="77777777" w:rsidR="00A67AE0" w:rsidRDefault="00A979E8">
            <w:pPr>
              <w:jc w:val="center"/>
            </w:pPr>
            <w:r>
              <w:rPr>
                <w:rFonts w:eastAsiaTheme="minorEastAsia"/>
                <w:kern w:val="0"/>
                <w:sz w:val="24"/>
                <w:szCs w:val="24"/>
              </w:rPr>
              <w:t>2</w:t>
            </w:r>
          </w:p>
        </w:tc>
        <w:tc>
          <w:tcPr>
            <w:tcW w:w="1276" w:type="dxa"/>
            <w:vAlign w:val="center"/>
          </w:tcPr>
          <w:p w14:paraId="60C1C8A6" w14:textId="77777777" w:rsidR="00A67AE0" w:rsidRDefault="00A979E8">
            <w:pPr>
              <w:jc w:val="center"/>
            </w:pPr>
            <w:r>
              <w:rPr>
                <w:rFonts w:eastAsiaTheme="minorEastAsia"/>
                <w:kern w:val="0"/>
                <w:sz w:val="24"/>
                <w:szCs w:val="24"/>
              </w:rPr>
              <w:t>000728</w:t>
            </w:r>
          </w:p>
        </w:tc>
        <w:tc>
          <w:tcPr>
            <w:tcW w:w="1701" w:type="dxa"/>
            <w:vAlign w:val="center"/>
          </w:tcPr>
          <w:p w14:paraId="053B6FB6" w14:textId="77777777" w:rsidR="00A67AE0" w:rsidRDefault="00A979E8">
            <w:pPr>
              <w:jc w:val="center"/>
            </w:pPr>
            <w:r>
              <w:rPr>
                <w:rFonts w:eastAsiaTheme="minorEastAsia"/>
                <w:kern w:val="0"/>
                <w:sz w:val="24"/>
                <w:szCs w:val="24"/>
              </w:rPr>
              <w:t>国元证券</w:t>
            </w:r>
          </w:p>
        </w:tc>
        <w:tc>
          <w:tcPr>
            <w:tcW w:w="1276" w:type="dxa"/>
            <w:vAlign w:val="center"/>
          </w:tcPr>
          <w:p w14:paraId="54393FB4" w14:textId="77777777" w:rsidR="00A67AE0" w:rsidRDefault="00A979E8">
            <w:pPr>
              <w:jc w:val="right"/>
            </w:pPr>
            <w:r>
              <w:rPr>
                <w:rFonts w:eastAsiaTheme="minorEastAsia"/>
                <w:kern w:val="0"/>
                <w:sz w:val="24"/>
                <w:szCs w:val="24"/>
              </w:rPr>
              <w:t>22,400.00</w:t>
            </w:r>
          </w:p>
        </w:tc>
        <w:tc>
          <w:tcPr>
            <w:tcW w:w="1842" w:type="dxa"/>
            <w:vAlign w:val="center"/>
          </w:tcPr>
          <w:p w14:paraId="334DCB23" w14:textId="77777777" w:rsidR="00A67AE0" w:rsidRDefault="00A979E8">
            <w:pPr>
              <w:jc w:val="right"/>
            </w:pPr>
            <w:r>
              <w:rPr>
                <w:rFonts w:eastAsiaTheme="minorEastAsia"/>
                <w:kern w:val="0"/>
                <w:sz w:val="24"/>
                <w:szCs w:val="24"/>
              </w:rPr>
              <w:t>187,264.00</w:t>
            </w:r>
          </w:p>
        </w:tc>
        <w:tc>
          <w:tcPr>
            <w:tcW w:w="1616" w:type="dxa"/>
            <w:vAlign w:val="center"/>
          </w:tcPr>
          <w:p w14:paraId="4A76C306" w14:textId="77777777" w:rsidR="00A67AE0" w:rsidRDefault="00A979E8">
            <w:pPr>
              <w:jc w:val="right"/>
            </w:pPr>
            <w:r>
              <w:rPr>
                <w:rFonts w:eastAsiaTheme="minorEastAsia"/>
                <w:kern w:val="0"/>
                <w:sz w:val="24"/>
                <w:szCs w:val="24"/>
              </w:rPr>
              <w:t>1.16</w:t>
            </w:r>
          </w:p>
        </w:tc>
      </w:tr>
      <w:tr w:rsidR="00A67AE0" w14:paraId="1AE48054" w14:textId="77777777">
        <w:tc>
          <w:tcPr>
            <w:tcW w:w="817" w:type="dxa"/>
            <w:vAlign w:val="center"/>
          </w:tcPr>
          <w:p w14:paraId="1BDC4B54" w14:textId="77777777" w:rsidR="00A67AE0" w:rsidRDefault="00A979E8">
            <w:pPr>
              <w:jc w:val="center"/>
            </w:pPr>
            <w:r>
              <w:rPr>
                <w:rFonts w:eastAsiaTheme="minorEastAsia"/>
                <w:kern w:val="0"/>
                <w:sz w:val="24"/>
                <w:szCs w:val="24"/>
              </w:rPr>
              <w:t>3</w:t>
            </w:r>
          </w:p>
        </w:tc>
        <w:tc>
          <w:tcPr>
            <w:tcW w:w="1276" w:type="dxa"/>
            <w:vAlign w:val="center"/>
          </w:tcPr>
          <w:p w14:paraId="6D4289D0" w14:textId="77777777" w:rsidR="00A67AE0" w:rsidRDefault="00A979E8">
            <w:pPr>
              <w:jc w:val="center"/>
            </w:pPr>
            <w:r>
              <w:rPr>
                <w:rFonts w:eastAsiaTheme="minorEastAsia"/>
                <w:kern w:val="0"/>
                <w:sz w:val="24"/>
                <w:szCs w:val="24"/>
              </w:rPr>
              <w:t>600418</w:t>
            </w:r>
          </w:p>
        </w:tc>
        <w:tc>
          <w:tcPr>
            <w:tcW w:w="1701" w:type="dxa"/>
            <w:vAlign w:val="center"/>
          </w:tcPr>
          <w:p w14:paraId="2CADE886" w14:textId="77777777" w:rsidR="00A67AE0" w:rsidRDefault="00A979E8">
            <w:pPr>
              <w:jc w:val="center"/>
            </w:pPr>
            <w:r>
              <w:rPr>
                <w:rFonts w:eastAsiaTheme="minorEastAsia"/>
                <w:kern w:val="0"/>
                <w:sz w:val="24"/>
                <w:szCs w:val="24"/>
              </w:rPr>
              <w:t>江淮汽车</w:t>
            </w:r>
          </w:p>
        </w:tc>
        <w:tc>
          <w:tcPr>
            <w:tcW w:w="1276" w:type="dxa"/>
            <w:vAlign w:val="center"/>
          </w:tcPr>
          <w:p w14:paraId="26BE2F2D" w14:textId="77777777" w:rsidR="00A67AE0" w:rsidRDefault="00A979E8">
            <w:pPr>
              <w:jc w:val="right"/>
            </w:pPr>
            <w:r>
              <w:rPr>
                <w:rFonts w:eastAsiaTheme="minorEastAsia"/>
                <w:kern w:val="0"/>
                <w:sz w:val="24"/>
                <w:szCs w:val="24"/>
              </w:rPr>
              <w:t>3,900.00</w:t>
            </w:r>
          </w:p>
        </w:tc>
        <w:tc>
          <w:tcPr>
            <w:tcW w:w="1842" w:type="dxa"/>
            <w:vAlign w:val="center"/>
          </w:tcPr>
          <w:p w14:paraId="6924AAA9" w14:textId="77777777" w:rsidR="00A67AE0" w:rsidRDefault="00A979E8">
            <w:pPr>
              <w:jc w:val="right"/>
            </w:pPr>
            <w:r>
              <w:rPr>
                <w:rFonts w:eastAsiaTheme="minorEastAsia"/>
                <w:kern w:val="0"/>
                <w:sz w:val="24"/>
                <w:szCs w:val="24"/>
              </w:rPr>
              <w:t>146,250.00</w:t>
            </w:r>
          </w:p>
        </w:tc>
        <w:tc>
          <w:tcPr>
            <w:tcW w:w="1616" w:type="dxa"/>
            <w:vAlign w:val="center"/>
          </w:tcPr>
          <w:p w14:paraId="3EB40304" w14:textId="77777777" w:rsidR="00A67AE0" w:rsidRDefault="00A979E8">
            <w:pPr>
              <w:jc w:val="right"/>
            </w:pPr>
            <w:r>
              <w:rPr>
                <w:rFonts w:eastAsiaTheme="minorEastAsia"/>
                <w:kern w:val="0"/>
                <w:sz w:val="24"/>
                <w:szCs w:val="24"/>
              </w:rPr>
              <w:t>0.91</w:t>
            </w:r>
          </w:p>
        </w:tc>
      </w:tr>
      <w:tr w:rsidR="00A67AE0" w14:paraId="3EB7D3C9" w14:textId="77777777">
        <w:tc>
          <w:tcPr>
            <w:tcW w:w="817" w:type="dxa"/>
            <w:vAlign w:val="center"/>
          </w:tcPr>
          <w:p w14:paraId="4B1BE21E" w14:textId="77777777" w:rsidR="00A67AE0" w:rsidRDefault="00A979E8">
            <w:pPr>
              <w:jc w:val="center"/>
            </w:pPr>
            <w:r>
              <w:rPr>
                <w:rFonts w:eastAsiaTheme="minorEastAsia"/>
                <w:kern w:val="0"/>
                <w:sz w:val="24"/>
                <w:szCs w:val="24"/>
              </w:rPr>
              <w:t>4</w:t>
            </w:r>
          </w:p>
        </w:tc>
        <w:tc>
          <w:tcPr>
            <w:tcW w:w="1276" w:type="dxa"/>
            <w:vAlign w:val="center"/>
          </w:tcPr>
          <w:p w14:paraId="07BE7D4E" w14:textId="77777777" w:rsidR="00A67AE0" w:rsidRDefault="00A979E8">
            <w:pPr>
              <w:jc w:val="center"/>
            </w:pPr>
            <w:r>
              <w:rPr>
                <w:rFonts w:eastAsiaTheme="minorEastAsia"/>
                <w:kern w:val="0"/>
                <w:sz w:val="24"/>
                <w:szCs w:val="24"/>
              </w:rPr>
              <w:t>600909</w:t>
            </w:r>
          </w:p>
        </w:tc>
        <w:tc>
          <w:tcPr>
            <w:tcW w:w="1701" w:type="dxa"/>
            <w:vAlign w:val="center"/>
          </w:tcPr>
          <w:p w14:paraId="31D9DC19" w14:textId="77777777" w:rsidR="00A67AE0" w:rsidRDefault="00A979E8">
            <w:pPr>
              <w:jc w:val="center"/>
            </w:pPr>
            <w:r>
              <w:rPr>
                <w:rFonts w:eastAsiaTheme="minorEastAsia"/>
                <w:kern w:val="0"/>
                <w:sz w:val="24"/>
                <w:szCs w:val="24"/>
              </w:rPr>
              <w:t>华安证券</w:t>
            </w:r>
          </w:p>
        </w:tc>
        <w:tc>
          <w:tcPr>
            <w:tcW w:w="1276" w:type="dxa"/>
            <w:vAlign w:val="center"/>
          </w:tcPr>
          <w:p w14:paraId="0DDD7EDB" w14:textId="77777777" w:rsidR="00A67AE0" w:rsidRDefault="00A979E8">
            <w:pPr>
              <w:jc w:val="right"/>
            </w:pPr>
            <w:r>
              <w:rPr>
                <w:rFonts w:eastAsiaTheme="minorEastAsia"/>
                <w:kern w:val="0"/>
                <w:sz w:val="24"/>
                <w:szCs w:val="24"/>
              </w:rPr>
              <w:t>23,646.00</w:t>
            </w:r>
          </w:p>
        </w:tc>
        <w:tc>
          <w:tcPr>
            <w:tcW w:w="1842" w:type="dxa"/>
            <w:vAlign w:val="center"/>
          </w:tcPr>
          <w:p w14:paraId="05584DE3" w14:textId="77777777" w:rsidR="00A67AE0" w:rsidRDefault="00A979E8">
            <w:pPr>
              <w:jc w:val="right"/>
            </w:pPr>
            <w:r>
              <w:rPr>
                <w:rFonts w:eastAsiaTheme="minorEastAsia"/>
                <w:kern w:val="0"/>
                <w:sz w:val="24"/>
                <w:szCs w:val="24"/>
              </w:rPr>
              <w:t>143,294.76</w:t>
            </w:r>
          </w:p>
        </w:tc>
        <w:tc>
          <w:tcPr>
            <w:tcW w:w="1616" w:type="dxa"/>
            <w:vAlign w:val="center"/>
          </w:tcPr>
          <w:p w14:paraId="27B0A507" w14:textId="77777777" w:rsidR="00A67AE0" w:rsidRDefault="00A979E8">
            <w:pPr>
              <w:jc w:val="right"/>
            </w:pPr>
            <w:r>
              <w:rPr>
                <w:rFonts w:eastAsiaTheme="minorEastAsia"/>
                <w:kern w:val="0"/>
                <w:sz w:val="24"/>
                <w:szCs w:val="24"/>
              </w:rPr>
              <w:t>0.89</w:t>
            </w:r>
          </w:p>
        </w:tc>
      </w:tr>
      <w:tr w:rsidR="00A67AE0" w14:paraId="0A8BAA24" w14:textId="77777777">
        <w:tc>
          <w:tcPr>
            <w:tcW w:w="817" w:type="dxa"/>
            <w:vAlign w:val="center"/>
          </w:tcPr>
          <w:p w14:paraId="2D44A27C" w14:textId="77777777" w:rsidR="00A67AE0" w:rsidRDefault="00A979E8">
            <w:pPr>
              <w:jc w:val="center"/>
            </w:pPr>
            <w:r>
              <w:rPr>
                <w:rFonts w:eastAsiaTheme="minorEastAsia"/>
                <w:kern w:val="0"/>
                <w:sz w:val="24"/>
                <w:szCs w:val="24"/>
              </w:rPr>
              <w:t>5</w:t>
            </w:r>
          </w:p>
        </w:tc>
        <w:tc>
          <w:tcPr>
            <w:tcW w:w="1276" w:type="dxa"/>
            <w:vAlign w:val="center"/>
          </w:tcPr>
          <w:p w14:paraId="3D1A2811" w14:textId="77777777" w:rsidR="00A67AE0" w:rsidRDefault="00A979E8">
            <w:pPr>
              <w:jc w:val="center"/>
            </w:pPr>
            <w:r>
              <w:rPr>
                <w:rFonts w:eastAsiaTheme="minorEastAsia"/>
                <w:kern w:val="0"/>
                <w:sz w:val="24"/>
                <w:szCs w:val="24"/>
              </w:rPr>
              <w:t>601168</w:t>
            </w:r>
          </w:p>
        </w:tc>
        <w:tc>
          <w:tcPr>
            <w:tcW w:w="1701" w:type="dxa"/>
            <w:vAlign w:val="center"/>
          </w:tcPr>
          <w:p w14:paraId="2F7FF6C8" w14:textId="77777777" w:rsidR="00A67AE0" w:rsidRDefault="00A979E8">
            <w:pPr>
              <w:jc w:val="center"/>
            </w:pPr>
            <w:r>
              <w:rPr>
                <w:rFonts w:eastAsiaTheme="minorEastAsia"/>
                <w:kern w:val="0"/>
                <w:sz w:val="24"/>
                <w:szCs w:val="24"/>
              </w:rPr>
              <w:t>西部矿业</w:t>
            </w:r>
          </w:p>
        </w:tc>
        <w:tc>
          <w:tcPr>
            <w:tcW w:w="1276" w:type="dxa"/>
            <w:vAlign w:val="center"/>
          </w:tcPr>
          <w:p w14:paraId="5B2B31FE" w14:textId="77777777" w:rsidR="00A67AE0" w:rsidRDefault="00A979E8">
            <w:pPr>
              <w:jc w:val="right"/>
            </w:pPr>
            <w:r>
              <w:rPr>
                <w:rFonts w:eastAsiaTheme="minorEastAsia"/>
                <w:kern w:val="0"/>
                <w:sz w:val="24"/>
                <w:szCs w:val="24"/>
              </w:rPr>
              <w:t>8,572.00</w:t>
            </w:r>
          </w:p>
        </w:tc>
        <w:tc>
          <w:tcPr>
            <w:tcW w:w="1842" w:type="dxa"/>
            <w:vAlign w:val="center"/>
          </w:tcPr>
          <w:p w14:paraId="2329C739" w14:textId="77777777" w:rsidR="00A67AE0" w:rsidRDefault="00A979E8">
            <w:pPr>
              <w:jc w:val="right"/>
            </w:pPr>
            <w:r>
              <w:rPr>
                <w:rFonts w:eastAsiaTheme="minorEastAsia"/>
                <w:kern w:val="0"/>
                <w:sz w:val="24"/>
                <w:szCs w:val="24"/>
              </w:rPr>
              <w:t>137,752.04</w:t>
            </w:r>
          </w:p>
        </w:tc>
        <w:tc>
          <w:tcPr>
            <w:tcW w:w="1616" w:type="dxa"/>
            <w:vAlign w:val="center"/>
          </w:tcPr>
          <w:p w14:paraId="14CCA968" w14:textId="77777777" w:rsidR="00A67AE0" w:rsidRDefault="00A979E8">
            <w:pPr>
              <w:jc w:val="right"/>
            </w:pPr>
            <w:r>
              <w:rPr>
                <w:rFonts w:eastAsiaTheme="minorEastAsia"/>
                <w:kern w:val="0"/>
                <w:sz w:val="24"/>
                <w:szCs w:val="24"/>
              </w:rPr>
              <w:t>0.86</w:t>
            </w:r>
          </w:p>
        </w:tc>
      </w:tr>
      <w:tr w:rsidR="00A67AE0" w14:paraId="64CDB00C" w14:textId="77777777">
        <w:tc>
          <w:tcPr>
            <w:tcW w:w="817" w:type="dxa"/>
            <w:vAlign w:val="center"/>
          </w:tcPr>
          <w:p w14:paraId="2B0AD2C3" w14:textId="77777777" w:rsidR="00A67AE0" w:rsidRDefault="00A979E8">
            <w:pPr>
              <w:jc w:val="center"/>
            </w:pPr>
            <w:r>
              <w:rPr>
                <w:rFonts w:eastAsiaTheme="minorEastAsia"/>
                <w:kern w:val="0"/>
                <w:sz w:val="24"/>
                <w:szCs w:val="24"/>
              </w:rPr>
              <w:t>6</w:t>
            </w:r>
          </w:p>
        </w:tc>
        <w:tc>
          <w:tcPr>
            <w:tcW w:w="1276" w:type="dxa"/>
            <w:vAlign w:val="center"/>
          </w:tcPr>
          <w:p w14:paraId="594458B5" w14:textId="77777777" w:rsidR="00A67AE0" w:rsidRDefault="00A979E8">
            <w:pPr>
              <w:jc w:val="center"/>
            </w:pPr>
            <w:r>
              <w:rPr>
                <w:rFonts w:eastAsiaTheme="minorEastAsia"/>
                <w:kern w:val="0"/>
                <w:sz w:val="24"/>
                <w:szCs w:val="24"/>
              </w:rPr>
              <w:t>000630</w:t>
            </w:r>
          </w:p>
        </w:tc>
        <w:tc>
          <w:tcPr>
            <w:tcW w:w="1701" w:type="dxa"/>
            <w:vAlign w:val="center"/>
          </w:tcPr>
          <w:p w14:paraId="2E0BF7BD" w14:textId="77777777" w:rsidR="00A67AE0" w:rsidRDefault="00A979E8">
            <w:pPr>
              <w:jc w:val="center"/>
            </w:pPr>
            <w:r>
              <w:rPr>
                <w:rFonts w:eastAsiaTheme="minorEastAsia"/>
                <w:kern w:val="0"/>
                <w:sz w:val="24"/>
                <w:szCs w:val="24"/>
              </w:rPr>
              <w:t>铜陵有色</w:t>
            </w:r>
          </w:p>
        </w:tc>
        <w:tc>
          <w:tcPr>
            <w:tcW w:w="1276" w:type="dxa"/>
            <w:vAlign w:val="center"/>
          </w:tcPr>
          <w:p w14:paraId="1C2BDB4A" w14:textId="77777777" w:rsidR="00A67AE0" w:rsidRDefault="00A979E8">
            <w:pPr>
              <w:jc w:val="right"/>
            </w:pPr>
            <w:r>
              <w:rPr>
                <w:rFonts w:eastAsiaTheme="minorEastAsia"/>
                <w:kern w:val="0"/>
                <w:sz w:val="24"/>
                <w:szCs w:val="24"/>
              </w:rPr>
              <w:t>41,378.00</w:t>
            </w:r>
          </w:p>
        </w:tc>
        <w:tc>
          <w:tcPr>
            <w:tcW w:w="1842" w:type="dxa"/>
            <w:vAlign w:val="center"/>
          </w:tcPr>
          <w:p w14:paraId="59886040" w14:textId="77777777" w:rsidR="00A67AE0" w:rsidRDefault="00A979E8">
            <w:pPr>
              <w:jc w:val="right"/>
            </w:pPr>
            <w:r>
              <w:rPr>
                <w:rFonts w:eastAsiaTheme="minorEastAsia"/>
                <w:kern w:val="0"/>
                <w:sz w:val="24"/>
                <w:szCs w:val="24"/>
              </w:rPr>
              <w:t>133,650.94</w:t>
            </w:r>
          </w:p>
        </w:tc>
        <w:tc>
          <w:tcPr>
            <w:tcW w:w="1616" w:type="dxa"/>
            <w:vAlign w:val="center"/>
          </w:tcPr>
          <w:p w14:paraId="5FE16432" w14:textId="77777777" w:rsidR="00A67AE0" w:rsidRDefault="00A979E8">
            <w:pPr>
              <w:jc w:val="right"/>
            </w:pPr>
            <w:r>
              <w:rPr>
                <w:rFonts w:eastAsiaTheme="minorEastAsia"/>
                <w:kern w:val="0"/>
                <w:sz w:val="24"/>
                <w:szCs w:val="24"/>
              </w:rPr>
              <w:t>0.83</w:t>
            </w:r>
          </w:p>
        </w:tc>
      </w:tr>
      <w:tr w:rsidR="00A67AE0" w14:paraId="0A911CA3" w14:textId="77777777">
        <w:tc>
          <w:tcPr>
            <w:tcW w:w="817" w:type="dxa"/>
            <w:vAlign w:val="center"/>
          </w:tcPr>
          <w:p w14:paraId="41E7AD0D" w14:textId="77777777" w:rsidR="00A67AE0" w:rsidRDefault="00A979E8">
            <w:pPr>
              <w:jc w:val="center"/>
            </w:pPr>
            <w:r>
              <w:rPr>
                <w:rFonts w:eastAsiaTheme="minorEastAsia"/>
                <w:kern w:val="0"/>
                <w:sz w:val="24"/>
                <w:szCs w:val="24"/>
              </w:rPr>
              <w:t>7</w:t>
            </w:r>
          </w:p>
        </w:tc>
        <w:tc>
          <w:tcPr>
            <w:tcW w:w="1276" w:type="dxa"/>
            <w:vAlign w:val="center"/>
          </w:tcPr>
          <w:p w14:paraId="6FE6ACC1" w14:textId="77777777" w:rsidR="00A67AE0" w:rsidRDefault="00A979E8">
            <w:pPr>
              <w:jc w:val="center"/>
            </w:pPr>
            <w:r>
              <w:rPr>
                <w:rFonts w:eastAsiaTheme="minorEastAsia"/>
                <w:kern w:val="0"/>
                <w:sz w:val="24"/>
                <w:szCs w:val="24"/>
              </w:rPr>
              <w:t>600096</w:t>
            </w:r>
          </w:p>
        </w:tc>
        <w:tc>
          <w:tcPr>
            <w:tcW w:w="1701" w:type="dxa"/>
            <w:vAlign w:val="center"/>
          </w:tcPr>
          <w:p w14:paraId="7F7E4A91" w14:textId="77777777" w:rsidR="00A67AE0" w:rsidRDefault="00A979E8">
            <w:pPr>
              <w:jc w:val="center"/>
            </w:pPr>
            <w:r>
              <w:rPr>
                <w:rFonts w:eastAsiaTheme="minorEastAsia"/>
                <w:kern w:val="0"/>
                <w:sz w:val="24"/>
                <w:szCs w:val="24"/>
              </w:rPr>
              <w:t>云天化</w:t>
            </w:r>
          </w:p>
        </w:tc>
        <w:tc>
          <w:tcPr>
            <w:tcW w:w="1276" w:type="dxa"/>
            <w:vAlign w:val="center"/>
          </w:tcPr>
          <w:p w14:paraId="2AFF9097" w14:textId="77777777" w:rsidR="00A67AE0" w:rsidRDefault="00A979E8">
            <w:pPr>
              <w:jc w:val="right"/>
            </w:pPr>
            <w:r>
              <w:rPr>
                <w:rFonts w:eastAsiaTheme="minorEastAsia"/>
                <w:kern w:val="0"/>
                <w:sz w:val="24"/>
                <w:szCs w:val="24"/>
              </w:rPr>
              <w:t>5,968.00</w:t>
            </w:r>
          </w:p>
        </w:tc>
        <w:tc>
          <w:tcPr>
            <w:tcW w:w="1842" w:type="dxa"/>
            <w:vAlign w:val="center"/>
          </w:tcPr>
          <w:p w14:paraId="295ACAB2" w14:textId="77777777" w:rsidR="00A67AE0" w:rsidRDefault="00A979E8">
            <w:pPr>
              <w:jc w:val="right"/>
            </w:pPr>
            <w:r>
              <w:rPr>
                <w:rFonts w:eastAsiaTheme="minorEastAsia"/>
                <w:kern w:val="0"/>
                <w:sz w:val="24"/>
                <w:szCs w:val="24"/>
              </w:rPr>
              <w:t>133,086.40</w:t>
            </w:r>
          </w:p>
        </w:tc>
        <w:tc>
          <w:tcPr>
            <w:tcW w:w="1616" w:type="dxa"/>
            <w:vAlign w:val="center"/>
          </w:tcPr>
          <w:p w14:paraId="1B1EE057" w14:textId="77777777" w:rsidR="00A67AE0" w:rsidRDefault="00A979E8">
            <w:pPr>
              <w:jc w:val="right"/>
            </w:pPr>
            <w:r>
              <w:rPr>
                <w:rFonts w:eastAsiaTheme="minorEastAsia"/>
                <w:kern w:val="0"/>
                <w:sz w:val="24"/>
                <w:szCs w:val="24"/>
              </w:rPr>
              <w:t>0.83</w:t>
            </w:r>
          </w:p>
        </w:tc>
      </w:tr>
      <w:tr w:rsidR="00A67AE0" w14:paraId="2B93D4F6" w14:textId="77777777">
        <w:tc>
          <w:tcPr>
            <w:tcW w:w="817" w:type="dxa"/>
            <w:vAlign w:val="center"/>
          </w:tcPr>
          <w:p w14:paraId="7C044113" w14:textId="77777777" w:rsidR="00A67AE0" w:rsidRDefault="00A979E8">
            <w:pPr>
              <w:jc w:val="center"/>
            </w:pPr>
            <w:r>
              <w:rPr>
                <w:rFonts w:eastAsiaTheme="minorEastAsia"/>
                <w:kern w:val="0"/>
                <w:sz w:val="24"/>
                <w:szCs w:val="24"/>
              </w:rPr>
              <w:t>8</w:t>
            </w:r>
          </w:p>
        </w:tc>
        <w:tc>
          <w:tcPr>
            <w:tcW w:w="1276" w:type="dxa"/>
            <w:vAlign w:val="center"/>
          </w:tcPr>
          <w:p w14:paraId="4A416805" w14:textId="77777777" w:rsidR="00A67AE0" w:rsidRDefault="00A979E8">
            <w:pPr>
              <w:jc w:val="center"/>
            </w:pPr>
            <w:r>
              <w:rPr>
                <w:rFonts w:eastAsiaTheme="minorEastAsia"/>
                <w:kern w:val="0"/>
                <w:sz w:val="24"/>
                <w:szCs w:val="24"/>
              </w:rPr>
              <w:t>601555</w:t>
            </w:r>
          </w:p>
        </w:tc>
        <w:tc>
          <w:tcPr>
            <w:tcW w:w="1701" w:type="dxa"/>
            <w:vAlign w:val="center"/>
          </w:tcPr>
          <w:p w14:paraId="4A4053DE" w14:textId="77777777" w:rsidR="00A67AE0" w:rsidRDefault="00A979E8">
            <w:pPr>
              <w:jc w:val="center"/>
            </w:pPr>
            <w:r>
              <w:rPr>
                <w:rFonts w:eastAsiaTheme="minorEastAsia"/>
                <w:kern w:val="0"/>
                <w:sz w:val="24"/>
                <w:szCs w:val="24"/>
              </w:rPr>
              <w:t>东吴证券</w:t>
            </w:r>
          </w:p>
        </w:tc>
        <w:tc>
          <w:tcPr>
            <w:tcW w:w="1276" w:type="dxa"/>
            <w:vAlign w:val="center"/>
          </w:tcPr>
          <w:p w14:paraId="20DE5380" w14:textId="77777777" w:rsidR="00A67AE0" w:rsidRDefault="00A979E8">
            <w:pPr>
              <w:jc w:val="right"/>
            </w:pPr>
            <w:r>
              <w:rPr>
                <w:rFonts w:eastAsiaTheme="minorEastAsia"/>
                <w:kern w:val="0"/>
                <w:sz w:val="24"/>
                <w:szCs w:val="24"/>
              </w:rPr>
              <w:t>16,644.00</w:t>
            </w:r>
          </w:p>
        </w:tc>
        <w:tc>
          <w:tcPr>
            <w:tcW w:w="1842" w:type="dxa"/>
            <w:vAlign w:val="center"/>
          </w:tcPr>
          <w:p w14:paraId="0C3625E7" w14:textId="77777777" w:rsidR="00A67AE0" w:rsidRDefault="00A979E8">
            <w:pPr>
              <w:jc w:val="right"/>
            </w:pPr>
            <w:r>
              <w:rPr>
                <w:rFonts w:eastAsiaTheme="minorEastAsia"/>
                <w:kern w:val="0"/>
                <w:sz w:val="24"/>
                <w:szCs w:val="24"/>
              </w:rPr>
              <w:t>129,823.20</w:t>
            </w:r>
          </w:p>
        </w:tc>
        <w:tc>
          <w:tcPr>
            <w:tcW w:w="1616" w:type="dxa"/>
            <w:vAlign w:val="center"/>
          </w:tcPr>
          <w:p w14:paraId="1458BE93" w14:textId="77777777" w:rsidR="00A67AE0" w:rsidRDefault="00A979E8">
            <w:pPr>
              <w:jc w:val="right"/>
            </w:pPr>
            <w:r>
              <w:rPr>
                <w:rFonts w:eastAsiaTheme="minorEastAsia"/>
                <w:kern w:val="0"/>
                <w:sz w:val="24"/>
                <w:szCs w:val="24"/>
              </w:rPr>
              <w:t>0.81</w:t>
            </w:r>
          </w:p>
        </w:tc>
      </w:tr>
      <w:tr w:rsidR="00A67AE0" w14:paraId="137D7642" w14:textId="77777777">
        <w:tc>
          <w:tcPr>
            <w:tcW w:w="817" w:type="dxa"/>
            <w:vAlign w:val="center"/>
          </w:tcPr>
          <w:p w14:paraId="615DA6C0" w14:textId="77777777" w:rsidR="00A67AE0" w:rsidRDefault="00A979E8">
            <w:pPr>
              <w:jc w:val="center"/>
            </w:pPr>
            <w:r>
              <w:rPr>
                <w:rFonts w:eastAsiaTheme="minorEastAsia"/>
                <w:kern w:val="0"/>
                <w:sz w:val="24"/>
                <w:szCs w:val="24"/>
              </w:rPr>
              <w:t>9</w:t>
            </w:r>
          </w:p>
        </w:tc>
        <w:tc>
          <w:tcPr>
            <w:tcW w:w="1276" w:type="dxa"/>
            <w:vAlign w:val="center"/>
          </w:tcPr>
          <w:p w14:paraId="60D2F53B" w14:textId="77777777" w:rsidR="00A67AE0" w:rsidRDefault="00A979E8">
            <w:pPr>
              <w:jc w:val="center"/>
            </w:pPr>
            <w:r>
              <w:rPr>
                <w:rFonts w:eastAsiaTheme="minorEastAsia"/>
                <w:kern w:val="0"/>
                <w:sz w:val="24"/>
                <w:szCs w:val="24"/>
              </w:rPr>
              <w:t>601108</w:t>
            </w:r>
          </w:p>
        </w:tc>
        <w:tc>
          <w:tcPr>
            <w:tcW w:w="1701" w:type="dxa"/>
            <w:vAlign w:val="center"/>
          </w:tcPr>
          <w:p w14:paraId="1816BE57" w14:textId="77777777" w:rsidR="00A67AE0" w:rsidRDefault="00A979E8">
            <w:pPr>
              <w:jc w:val="center"/>
            </w:pPr>
            <w:r>
              <w:rPr>
                <w:rFonts w:eastAsiaTheme="minorEastAsia"/>
                <w:kern w:val="0"/>
                <w:sz w:val="24"/>
                <w:szCs w:val="24"/>
              </w:rPr>
              <w:t>财通证券</w:t>
            </w:r>
          </w:p>
        </w:tc>
        <w:tc>
          <w:tcPr>
            <w:tcW w:w="1276" w:type="dxa"/>
            <w:vAlign w:val="center"/>
          </w:tcPr>
          <w:p w14:paraId="3B90C448" w14:textId="77777777" w:rsidR="00A67AE0" w:rsidRDefault="00A979E8">
            <w:pPr>
              <w:jc w:val="right"/>
            </w:pPr>
            <w:r>
              <w:rPr>
                <w:rFonts w:eastAsiaTheme="minorEastAsia"/>
                <w:kern w:val="0"/>
                <w:sz w:val="24"/>
                <w:szCs w:val="24"/>
              </w:rPr>
              <w:t>14,868.00</w:t>
            </w:r>
          </w:p>
        </w:tc>
        <w:tc>
          <w:tcPr>
            <w:tcW w:w="1842" w:type="dxa"/>
            <w:vAlign w:val="center"/>
          </w:tcPr>
          <w:p w14:paraId="3BC6CC3B" w14:textId="77777777" w:rsidR="00A67AE0" w:rsidRDefault="00A979E8">
            <w:pPr>
              <w:jc w:val="right"/>
            </w:pPr>
            <w:r>
              <w:rPr>
                <w:rFonts w:eastAsiaTheme="minorEastAsia"/>
                <w:kern w:val="0"/>
                <w:sz w:val="24"/>
                <w:szCs w:val="24"/>
              </w:rPr>
              <w:t>121,471.56</w:t>
            </w:r>
          </w:p>
        </w:tc>
        <w:tc>
          <w:tcPr>
            <w:tcW w:w="1616" w:type="dxa"/>
            <w:vAlign w:val="center"/>
          </w:tcPr>
          <w:p w14:paraId="5495D79D" w14:textId="77777777" w:rsidR="00A67AE0" w:rsidRDefault="00A979E8">
            <w:pPr>
              <w:jc w:val="right"/>
            </w:pPr>
            <w:r>
              <w:rPr>
                <w:rFonts w:eastAsiaTheme="minorEastAsia"/>
                <w:kern w:val="0"/>
                <w:sz w:val="24"/>
                <w:szCs w:val="24"/>
              </w:rPr>
              <w:t>0.76</w:t>
            </w:r>
          </w:p>
        </w:tc>
      </w:tr>
      <w:tr w:rsidR="00A67AE0" w14:paraId="7EDDD915" w14:textId="77777777">
        <w:tc>
          <w:tcPr>
            <w:tcW w:w="817" w:type="dxa"/>
            <w:vAlign w:val="center"/>
          </w:tcPr>
          <w:p w14:paraId="4F2E7BBF" w14:textId="77777777" w:rsidR="00A67AE0" w:rsidRDefault="00A979E8">
            <w:pPr>
              <w:jc w:val="center"/>
            </w:pPr>
            <w:r>
              <w:rPr>
                <w:rFonts w:eastAsiaTheme="minorEastAsia"/>
                <w:kern w:val="0"/>
                <w:sz w:val="24"/>
                <w:szCs w:val="24"/>
              </w:rPr>
              <w:t>10</w:t>
            </w:r>
          </w:p>
        </w:tc>
        <w:tc>
          <w:tcPr>
            <w:tcW w:w="1276" w:type="dxa"/>
            <w:vAlign w:val="center"/>
          </w:tcPr>
          <w:p w14:paraId="454E29F3" w14:textId="77777777" w:rsidR="00A67AE0" w:rsidRDefault="00A979E8">
            <w:pPr>
              <w:jc w:val="center"/>
            </w:pPr>
            <w:r>
              <w:rPr>
                <w:rFonts w:eastAsiaTheme="minorEastAsia"/>
                <w:kern w:val="0"/>
                <w:sz w:val="24"/>
                <w:szCs w:val="24"/>
              </w:rPr>
              <w:t>600271</w:t>
            </w:r>
          </w:p>
        </w:tc>
        <w:tc>
          <w:tcPr>
            <w:tcW w:w="1701" w:type="dxa"/>
            <w:vAlign w:val="center"/>
          </w:tcPr>
          <w:p w14:paraId="62AC27C4" w14:textId="77777777" w:rsidR="00A67AE0" w:rsidRDefault="00A979E8">
            <w:pPr>
              <w:jc w:val="center"/>
            </w:pPr>
            <w:r>
              <w:rPr>
                <w:rFonts w:eastAsiaTheme="minorEastAsia"/>
                <w:kern w:val="0"/>
                <w:sz w:val="24"/>
                <w:szCs w:val="24"/>
              </w:rPr>
              <w:t>航天信息</w:t>
            </w:r>
          </w:p>
        </w:tc>
        <w:tc>
          <w:tcPr>
            <w:tcW w:w="1276" w:type="dxa"/>
            <w:vAlign w:val="center"/>
          </w:tcPr>
          <w:p w14:paraId="017E77E7" w14:textId="77777777" w:rsidR="00A67AE0" w:rsidRDefault="00A979E8">
            <w:pPr>
              <w:jc w:val="right"/>
            </w:pPr>
            <w:r>
              <w:rPr>
                <w:rFonts w:eastAsiaTheme="minorEastAsia"/>
                <w:kern w:val="0"/>
                <w:sz w:val="24"/>
                <w:szCs w:val="24"/>
              </w:rPr>
              <w:t>13,300.00</w:t>
            </w:r>
          </w:p>
        </w:tc>
        <w:tc>
          <w:tcPr>
            <w:tcW w:w="1842" w:type="dxa"/>
            <w:vAlign w:val="center"/>
          </w:tcPr>
          <w:p w14:paraId="6BCA8965" w14:textId="77777777" w:rsidR="00A67AE0" w:rsidRDefault="00A979E8">
            <w:pPr>
              <w:jc w:val="right"/>
            </w:pPr>
            <w:r>
              <w:rPr>
                <w:rFonts w:eastAsiaTheme="minorEastAsia"/>
                <w:kern w:val="0"/>
                <w:sz w:val="24"/>
                <w:szCs w:val="24"/>
              </w:rPr>
              <w:t>121,163.00</w:t>
            </w:r>
          </w:p>
        </w:tc>
        <w:tc>
          <w:tcPr>
            <w:tcW w:w="1616" w:type="dxa"/>
            <w:vAlign w:val="center"/>
          </w:tcPr>
          <w:p w14:paraId="5405D589" w14:textId="77777777" w:rsidR="00A67AE0" w:rsidRDefault="00A979E8">
            <w:pPr>
              <w:jc w:val="right"/>
            </w:pPr>
            <w:r>
              <w:rPr>
                <w:rFonts w:eastAsiaTheme="minorEastAsia"/>
                <w:kern w:val="0"/>
                <w:sz w:val="24"/>
                <w:szCs w:val="24"/>
              </w:rPr>
              <w:t>0.75</w:t>
            </w:r>
          </w:p>
        </w:tc>
      </w:tr>
      <w:bookmarkEnd w:id="0"/>
    </w:tbl>
    <w:p w14:paraId="1FDE058C"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23879CB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14:paraId="2493A538"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4F362A89"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C0AB7C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14:paraId="7238A68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14:paraId="025A7307"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62FB742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63A33D1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086B1B5C"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10054BE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363D883A"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719FF27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025671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55F0CF78"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125420F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08051B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15CB614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365F9013" w14:textId="77777777" w:rsidR="00D06738" w:rsidRPr="00FF6B9A" w:rsidRDefault="00D06738">
      <w:pPr>
        <w:adjustRightInd w:val="0"/>
        <w:snapToGrid w:val="0"/>
        <w:spacing w:line="360" w:lineRule="exact"/>
        <w:rPr>
          <w:rFonts w:eastAsiaTheme="minorEastAsia"/>
          <w:color w:val="000000" w:themeColor="text1"/>
          <w:sz w:val="24"/>
          <w:szCs w:val="24"/>
        </w:rPr>
      </w:pPr>
    </w:p>
    <w:p w14:paraId="0B26F3F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706ABE2B"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4A0E7D9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28F5015E"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本基金投资的前十名证券的发行主体中，东吴证券股份有限公司报告编制日前一年内曾受到中国证监会的处罚。</w:t>
      </w:r>
    </w:p>
    <w:p w14:paraId="5A42421F" w14:textId="77777777" w:rsidR="00A67AE0" w:rsidRDefault="00A979E8">
      <w:pPr>
        <w:spacing w:line="360" w:lineRule="auto"/>
        <w:rPr>
          <w:rFonts w:eastAsiaTheme="minorEastAsia"/>
          <w:color w:val="000000" w:themeColor="text1"/>
          <w:sz w:val="24"/>
          <w:szCs w:val="24"/>
        </w:rPr>
      </w:pPr>
      <w:r>
        <w:rPr>
          <w:rFonts w:eastAsiaTheme="minorEastAsia"/>
          <w:color w:val="000000" w:themeColor="text1"/>
          <w:sz w:val="24"/>
          <w:szCs w:val="24"/>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AEF8A56"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129ACE60"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3F8A468F" w14:textId="77777777">
        <w:tc>
          <w:tcPr>
            <w:tcW w:w="1235" w:type="dxa"/>
            <w:vAlign w:val="center"/>
          </w:tcPr>
          <w:p w14:paraId="57EBF724"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1274F7B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2C5121CB"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2E0B9BB8" w14:textId="77777777">
        <w:tc>
          <w:tcPr>
            <w:tcW w:w="1235" w:type="dxa"/>
            <w:vAlign w:val="center"/>
          </w:tcPr>
          <w:p w14:paraId="36C19F5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3D097EDA"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3054534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1,724.86</w:t>
            </w:r>
          </w:p>
        </w:tc>
      </w:tr>
      <w:tr w:rsidR="00D06738" w:rsidRPr="00FF6B9A" w14:paraId="678EC80B" w14:textId="77777777">
        <w:tc>
          <w:tcPr>
            <w:tcW w:w="1235" w:type="dxa"/>
            <w:vAlign w:val="center"/>
          </w:tcPr>
          <w:p w14:paraId="0E619BEB"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51A73114"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1612BAA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D6EEC1B" w14:textId="77777777">
        <w:tc>
          <w:tcPr>
            <w:tcW w:w="1235" w:type="dxa"/>
            <w:vAlign w:val="center"/>
          </w:tcPr>
          <w:p w14:paraId="6B9D3D1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14:paraId="0A3E69B0"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17694B0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44FD7F0" w14:textId="77777777">
        <w:tc>
          <w:tcPr>
            <w:tcW w:w="1235" w:type="dxa"/>
            <w:vAlign w:val="center"/>
          </w:tcPr>
          <w:p w14:paraId="6364AEFC"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2899D7F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30FEA6C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8F9E656" w14:textId="77777777">
        <w:tc>
          <w:tcPr>
            <w:tcW w:w="1235" w:type="dxa"/>
            <w:vAlign w:val="center"/>
          </w:tcPr>
          <w:p w14:paraId="761BD0E6"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242A0908"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7BA94CF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249.10</w:t>
            </w:r>
          </w:p>
        </w:tc>
      </w:tr>
      <w:tr w:rsidR="00D06738" w:rsidRPr="00FF6B9A" w14:paraId="2CFECD39" w14:textId="77777777">
        <w:tc>
          <w:tcPr>
            <w:tcW w:w="1235" w:type="dxa"/>
            <w:vAlign w:val="center"/>
          </w:tcPr>
          <w:p w14:paraId="160645F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09B7BF1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692AE0CB"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0F5E25D" w14:textId="77777777">
        <w:tc>
          <w:tcPr>
            <w:tcW w:w="1235" w:type="dxa"/>
            <w:vAlign w:val="center"/>
          </w:tcPr>
          <w:p w14:paraId="4613D8C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026F1DD0"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7BD762C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0D4D144" w14:textId="77777777">
        <w:tc>
          <w:tcPr>
            <w:tcW w:w="1235" w:type="dxa"/>
            <w:vAlign w:val="center"/>
          </w:tcPr>
          <w:p w14:paraId="43F9C175"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5F7F7DC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3908C75B"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6C23498" w14:textId="77777777">
        <w:tc>
          <w:tcPr>
            <w:tcW w:w="1235" w:type="dxa"/>
            <w:vAlign w:val="center"/>
          </w:tcPr>
          <w:p w14:paraId="1F6CE41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2F7602CB"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5D55FC70"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1,973.96</w:t>
            </w:r>
          </w:p>
        </w:tc>
      </w:tr>
    </w:tbl>
    <w:p w14:paraId="2368983E"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7EA5410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14:paraId="24BBFCAA"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14:paraId="5AD8C0E0"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486C374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14:paraId="7A9179D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14:paraId="39FBAE74"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07607C7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1B93E9C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147B42A5"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57B869E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4B9A2F6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58C32146"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0E06547"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14,661,209.46</w:t>
            </w:r>
          </w:p>
        </w:tc>
      </w:tr>
      <w:tr w:rsidR="00D06738" w:rsidRPr="00FF6B9A" w14:paraId="6D1FD6D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5188D3A"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9EEE6FA"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140,482.38</w:t>
            </w:r>
          </w:p>
        </w:tc>
      </w:tr>
      <w:tr w:rsidR="00D06738" w:rsidRPr="00FF6B9A" w14:paraId="7810C7A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982D883"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BB92016"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1,275,330.35</w:t>
            </w:r>
          </w:p>
        </w:tc>
      </w:tr>
      <w:tr w:rsidR="00D06738" w:rsidRPr="00FF6B9A" w14:paraId="22CBC55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6C74AF3"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6930FA4"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21101C7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7E5F893A"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2206D5B"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13,526,361.49</w:t>
            </w:r>
          </w:p>
        </w:tc>
      </w:tr>
    </w:tbl>
    <w:p w14:paraId="0221DEDA"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14:paraId="686EF2D6"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0366EAF1"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14:paraId="2E4115BC"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E4FD8F3" w14:textId="77777777"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78429AF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171,945.13</w:t>
            </w:r>
          </w:p>
        </w:tc>
      </w:tr>
      <w:tr w:rsidR="00D06738" w:rsidRPr="00FF6B9A" w14:paraId="198C1C19"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1EB92C2"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1569DE9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3664DDC"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2F1EA022"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44F202E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DBB406C"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56C5A0A6"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14:paraId="76B0F53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171,945.13</w:t>
            </w:r>
          </w:p>
        </w:tc>
      </w:tr>
      <w:tr w:rsidR="00D06738" w:rsidRPr="00FF6B9A" w14:paraId="44B447E0" w14:textId="77777777">
        <w:tc>
          <w:tcPr>
            <w:tcW w:w="5037" w:type="dxa"/>
            <w:tcBorders>
              <w:top w:val="single" w:sz="8" w:space="0" w:color="000000"/>
              <w:left w:val="single" w:sz="8" w:space="0" w:color="000000"/>
              <w:bottom w:val="single" w:sz="8" w:space="0" w:color="000000"/>
              <w:right w:val="single" w:sz="8" w:space="0" w:color="000000"/>
            </w:tcBorders>
            <w:vAlign w:val="center"/>
          </w:tcPr>
          <w:p w14:paraId="13A37788" w14:textId="77777777"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14:paraId="012D5F7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1.27</w:t>
            </w:r>
          </w:p>
        </w:tc>
      </w:tr>
    </w:tbl>
    <w:p w14:paraId="53362894"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5FBF90A7"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14:paraId="531D3D2B"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23C0870B"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14:paraId="2C09847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042BB069"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、中国证监会准予本基金募集注册的文件</w:t>
      </w:r>
    </w:p>
    <w:p w14:paraId="1B1B6432"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、《摩根量化多因子灵活配置混合型证券投资基金基金合同》</w:t>
      </w:r>
    </w:p>
    <w:p w14:paraId="04DF808C"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、《摩根量化多因子灵活配置混合型证券投资基金托管协议》</w:t>
      </w:r>
    </w:p>
    <w:p w14:paraId="0D533F0C"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、法律意见书</w:t>
      </w:r>
    </w:p>
    <w:p w14:paraId="4DA66E13"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、基金管理人业务资格批件、营业执照</w:t>
      </w:r>
    </w:p>
    <w:p w14:paraId="04D9AA05"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6</w:t>
      </w:r>
      <w:r>
        <w:rPr>
          <w:rFonts w:eastAsiaTheme="minorEastAsia"/>
          <w:color w:val="000000" w:themeColor="text1"/>
        </w:rPr>
        <w:t>、基金托管人业务资格批件、营业执照</w:t>
      </w:r>
    </w:p>
    <w:p w14:paraId="2D5C3080" w14:textId="77777777" w:rsidR="00A67AE0" w:rsidRDefault="00A979E8">
      <w:pPr>
        <w:spacing w:line="360" w:lineRule="auto"/>
        <w:ind w:firstLineChars="200" w:firstLine="420"/>
        <w:rPr>
          <w:rFonts w:eastAsiaTheme="minorEastAsia"/>
          <w:color w:val="000000" w:themeColor="text1"/>
        </w:rPr>
      </w:pPr>
      <w:r>
        <w:rPr>
          <w:rFonts w:eastAsiaTheme="minorEastAsia"/>
          <w:color w:val="000000" w:themeColor="text1"/>
        </w:rPr>
        <w:t>7</w:t>
      </w:r>
      <w:r>
        <w:rPr>
          <w:rFonts w:eastAsiaTheme="minorEastAsia"/>
          <w:color w:val="000000" w:themeColor="text1"/>
        </w:rPr>
        <w:t>、《摩根基金管理（中国）有限公司开放式基金业务规则》</w:t>
      </w:r>
    </w:p>
    <w:p w14:paraId="44BD5832"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8</w:t>
      </w:r>
      <w:r w:rsidRPr="00FF6B9A">
        <w:rPr>
          <w:rFonts w:eastAsiaTheme="minorEastAsia"/>
          <w:color w:val="000000" w:themeColor="text1"/>
        </w:rPr>
        <w:t>、中国证监会要求的其他文件</w:t>
      </w:r>
    </w:p>
    <w:p w14:paraId="2EED4AC2" w14:textId="77777777" w:rsidR="00D06738" w:rsidRPr="00FF6B9A" w:rsidRDefault="00D06738">
      <w:pPr>
        <w:spacing w:line="360" w:lineRule="auto"/>
        <w:ind w:firstLineChars="200" w:firstLine="480"/>
        <w:rPr>
          <w:rFonts w:eastAsiaTheme="minorEastAsia"/>
          <w:color w:val="000000" w:themeColor="text1"/>
          <w:sz w:val="24"/>
          <w:szCs w:val="24"/>
        </w:rPr>
      </w:pPr>
    </w:p>
    <w:p w14:paraId="6059D11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70B7264F"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14:paraId="3D45A56D" w14:textId="77777777" w:rsidR="00D06738" w:rsidRPr="00FF6B9A" w:rsidRDefault="00D06738">
      <w:pPr>
        <w:spacing w:line="360" w:lineRule="auto"/>
        <w:ind w:firstLineChars="200" w:firstLine="480"/>
        <w:rPr>
          <w:rFonts w:eastAsiaTheme="minorEastAsia"/>
          <w:color w:val="000000" w:themeColor="text1"/>
          <w:sz w:val="24"/>
          <w:szCs w:val="24"/>
        </w:rPr>
      </w:pPr>
    </w:p>
    <w:p w14:paraId="33E822D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6B8D363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2365F151" w14:textId="77777777" w:rsidR="00D06738" w:rsidRPr="00FF6B9A" w:rsidRDefault="00D06738">
      <w:pPr>
        <w:spacing w:line="360" w:lineRule="auto"/>
        <w:ind w:left="840"/>
        <w:jc w:val="right"/>
        <w:rPr>
          <w:rFonts w:eastAsiaTheme="minorEastAsia"/>
          <w:color w:val="000000" w:themeColor="text1"/>
          <w:sz w:val="24"/>
          <w:szCs w:val="24"/>
        </w:rPr>
      </w:pPr>
    </w:p>
    <w:p w14:paraId="18E7645B" w14:textId="77777777" w:rsidR="00D06738" w:rsidRPr="00FF6B9A" w:rsidRDefault="00D06738">
      <w:pPr>
        <w:spacing w:line="360" w:lineRule="auto"/>
        <w:ind w:left="840"/>
        <w:jc w:val="right"/>
        <w:rPr>
          <w:rFonts w:eastAsiaTheme="minorEastAsia"/>
          <w:color w:val="000000" w:themeColor="text1"/>
          <w:sz w:val="24"/>
          <w:szCs w:val="24"/>
        </w:rPr>
      </w:pPr>
    </w:p>
    <w:p w14:paraId="0001A5D1" w14:textId="77777777" w:rsidR="00D06738" w:rsidRPr="00FF6B9A" w:rsidRDefault="00D06738">
      <w:pPr>
        <w:spacing w:line="360" w:lineRule="auto"/>
        <w:ind w:left="840"/>
        <w:jc w:val="right"/>
        <w:rPr>
          <w:rFonts w:eastAsiaTheme="minorEastAsia"/>
          <w:color w:val="000000" w:themeColor="text1"/>
          <w:sz w:val="24"/>
          <w:szCs w:val="24"/>
        </w:rPr>
      </w:pPr>
    </w:p>
    <w:p w14:paraId="5A430396" w14:textId="77777777" w:rsidR="00D06738" w:rsidRPr="00FF6B9A" w:rsidRDefault="00D06738">
      <w:pPr>
        <w:spacing w:line="360" w:lineRule="auto"/>
        <w:ind w:left="840"/>
        <w:jc w:val="right"/>
        <w:rPr>
          <w:rFonts w:eastAsiaTheme="minorEastAsia"/>
          <w:color w:val="000000" w:themeColor="text1"/>
          <w:sz w:val="24"/>
          <w:szCs w:val="24"/>
        </w:rPr>
      </w:pPr>
    </w:p>
    <w:p w14:paraId="57ED8854" w14:textId="77777777" w:rsidR="00D06738" w:rsidRPr="00FF6B9A" w:rsidRDefault="00D06738">
      <w:pPr>
        <w:spacing w:line="360" w:lineRule="auto"/>
        <w:ind w:left="840"/>
        <w:jc w:val="right"/>
        <w:rPr>
          <w:rFonts w:eastAsiaTheme="minorEastAsia"/>
          <w:color w:val="000000" w:themeColor="text1"/>
          <w:sz w:val="24"/>
          <w:szCs w:val="24"/>
        </w:rPr>
      </w:pPr>
    </w:p>
    <w:p w14:paraId="4E93E95D" w14:textId="77777777" w:rsidR="00D06738" w:rsidRPr="00FF6B9A" w:rsidRDefault="00D06738">
      <w:pPr>
        <w:spacing w:line="360" w:lineRule="auto"/>
        <w:ind w:left="840"/>
        <w:jc w:val="right"/>
        <w:rPr>
          <w:rFonts w:eastAsiaTheme="minorEastAsia"/>
          <w:color w:val="000000" w:themeColor="text1"/>
          <w:sz w:val="24"/>
          <w:szCs w:val="24"/>
        </w:rPr>
      </w:pPr>
    </w:p>
    <w:p w14:paraId="1B6C6F60" w14:textId="77777777" w:rsidR="00D06738" w:rsidRPr="00FF6B9A" w:rsidRDefault="00D06738">
      <w:pPr>
        <w:spacing w:line="360" w:lineRule="auto"/>
        <w:ind w:left="840"/>
        <w:jc w:val="right"/>
        <w:rPr>
          <w:rFonts w:eastAsiaTheme="minorEastAsia"/>
          <w:color w:val="000000" w:themeColor="text1"/>
          <w:sz w:val="24"/>
          <w:szCs w:val="24"/>
        </w:rPr>
      </w:pPr>
    </w:p>
    <w:p w14:paraId="29F98081" w14:textId="77777777" w:rsidR="00D06738" w:rsidRPr="00FF6B9A" w:rsidRDefault="00D06738">
      <w:pPr>
        <w:spacing w:line="360" w:lineRule="auto"/>
        <w:ind w:left="840"/>
        <w:jc w:val="right"/>
        <w:rPr>
          <w:rFonts w:eastAsiaTheme="minorEastAsia"/>
          <w:color w:val="000000" w:themeColor="text1"/>
          <w:sz w:val="24"/>
          <w:szCs w:val="24"/>
        </w:rPr>
      </w:pPr>
    </w:p>
    <w:p w14:paraId="63C3AB67"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649386C0"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二〇二五年一月二十二日</w:t>
      </w:r>
    </w:p>
    <w:p w14:paraId="0AA56904" w14:textId="77777777" w:rsidR="00D06738" w:rsidRPr="00FF6B9A" w:rsidRDefault="00D06738">
      <w:pPr>
        <w:spacing w:line="360" w:lineRule="auto"/>
        <w:ind w:left="840"/>
        <w:jc w:val="right"/>
        <w:rPr>
          <w:rFonts w:eastAsiaTheme="minorEastAsia"/>
          <w:b/>
          <w:bCs/>
          <w:color w:val="000000" w:themeColor="text1"/>
          <w:sz w:val="24"/>
          <w:szCs w:val="24"/>
        </w:rPr>
      </w:pPr>
    </w:p>
    <w:p w14:paraId="06BA7C33"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3C7D" w14:textId="77777777" w:rsidR="00376E03" w:rsidRDefault="00376E03">
      <w:r>
        <w:separator/>
      </w:r>
    </w:p>
  </w:endnote>
  <w:endnote w:type="continuationSeparator" w:id="0">
    <w:p w14:paraId="0031AD2B"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8618"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979E8" w:rsidRPr="00A979E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03E2"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979E8">
      <w:rPr>
        <w:rStyle w:val="aff"/>
        <w:noProof/>
      </w:rPr>
      <w:t>9</w:t>
    </w:r>
    <w:r>
      <w:rPr>
        <w:rStyle w:val="aff"/>
      </w:rPr>
      <w:fldChar w:fldCharType="end"/>
    </w:r>
  </w:p>
  <w:p w14:paraId="3DD1AF79"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5106" w14:textId="77777777" w:rsidR="00376E03" w:rsidRDefault="00376E03">
      <w:r>
        <w:separator/>
      </w:r>
    </w:p>
  </w:footnote>
  <w:footnote w:type="continuationSeparator" w:id="0">
    <w:p w14:paraId="2022E479"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563D" w14:textId="77777777" w:rsidR="00454D20" w:rsidRDefault="00454D20">
    <w:pPr>
      <w:pStyle w:val="af6"/>
      <w:pBdr>
        <w:bottom w:val="single" w:sz="6" w:space="0" w:color="auto"/>
      </w:pBdr>
      <w:jc w:val="right"/>
    </w:pPr>
    <w:r>
      <w:rPr>
        <w:rFonts w:hint="eastAsia"/>
      </w:rPr>
      <w:t>摩根量化多因子灵活配置混合型证券投资基金</w:t>
    </w:r>
    <w:r>
      <w:rPr>
        <w:rFonts w:hint="eastAsia"/>
      </w:rPr>
      <w:t>2024</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12B0"/>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67AE0"/>
    <w:rsid w:val="00A76625"/>
    <w:rsid w:val="00A83500"/>
    <w:rsid w:val="00A90049"/>
    <w:rsid w:val="00A917BF"/>
    <w:rsid w:val="00A96A94"/>
    <w:rsid w:val="00A979E8"/>
    <w:rsid w:val="00AA3A38"/>
    <w:rsid w:val="00AA4F94"/>
    <w:rsid w:val="00AB047E"/>
    <w:rsid w:val="00AB2D90"/>
    <w:rsid w:val="00AC453E"/>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FE17A"/>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 w:type="paragraph" w:styleId="aff6">
    <w:name w:val="Revision"/>
    <w:hidden/>
    <w:uiPriority w:val="99"/>
    <w:semiHidden/>
    <w:rsid w:val="008612B0"/>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FA3DE80-15E8-487C-B2C3-A3DAD94932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272</cp:revision>
  <dcterms:created xsi:type="dcterms:W3CDTF">2012-10-16T06:07:00Z</dcterms:created>
  <dcterms:modified xsi:type="dcterms:W3CDTF">2025-01-21T06:33:00Z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